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0"/>
          <w:szCs w:val="20"/>
          <w:color w:val="auto"/>
        </w:rPr>
      </w:pPr>
    </w:p>
    <w:p>
      <w:pPr>
        <w:ind w:left="1380" w:right="3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December 30, 2005</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0"/>
          <w:szCs w:val="20"/>
          <w:color w:val="auto"/>
        </w:rPr>
      </w:pPr>
    </w:p>
    <w:p>
      <w:pPr>
        <w:ind w:left="1380" w:right="2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ind w:left="138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1-8703</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WESTERN DIGITAL CORPORATION</w:t>
      </w:r>
    </w:p>
    <w:p>
      <w:pPr>
        <w:spacing w:after="0" w:line="50"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6520" w:type="dxa"/>
            <w:vAlign w:val="bottom"/>
          </w:tcPr>
          <w:p>
            <w:pPr>
              <w:ind w:left="2580"/>
              <w:spacing w:after="0"/>
              <w:rPr>
                <w:sz w:val="20"/>
                <w:szCs w:val="20"/>
                <w:color w:val="auto"/>
              </w:rPr>
            </w:pPr>
            <w:r>
              <w:rPr>
                <w:rFonts w:ascii="Arial" w:cs="Arial" w:eastAsia="Arial" w:hAnsi="Arial"/>
                <w:sz w:val="18"/>
                <w:szCs w:val="18"/>
                <w:color w:val="auto"/>
                <w:w w:val="95"/>
              </w:rPr>
              <w:t>(Exact name of registrant as specified in its charter)</w:t>
            </w:r>
          </w:p>
        </w:tc>
        <w:tc>
          <w:tcPr>
            <w:tcW w:w="1580" w:type="dxa"/>
            <w:vAlign w:val="bottom"/>
          </w:tcPr>
          <w:p>
            <w:pPr>
              <w:spacing w:after="0"/>
              <w:rPr>
                <w:sz w:val="20"/>
                <w:szCs w:val="20"/>
                <w:color w:val="auto"/>
              </w:rPr>
            </w:pPr>
          </w:p>
        </w:tc>
      </w:tr>
      <w:tr>
        <w:trPr>
          <w:trHeight w:val="402"/>
        </w:trPr>
        <w:tc>
          <w:tcPr>
            <w:tcW w:w="6520" w:type="dxa"/>
            <w:vAlign w:val="bottom"/>
          </w:tcPr>
          <w:p>
            <w:pPr>
              <w:jc w:val="center"/>
              <w:ind w:right="3550"/>
              <w:spacing w:after="0"/>
              <w:rPr>
                <w:sz w:val="20"/>
                <w:szCs w:val="20"/>
                <w:color w:val="auto"/>
              </w:rPr>
            </w:pPr>
            <w:r>
              <w:rPr>
                <w:rFonts w:ascii="Arial" w:cs="Arial" w:eastAsia="Arial" w:hAnsi="Arial"/>
                <w:sz w:val="18"/>
                <w:szCs w:val="18"/>
                <w:b w:val="1"/>
                <w:bCs w:val="1"/>
                <w:color w:val="auto"/>
                <w:w w:val="91"/>
              </w:rPr>
              <w:t>Delaware</w:t>
            </w:r>
          </w:p>
        </w:tc>
        <w:tc>
          <w:tcPr>
            <w:tcW w:w="1580" w:type="dxa"/>
            <w:vAlign w:val="bottom"/>
          </w:tcPr>
          <w:p>
            <w:pPr>
              <w:jc w:val="right"/>
              <w:ind w:right="150"/>
              <w:spacing w:after="0"/>
              <w:rPr>
                <w:sz w:val="20"/>
                <w:szCs w:val="20"/>
                <w:color w:val="auto"/>
              </w:rPr>
            </w:pPr>
            <w:r>
              <w:rPr>
                <w:rFonts w:ascii="Arial" w:cs="Arial" w:eastAsia="Arial" w:hAnsi="Arial"/>
                <w:sz w:val="18"/>
                <w:szCs w:val="18"/>
                <w:b w:val="1"/>
                <w:bCs w:val="1"/>
                <w:color w:val="auto"/>
              </w:rPr>
              <w:t>33-0956711</w:t>
            </w:r>
          </w:p>
        </w:tc>
      </w:tr>
      <w:tr>
        <w:trPr>
          <w:trHeight w:val="216"/>
        </w:trPr>
        <w:tc>
          <w:tcPr>
            <w:tcW w:w="6520" w:type="dxa"/>
            <w:vAlign w:val="bottom"/>
          </w:tcPr>
          <w:p>
            <w:pPr>
              <w:jc w:val="center"/>
              <w:ind w:right="3550"/>
              <w:spacing w:after="0"/>
              <w:rPr>
                <w:sz w:val="20"/>
                <w:szCs w:val="20"/>
                <w:color w:val="auto"/>
              </w:rPr>
            </w:pPr>
            <w:r>
              <w:rPr>
                <w:rFonts w:ascii="Arial" w:cs="Arial" w:eastAsia="Arial" w:hAnsi="Arial"/>
                <w:sz w:val="18"/>
                <w:szCs w:val="18"/>
                <w:color w:val="auto"/>
                <w:w w:val="92"/>
              </w:rPr>
              <w:t>(State or other jurisdiction of</w:t>
            </w:r>
          </w:p>
        </w:tc>
        <w:tc>
          <w:tcPr>
            <w:tcW w:w="1580" w:type="dxa"/>
            <w:vAlign w:val="bottom"/>
          </w:tcPr>
          <w:p>
            <w:pPr>
              <w:jc w:val="center"/>
              <w:ind w:left="150"/>
              <w:spacing w:after="0"/>
              <w:rPr>
                <w:sz w:val="20"/>
                <w:szCs w:val="20"/>
                <w:color w:val="auto"/>
              </w:rPr>
            </w:pPr>
            <w:r>
              <w:rPr>
                <w:rFonts w:ascii="Arial" w:cs="Arial" w:eastAsia="Arial" w:hAnsi="Arial"/>
                <w:sz w:val="18"/>
                <w:szCs w:val="18"/>
                <w:color w:val="auto"/>
                <w:w w:val="92"/>
              </w:rPr>
              <w:t>(I.R.S. Employer</w:t>
            </w:r>
          </w:p>
        </w:tc>
      </w:tr>
      <w:tr>
        <w:trPr>
          <w:trHeight w:val="230"/>
        </w:trPr>
        <w:tc>
          <w:tcPr>
            <w:tcW w:w="6520" w:type="dxa"/>
            <w:vAlign w:val="bottom"/>
          </w:tcPr>
          <w:p>
            <w:pPr>
              <w:jc w:val="center"/>
              <w:ind w:right="3550"/>
              <w:spacing w:after="0"/>
              <w:rPr>
                <w:sz w:val="20"/>
                <w:szCs w:val="20"/>
                <w:color w:val="auto"/>
              </w:rPr>
            </w:pPr>
            <w:r>
              <w:rPr>
                <w:rFonts w:ascii="Arial" w:cs="Arial" w:eastAsia="Arial" w:hAnsi="Arial"/>
                <w:sz w:val="18"/>
                <w:szCs w:val="18"/>
                <w:color w:val="auto"/>
                <w:w w:val="92"/>
              </w:rPr>
              <w:t>incorporation or organization)</w:t>
            </w:r>
          </w:p>
        </w:tc>
        <w:tc>
          <w:tcPr>
            <w:tcW w:w="1580" w:type="dxa"/>
            <w:vAlign w:val="bottom"/>
          </w:tcPr>
          <w:p>
            <w:pPr>
              <w:jc w:val="center"/>
              <w:ind w:left="1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520" w:type="dxa"/>
            <w:vAlign w:val="bottom"/>
          </w:tcPr>
          <w:p>
            <w:pPr>
              <w:jc w:val="center"/>
              <w:ind w:right="3550"/>
              <w:spacing w:after="0"/>
              <w:rPr>
                <w:sz w:val="20"/>
                <w:szCs w:val="20"/>
                <w:color w:val="auto"/>
              </w:rPr>
            </w:pPr>
            <w:r>
              <w:rPr>
                <w:rFonts w:ascii="Arial" w:cs="Arial" w:eastAsia="Arial" w:hAnsi="Arial"/>
                <w:sz w:val="18"/>
                <w:szCs w:val="18"/>
                <w:b w:val="1"/>
                <w:bCs w:val="1"/>
                <w:color w:val="auto"/>
                <w:w w:val="91"/>
              </w:rPr>
              <w:t>20511 Lake Forest Drive</w:t>
            </w:r>
          </w:p>
        </w:tc>
        <w:tc>
          <w:tcPr>
            <w:tcW w:w="1580" w:type="dxa"/>
            <w:vAlign w:val="bottom"/>
          </w:tcPr>
          <w:p>
            <w:pPr>
              <w:spacing w:after="0"/>
              <w:rPr>
                <w:sz w:val="24"/>
                <w:szCs w:val="24"/>
                <w:color w:val="auto"/>
              </w:rPr>
            </w:pPr>
          </w:p>
        </w:tc>
      </w:tr>
      <w:tr>
        <w:trPr>
          <w:trHeight w:val="220"/>
        </w:trPr>
        <w:tc>
          <w:tcPr>
            <w:tcW w:w="6520" w:type="dxa"/>
            <w:vAlign w:val="bottom"/>
          </w:tcPr>
          <w:p>
            <w:pPr>
              <w:jc w:val="center"/>
              <w:ind w:right="3550"/>
              <w:spacing w:after="0"/>
              <w:rPr>
                <w:sz w:val="20"/>
                <w:szCs w:val="20"/>
                <w:color w:val="auto"/>
              </w:rPr>
            </w:pPr>
            <w:r>
              <w:rPr>
                <w:rFonts w:ascii="Arial" w:cs="Arial" w:eastAsia="Arial" w:hAnsi="Arial"/>
                <w:sz w:val="18"/>
                <w:szCs w:val="18"/>
                <w:b w:val="1"/>
                <w:bCs w:val="1"/>
                <w:color w:val="auto"/>
                <w:w w:val="92"/>
              </w:rPr>
              <w:t>Lake Forest, California</w:t>
            </w:r>
          </w:p>
        </w:tc>
        <w:tc>
          <w:tcPr>
            <w:tcW w:w="1580" w:type="dxa"/>
            <w:vAlign w:val="bottom"/>
          </w:tcPr>
          <w:p>
            <w:pPr>
              <w:jc w:val="right"/>
              <w:ind w:right="350"/>
              <w:spacing w:after="0"/>
              <w:rPr>
                <w:sz w:val="20"/>
                <w:szCs w:val="20"/>
                <w:color w:val="auto"/>
              </w:rPr>
            </w:pPr>
            <w:r>
              <w:rPr>
                <w:rFonts w:ascii="Arial" w:cs="Arial" w:eastAsia="Arial" w:hAnsi="Arial"/>
                <w:sz w:val="18"/>
                <w:szCs w:val="18"/>
                <w:b w:val="1"/>
                <w:bCs w:val="1"/>
                <w:color w:val="auto"/>
              </w:rPr>
              <w:t>92630</w:t>
            </w:r>
          </w:p>
        </w:tc>
      </w:tr>
      <w:tr>
        <w:trPr>
          <w:trHeight w:val="230"/>
        </w:trPr>
        <w:tc>
          <w:tcPr>
            <w:tcW w:w="6520" w:type="dxa"/>
            <w:vAlign w:val="bottom"/>
          </w:tcPr>
          <w:p>
            <w:pPr>
              <w:jc w:val="center"/>
              <w:ind w:right="3570"/>
              <w:spacing w:after="0"/>
              <w:rPr>
                <w:sz w:val="20"/>
                <w:szCs w:val="20"/>
                <w:color w:val="auto"/>
              </w:rPr>
            </w:pPr>
            <w:r>
              <w:rPr>
                <w:rFonts w:ascii="Arial" w:cs="Arial" w:eastAsia="Arial" w:hAnsi="Arial"/>
                <w:sz w:val="18"/>
                <w:szCs w:val="18"/>
                <w:color w:val="auto"/>
                <w:w w:val="92"/>
              </w:rPr>
              <w:t>(Address of principal executive offices)</w:t>
            </w:r>
          </w:p>
        </w:tc>
        <w:tc>
          <w:tcPr>
            <w:tcW w:w="1580" w:type="dxa"/>
            <w:vAlign w:val="bottom"/>
          </w:tcPr>
          <w:p>
            <w:pPr>
              <w:jc w:val="center"/>
              <w:ind w:left="130"/>
              <w:spacing w:after="0"/>
              <w:rPr>
                <w:sz w:val="20"/>
                <w:szCs w:val="20"/>
                <w:color w:val="auto"/>
              </w:rPr>
            </w:pPr>
            <w:r>
              <w:rPr>
                <w:rFonts w:ascii="Arial" w:cs="Arial" w:eastAsia="Arial" w:hAnsi="Arial"/>
                <w:sz w:val="18"/>
                <w:szCs w:val="18"/>
                <w:color w:val="auto"/>
                <w:w w:val="93"/>
              </w:rPr>
              <w:t>(Zip code)</w:t>
            </w:r>
          </w:p>
        </w:tc>
      </w:tr>
    </w:tbl>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(949) 672-7000</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1" w:lineRule="exact"/>
        <w:rPr>
          <w:sz w:val="20"/>
          <w:szCs w:val="20"/>
          <w:color w:val="auto"/>
        </w:rPr>
      </w:pPr>
    </w:p>
    <w:p>
      <w:pPr>
        <w:ind w:left="91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left="32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o Non-accelerated filer o</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84" w:lineRule="exact"/>
        <w:rPr>
          <w:sz w:val="20"/>
          <w:szCs w:val="20"/>
          <w:color w:val="auto"/>
        </w:rPr>
      </w:pPr>
    </w:p>
    <w:p>
      <w:pPr>
        <w:ind w:left="914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of the close of business on January 27, 2006, 219.3 million shares of common stock, par value $.01 per share, were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577850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gridSpan w:val="13"/>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740" w:type="dxa"/>
            <w:vAlign w:val="bottom"/>
            <w:gridSpan w:val="10"/>
            <w:vMerge w:val="restart"/>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3"/>
            <w:vMerge w:val="continue"/>
          </w:tcPr>
          <w:p>
            <w:pPr>
              <w:spacing w:after="0"/>
              <w:rPr>
                <w:sz w:val="14"/>
                <w:szCs w:val="14"/>
                <w:color w:val="auto"/>
              </w:rPr>
            </w:pPr>
          </w:p>
        </w:tc>
        <w:tc>
          <w:tcPr>
            <w:tcW w:w="7740" w:type="dxa"/>
            <w:vAlign w:val="bottom"/>
            <w:gridSpan w:val="10"/>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2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 December 30, 2005 and July 1, 2005</w:t>
              </w:r>
            </w:hyperlink>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2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 — Three and Six Months Ended December 30, 2005 and December 31, 2004</w:t>
              </w:r>
            </w:hyperlink>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0" w:type="dxa"/>
            <w:vAlign w:val="bottom"/>
            <w:tcBorders>
              <w:top w:val="single" w:sz="8" w:color="0000EE"/>
            </w:tcBorders>
            <w:gridSpan w:val="19"/>
          </w:tcPr>
          <w:p>
            <w:pPr>
              <w:spacing w:after="0" w:line="19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Condensed Consolidated Statements of Cash Flows — Six Months Ended December 30, 2005 and December 31, 2004</w:t>
              </w:r>
            </w:hyperlink>
          </w:p>
        </w:tc>
        <w:tc>
          <w:tcPr>
            <w:tcW w:w="1220" w:type="dxa"/>
            <w:vAlign w:val="bottom"/>
          </w:tcPr>
          <w:p>
            <w:pPr>
              <w:spacing w:after="0"/>
              <w:rPr>
                <w:sz w:val="17"/>
                <w:szCs w:val="17"/>
                <w:color w:val="auto"/>
              </w:rPr>
            </w:pPr>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680" w:type="dxa"/>
            <w:vAlign w:val="bottom"/>
            <w:gridSpan w:val="2"/>
          </w:tcPr>
          <w:p>
            <w:pPr>
              <w:spacing w:after="0"/>
              <w:rPr>
                <w:sz w:val="17"/>
                <w:szCs w:val="17"/>
                <w:color w:val="auto"/>
              </w:rPr>
            </w:pPr>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21"/>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Item 2. Management’s Discussion and Analysis of Financial Condition and Results of Operations</w:t>
              </w:r>
            </w:hyperlink>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420" w:type="dxa"/>
            <w:vAlign w:val="bottom"/>
            <w:gridSpan w:val="3"/>
          </w:tcPr>
          <w:p>
            <w:pPr>
              <w:spacing w:after="0"/>
              <w:rPr>
                <w:sz w:val="17"/>
                <w:szCs w:val="17"/>
                <w:color w:val="auto"/>
              </w:rPr>
            </w:pPr>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Item 4. Controls and Procedures</w:t>
              </w:r>
            </w:hyperlink>
          </w:p>
        </w:tc>
        <w:tc>
          <w:tcPr>
            <w:tcW w:w="8100" w:type="dxa"/>
            <w:vAlign w:val="bottom"/>
            <w:gridSpan w:val="12"/>
          </w:tcPr>
          <w:p>
            <w:pPr>
              <w:spacing w:after="0"/>
              <w:rPr>
                <w:sz w:val="17"/>
                <w:szCs w:val="17"/>
                <w:color w:val="auto"/>
              </w:rPr>
            </w:pPr>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640" w:type="dxa"/>
            <w:vAlign w:val="bottom"/>
            <w:gridSpan w:val="2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PART II. OTHER INFORMATION</w:t>
              </w:r>
            </w:hyperlink>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Item 1.</w:t>
              </w:r>
            </w:hyperlink>
          </w:p>
        </w:tc>
        <w:tc>
          <w:tcPr>
            <w:tcW w:w="1360" w:type="dxa"/>
            <w:vAlign w:val="bottom"/>
            <w:tcBorders>
              <w:top w:val="single" w:sz="8" w:color="0000EE"/>
              <w:bottom w:val="single" w:sz="8" w:color="0000EE"/>
            </w:tcBorders>
            <w:gridSpan w:val="6"/>
          </w:tcPr>
          <w:p>
            <w:pPr>
              <w:ind w:left="20"/>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Legal Proceedings</w:t>
              </w:r>
            </w:hyperlink>
          </w:p>
        </w:tc>
        <w:tc>
          <w:tcPr>
            <w:tcW w:w="480" w:type="dxa"/>
            <w:vAlign w:val="bottom"/>
            <w:tcBorders>
              <w:top w:val="single" w:sz="8" w:color="0000EE"/>
            </w:tcBorders>
            <w:gridSpan w:val="2"/>
          </w:tcPr>
          <w:p>
            <w:pPr>
              <w:spacing w:after="0"/>
              <w:rPr>
                <w:sz w:val="17"/>
                <w:szCs w:val="17"/>
                <w:color w:val="auto"/>
              </w:rPr>
            </w:pPr>
          </w:p>
        </w:tc>
        <w:tc>
          <w:tcPr>
            <w:tcW w:w="8060" w:type="dxa"/>
            <w:vAlign w:val="bottom"/>
            <w:gridSpan w:val="11"/>
          </w:tcPr>
          <w:p>
            <w:pPr>
              <w:spacing w:after="0"/>
              <w:rPr>
                <w:sz w:val="17"/>
                <w:szCs w:val="17"/>
                <w:color w:val="auto"/>
              </w:rPr>
            </w:pPr>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Item 2.</w:t>
              </w:r>
            </w:hyperlink>
          </w:p>
        </w:tc>
        <w:tc>
          <w:tcPr>
            <w:tcW w:w="4380" w:type="dxa"/>
            <w:vAlign w:val="bottom"/>
            <w:tcBorders>
              <w:bottom w:val="single" w:sz="8" w:color="0000EE"/>
            </w:tcBorders>
            <w:gridSpan w:val="13"/>
          </w:tcPr>
          <w:p>
            <w:pPr>
              <w:ind w:left="20"/>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Unregistered Sales of Equity Securities and Use of Proceeds</w:t>
              </w:r>
            </w:hyperlink>
          </w:p>
        </w:tc>
        <w:tc>
          <w:tcPr>
            <w:tcW w:w="5520" w:type="dxa"/>
            <w:vAlign w:val="bottom"/>
            <w:gridSpan w:val="6"/>
          </w:tcPr>
          <w:p>
            <w:pPr>
              <w:spacing w:after="0"/>
              <w:rPr>
                <w:sz w:val="17"/>
                <w:szCs w:val="17"/>
                <w:color w:val="auto"/>
              </w:rPr>
            </w:pPr>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4.</w:t>
              </w:r>
            </w:hyperlink>
          </w:p>
        </w:tc>
        <w:tc>
          <w:tcPr>
            <w:tcW w:w="3800" w:type="dxa"/>
            <w:vAlign w:val="bottom"/>
            <w:tcBorders>
              <w:bottom w:val="single" w:sz="8" w:color="0000EE"/>
            </w:tcBorders>
            <w:gridSpan w:val="12"/>
          </w:tcPr>
          <w:p>
            <w:pPr>
              <w:ind w:left="20"/>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Submission of Matters to a Vote of Security Holders</w:t>
              </w:r>
            </w:hyperlink>
          </w:p>
        </w:tc>
        <w:tc>
          <w:tcPr>
            <w:tcW w:w="6100" w:type="dxa"/>
            <w:vAlign w:val="bottom"/>
            <w:gridSpan w:val="7"/>
          </w:tcPr>
          <w:p>
            <w:pPr>
              <w:spacing w:after="0"/>
              <w:rPr>
                <w:sz w:val="17"/>
                <w:szCs w:val="17"/>
                <w:color w:val="auto"/>
              </w:rPr>
            </w:pPr>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6.</w:t>
              </w:r>
            </w:hyperlink>
          </w:p>
        </w:tc>
        <w:tc>
          <w:tcPr>
            <w:tcW w:w="9900" w:type="dxa"/>
            <w:vAlign w:val="bottom"/>
            <w:gridSpan w:val="19"/>
          </w:tcPr>
          <w:p>
            <w:pPr>
              <w:ind w:left="20"/>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5"/>
              </w:rPr>
            </w:pPr>
            <w:hyperlink w:anchor="page40">
              <w:r>
                <w:rPr>
                  <w:rFonts w:ascii="Arial" w:cs="Arial" w:eastAsia="Arial" w:hAnsi="Arial"/>
                  <w:sz w:val="18"/>
                  <w:szCs w:val="18"/>
                  <w:color w:val="0000EE"/>
                  <w:w w:val="85"/>
                </w:rPr>
                <w:t>Signatures</w:t>
              </w:r>
            </w:hyperlink>
          </w:p>
        </w:tc>
        <w:tc>
          <w:tcPr>
            <w:tcW w:w="380" w:type="dxa"/>
            <w:vAlign w:val="bottom"/>
            <w:tcBorders>
              <w:top w:val="single" w:sz="8" w:color="0000EE"/>
            </w:tcBorders>
            <w:gridSpan w:val="2"/>
          </w:tcPr>
          <w:p>
            <w:pPr>
              <w:spacing w:after="0"/>
              <w:rPr>
                <w:sz w:val="17"/>
                <w:szCs w:val="17"/>
                <w:color w:val="auto"/>
              </w:rPr>
            </w:pPr>
          </w:p>
        </w:tc>
        <w:tc>
          <w:tcPr>
            <w:tcW w:w="9280" w:type="dxa"/>
            <w:vAlign w:val="bottom"/>
            <w:gridSpan w:val="14"/>
          </w:tcPr>
          <w:p>
            <w:pPr>
              <w:spacing w:after="0"/>
              <w:rPr>
                <w:sz w:val="17"/>
                <w:szCs w:val="17"/>
                <w:color w:val="auto"/>
              </w:rPr>
            </w:pPr>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7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Exhibit 3.1</w:t>
            </w:r>
          </w:p>
        </w:tc>
        <w:tc>
          <w:tcPr>
            <w:tcW w:w="9800" w:type="dxa"/>
            <w:vAlign w:val="bottom"/>
            <w:gridSpan w:val="18"/>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9"/>
              </w:rPr>
              <w:t>Exhibit 10.1.3</w:t>
            </w:r>
          </w:p>
        </w:tc>
        <w:tc>
          <w:tcPr>
            <w:tcW w:w="9580" w:type="dxa"/>
            <w:vAlign w:val="bottom"/>
            <w:gridSpan w:val="15"/>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580" w:type="dxa"/>
            <w:vAlign w:val="bottom"/>
            <w:gridSpan w:val="22"/>
          </w:tcPr>
          <w:p>
            <w:pPr>
              <w:spacing w:after="0" w:line="196" w:lineRule="exact"/>
              <w:rPr>
                <w:sz w:val="20"/>
                <w:szCs w:val="20"/>
                <w:color w:val="auto"/>
              </w:rPr>
            </w:pPr>
            <w:r>
              <w:rPr>
                <w:rFonts w:ascii="Arial" w:cs="Arial" w:eastAsia="Arial" w:hAnsi="Arial"/>
                <w:sz w:val="18"/>
                <w:szCs w:val="18"/>
                <w:color w:val="0000EE"/>
              </w:rPr>
              <w:t>Exhibit 10.6</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10.7</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10.27.3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10.29.2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10.29.3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10.35.1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32.2</w:t>
      </w:r>
    </w:p>
    <w:p>
      <w:pPr>
        <w:spacing w:after="0" w:line="105" w:lineRule="exact"/>
        <w:rPr>
          <w:sz w:val="20"/>
          <w:szCs w:val="20"/>
          <w:color w:val="auto"/>
        </w:rPr>
      </w:pPr>
    </w:p>
    <w:p>
      <w:pPr>
        <w:ind w:right="180" w:firstLine="222"/>
        <w:spacing w:after="0" w:line="288" w:lineRule="auto"/>
        <w:rPr>
          <w:sz w:val="20"/>
          <w:szCs w:val="20"/>
          <w:color w:val="auto"/>
        </w:rPr>
      </w:pPr>
      <w:r>
        <w:rPr>
          <w:rFonts w:ascii="Arial" w:cs="Arial" w:eastAsia="Arial" w:hAnsi="Arial"/>
          <w:sz w:val="16"/>
          <w:szCs w:val="16"/>
          <w:color w:val="auto"/>
        </w:rPr>
        <w:t>Western Digital Corporation (the “Company”, “Western Digital” or “WD”) has a 52 or 53-week fiscal year, which typically ends on the Friday nearest to June 30. However, approximately every six years, the Company reports a 53-week fiscal year to align its fiscal quarters with calendar quarters by adding a week to its fourth fiscal quarter. The quarters ended December 30, 2005, and December 31, 2004, were 13 weeks. Fiscal year 2006 will be comprised of</w:t>
      </w:r>
    </w:p>
    <w:p>
      <w:pPr>
        <w:ind w:right="280"/>
        <w:spacing w:after="0" w:line="261" w:lineRule="auto"/>
        <w:rPr>
          <w:sz w:val="20"/>
          <w:szCs w:val="20"/>
          <w:color w:val="auto"/>
        </w:rPr>
      </w:pPr>
      <w:r>
        <w:rPr>
          <w:rFonts w:ascii="Arial" w:cs="Arial" w:eastAsia="Arial" w:hAnsi="Arial"/>
          <w:sz w:val="18"/>
          <w:szCs w:val="18"/>
          <w:color w:val="auto"/>
        </w:rPr>
        <w:t>52 weeks and will end on June 30, 2006. Unless otherwise indicated, references herein to specific years and quarters are to the Company’s fiscal years and fiscal quarters, and references to financial information are on a consolidated basis.</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information on the Company’s Web site, http://www.westerndigital.com, is not incorporated by reference in this Quarterly Report on Form 10-Q.</w:t>
      </w:r>
    </w:p>
    <w:p>
      <w:pPr>
        <w:spacing w:after="0" w:line="129"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Western Digital</w:t>
      </w:r>
      <w:r>
        <w:rPr>
          <w:rFonts w:ascii="Arial" w:cs="Arial" w:eastAsia="Arial" w:hAnsi="Arial"/>
          <w:sz w:val="15"/>
          <w:szCs w:val="15"/>
          <w:color w:val="auto"/>
        </w:rPr>
        <w:t>®</w:t>
      </w:r>
      <w:r>
        <w:rPr>
          <w:rFonts w:ascii="Arial" w:cs="Arial" w:eastAsia="Arial" w:hAnsi="Arial"/>
          <w:sz w:val="18"/>
          <w:szCs w:val="18"/>
          <w:color w:val="auto"/>
        </w:rPr>
        <w:t xml:space="preserve"> is a registered trademark, and the Western Digital logo is a trademark, of Western Digital Technologies, Inc. and/or its affiliates. All other trademarks mentioned are the property of their respective owners.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8340"/>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jc w:val="right"/>
        <w:ind w:right="8400"/>
        <w:spacing w:after="0"/>
        <w:rPr>
          <w:sz w:val="20"/>
          <w:szCs w:val="20"/>
          <w:color w:val="auto"/>
        </w:rPr>
      </w:pPr>
      <w:r>
        <w:rPr>
          <w:rFonts w:ascii="Arial" w:cs="Arial" w:eastAsia="Arial" w:hAnsi="Arial"/>
          <w:sz w:val="18"/>
          <w:szCs w:val="18"/>
          <w:b w:val="1"/>
          <w:bCs w:val="1"/>
          <w:color w:val="auto"/>
        </w:rPr>
        <w:t>Item 1</w:t>
      </w:r>
      <w:r>
        <w:rPr>
          <w:rFonts w:ascii="Arial" w:cs="Arial" w:eastAsia="Arial" w:hAnsi="Arial"/>
          <w:sz w:val="18"/>
          <w:szCs w:val="18"/>
          <w:b w:val="1"/>
          <w:bCs w:val="1"/>
          <w:i w:val="1"/>
          <w:iCs w:val="1"/>
          <w:color w:val="auto"/>
        </w:rPr>
        <w:t>.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values;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DEC. 30,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JUL. 1,</w:t>
            </w:r>
          </w:p>
        </w:tc>
        <w:tc>
          <w:tcPr>
            <w:tcW w:w="0" w:type="dxa"/>
            <w:vAlign w:val="bottom"/>
          </w:tcPr>
          <w:p>
            <w:pPr>
              <w:spacing w:after="0"/>
              <w:rPr>
                <w:sz w:val="1"/>
                <w:szCs w:val="1"/>
                <w:color w:val="auto"/>
              </w:rPr>
            </w:pPr>
          </w:p>
        </w:tc>
      </w:tr>
      <w:tr>
        <w:trPr>
          <w:trHeight w:val="17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550.2</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485.2</w:t>
            </w: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94.5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168.3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3"/>
        </w:trPr>
        <w:tc>
          <w:tcPr>
            <w:tcW w:w="928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1,324.6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Intangible and other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20.1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9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1,778.4</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1,588.6</w:t>
            </w:r>
          </w:p>
        </w:tc>
        <w:tc>
          <w:tcPr>
            <w:tcW w:w="0" w:type="dxa"/>
            <w:vAlign w:val="bottom"/>
          </w:tcPr>
          <w:p>
            <w:pPr>
              <w:spacing w:after="0"/>
              <w:rPr>
                <w:sz w:val="1"/>
                <w:szCs w:val="1"/>
                <w:color w:val="auto"/>
              </w:rPr>
            </w:pPr>
          </w:p>
        </w:tc>
      </w:tr>
      <w:tr>
        <w:trPr>
          <w:trHeight w:val="20"/>
        </w:trPr>
        <w:tc>
          <w:tcPr>
            <w:tcW w:w="9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580.2</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569.1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Accrued warranty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76.6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3"/>
        </w:trPr>
        <w:tc>
          <w:tcPr>
            <w:tcW w:w="928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35.5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Commitments and contingent liabilities (Note 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Preferred stock, $.01 par value; authorized — 5.0 shares; Outstanding — None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$.01 par value; authorized — 450.0 shares; Outstanding — 217.5 and 214.6 shares, respectively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704.0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696.2</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9280" w:type="dxa"/>
            <w:vAlign w:val="bottom"/>
          </w:tcPr>
          <w:p>
            <w:pPr>
              <w:ind w:left="220"/>
              <w:spacing w:after="0"/>
              <w:rPr>
                <w:sz w:val="20"/>
                <w:szCs w:val="20"/>
                <w:color w:val="auto"/>
              </w:rPr>
            </w:pPr>
            <w:r>
              <w:rPr>
                <w:rFonts w:ascii="Arial" w:cs="Arial" w:eastAsia="Arial" w:hAnsi="Arial"/>
                <w:sz w:val="18"/>
                <w:szCs w:val="18"/>
                <w:color w:val="auto"/>
              </w:rPr>
              <w:t>Treasury stock — common shares at cost; 0.1 and 0.9 shares, respectively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tcPr>
          <w:p>
            <w:pPr>
              <w:ind w:left="420"/>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1,778.4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1,588.6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20" w:type="dxa"/>
            <w:vAlign w:val="bottom"/>
            <w:gridSpan w:val="6"/>
          </w:tcPr>
          <w:p>
            <w:pPr>
              <w:ind w:left="1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40" w:type="dxa"/>
            <w:vAlign w:val="bottom"/>
            <w:tcBorders>
              <w:top w:val="single" w:sz="8" w:color="auto"/>
            </w:tcBorders>
            <w:gridSpan w:val="3"/>
          </w:tcPr>
          <w:p>
            <w:pPr>
              <w:ind w:left="60"/>
              <w:spacing w:after="0" w:line="119" w:lineRule="exact"/>
              <w:rPr>
                <w:sz w:val="20"/>
                <w:szCs w:val="20"/>
                <w:color w:val="auto"/>
              </w:rPr>
            </w:pPr>
            <w:r>
              <w:rPr>
                <w:rFonts w:ascii="Arial" w:cs="Arial" w:eastAsia="Arial" w:hAnsi="Arial"/>
                <w:sz w:val="13"/>
                <w:szCs w:val="13"/>
                <w:b w:val="1"/>
                <w:bCs w:val="1"/>
                <w:color w:val="auto"/>
              </w:rPr>
              <w:t>DEC. 30,</w:t>
            </w: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 31,</w:t>
            </w:r>
          </w:p>
        </w:tc>
        <w:tc>
          <w:tcPr>
            <w:tcW w:w="66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DEC. 30,</w:t>
            </w: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1,117.1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954.9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2,127.0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Cost of revenue</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888.8</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804.7</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1,720.4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1,515.2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406.6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146.2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47.8</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88.2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234.4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8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expense</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600"/>
              <w:spacing w:after="0"/>
              <w:rPr>
                <w:sz w:val="20"/>
                <w:szCs w:val="20"/>
                <w:color w:val="auto"/>
              </w:rPr>
            </w:pPr>
            <w:r>
              <w:rPr>
                <w:rFonts w:ascii="Arial" w:cs="Arial" w:eastAsia="Arial" w:hAnsi="Arial"/>
                <w:sz w:val="18"/>
                <w:szCs w:val="18"/>
                <w:color w:val="auto"/>
              </w:rPr>
              <w:t>Total non-operating income</w:t>
            </w:r>
          </w:p>
        </w:tc>
        <w:tc>
          <w:tcPr>
            <w:tcW w:w="18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Income tax provision</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income</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per common share:</w:t>
            </w:r>
          </w:p>
        </w:tc>
        <w:tc>
          <w:tcPr>
            <w:tcW w:w="1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2"/>
            <w:vMerge w:val="continue"/>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Basic</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212.8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205.1</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212.9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213.6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rPr>
              <w:t>DEC. 30,</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income</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173.1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74.2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Asset abandonment charge</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(25.4)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Prepaid expenses</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(56.3)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9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Capital expenditures, net</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(102.2)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Purchases of short-term investments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Sales of short-term investments</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72.7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9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employee plans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(26.3)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600"/>
              <w:spacing w:after="0"/>
              <w:rPr>
                <w:sz w:val="20"/>
                <w:szCs w:val="20"/>
                <w:color w:val="auto"/>
              </w:rPr>
            </w:pPr>
            <w:r>
              <w:rPr>
                <w:rFonts w:ascii="Arial" w:cs="Arial" w:eastAsia="Arial" w:hAnsi="Arial"/>
                <w:sz w:val="18"/>
                <w:szCs w:val="18"/>
                <w:color w:val="auto"/>
              </w:rPr>
              <w:t>Net cash used in financing activities</w:t>
            </w:r>
          </w:p>
        </w:tc>
        <w:tc>
          <w:tcPr>
            <w:tcW w:w="19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485.2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550.2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386.5</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 income taxes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Cash paid during the period for interest</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Equipment additions funded by capital lease obligations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14.7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line="44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20" w:firstLine="222"/>
        <w:spacing w:after="0" w:line="290" w:lineRule="auto"/>
        <w:rPr>
          <w:sz w:val="20"/>
          <w:szCs w:val="20"/>
          <w:color w:val="auto"/>
        </w:rPr>
      </w:pPr>
      <w:r>
        <w:rPr>
          <w:rFonts w:ascii="Arial" w:cs="Arial" w:eastAsia="Arial" w:hAnsi="Arial"/>
          <w:sz w:val="16"/>
          <w:szCs w:val="16"/>
          <w:color w:val="auto"/>
        </w:rPr>
        <w:t>The accounting policies followed by the Company are set forth in Note 1 of the Notes to Consolidated Financial Statements included in the Company’s Annual Report on Form 10-K as of and for the year ended July 1, 2005. In the opinion of management, all adjustments necessary to fairly state the unaudited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of America have been condensed or omitted pursuant to the rules and regulations of the Securities and Exchange Commission (“SEC”). These unaudited condensed consolidated financial statements should be read in conjunction with the consolidated financial statements and the notes thereto included in the Company’s Annual Report on Form 10-K as of and for the year ended July 1, 2005. The results of operations for interim periods are not necessarily indicative of results to be expected for the full year. Certain prior period amounts have been reclassified to conform to current period presentation.</w:t>
      </w:r>
    </w:p>
    <w:p>
      <w:pPr>
        <w:spacing w:after="0" w:line="58"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Company management has made estimates and assumptions relating to the reporting of certain assets and liabilities in conformity with generally accepted accounting principles. These estimates and assumptions have been applied using methodologies that are consistent throughout the periods presented. However, actual results could differ from these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Supplemental Financial Statement Data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8"/>
              </w:rPr>
              <w:t>DEC. 30,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JUL. 1,</w:t>
            </w:r>
          </w:p>
        </w:tc>
      </w:tr>
      <w:tr>
        <w:trPr>
          <w:trHeight w:val="171"/>
        </w:trPr>
        <w:tc>
          <w:tcPr>
            <w:tcW w:w="60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Raw materials and component parts</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17.6</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Work in process</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Finished goods</w:t>
            </w: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92.3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78.7</w:t>
            </w:r>
          </w:p>
        </w:tc>
      </w:tr>
      <w:tr>
        <w:trPr>
          <w:trHeight w:val="27"/>
        </w:trPr>
        <w:tc>
          <w:tcPr>
            <w:tcW w:w="60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4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152.9</w:t>
            </w:r>
          </w:p>
        </w:tc>
      </w:tr>
      <w:tr>
        <w:trPr>
          <w:trHeight w:val="20"/>
        </w:trPr>
        <w:tc>
          <w:tcPr>
            <w:tcW w:w="60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The Company records an accrual for estimated warranty costs when revenue is recognized. Warranty covers costs of repair or replacement of the hard disk drive over the warranty period, which generally ranges from one to five years. This accrual is based on estimated future returns within the warranty period and costs to repair, using factory test data, historical field returns and current average repair costs by product type. If actual product return trends or costs to repair returned products demonstrate significant differences from expectations at any time during the warranty period, a change in the warranty provision is made. Changes in the warranty accrual for the three and six months ended December 30, 2005, and December 31, 2004, were as follows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93"/>
              <w:spacing w:after="0"/>
              <w:rPr>
                <w:sz w:val="20"/>
                <w:szCs w:val="20"/>
                <w:color w:val="auto"/>
              </w:rPr>
            </w:pPr>
            <w:r>
              <w:rPr>
                <w:rFonts w:ascii="Arial" w:cs="Arial" w:eastAsia="Arial" w:hAnsi="Arial"/>
                <w:sz w:val="14"/>
                <w:szCs w:val="14"/>
                <w:b w:val="1"/>
                <w:bCs w:val="1"/>
                <w:color w:val="auto"/>
              </w:rPr>
              <w:t>ENDED</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4"/>
                <w:szCs w:val="14"/>
                <w:b w:val="1"/>
                <w:bCs w:val="1"/>
                <w:color w:val="auto"/>
              </w:rPr>
              <w:t>ENDED</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6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DEC. 30,</w:t>
            </w:r>
          </w:p>
        </w:tc>
        <w:tc>
          <w:tcPr>
            <w:tcW w:w="64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 31,</w:t>
            </w:r>
          </w:p>
        </w:tc>
        <w:tc>
          <w:tcPr>
            <w:tcW w:w="660" w:type="dxa"/>
            <w:vAlign w:val="bottom"/>
          </w:tcPr>
          <w:p>
            <w:pPr>
              <w:spacing w:after="0"/>
              <w:rPr>
                <w:sz w:val="10"/>
                <w:szCs w:val="10"/>
                <w:color w:val="auto"/>
              </w:rPr>
            </w:pPr>
          </w:p>
        </w:tc>
        <w:tc>
          <w:tcPr>
            <w:tcW w:w="76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rPr>
              <w:t>DEC. 30,</w:t>
            </w:r>
          </w:p>
        </w:tc>
        <w:tc>
          <w:tcPr>
            <w:tcW w:w="60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Warranty accrual, beginning of period</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91.9</w:t>
            </w: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Charges to operations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40.8</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Utilization</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Changes in estimate related to pre-existing warranties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Warranty accrual, end of period</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r>
              <w:rPr>
                <w:rFonts w:ascii="Arial" w:cs="Arial" w:eastAsia="Arial" w:hAnsi="Arial"/>
                <w:sz w:val="18"/>
                <w:szCs w:val="18"/>
                <w:u w:val="single" w:color="auto"/>
                <w:color w:val="auto"/>
              </w:rPr>
              <w:t>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w:t>
            </w:r>
            <w:r>
              <w:rPr>
                <w:rFonts w:ascii="Arial" w:cs="Arial" w:eastAsia="Arial" w:hAnsi="Arial"/>
                <w:sz w:val="18"/>
                <w:szCs w:val="18"/>
                <w:u w:val="single" w:color="auto"/>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r>
              <w:rPr>
                <w:rFonts w:ascii="Arial" w:cs="Arial" w:eastAsia="Arial" w:hAnsi="Arial"/>
                <w:sz w:val="18"/>
                <w:szCs w:val="18"/>
                <w:u w:val="single" w:color="auto"/>
                <w:color w:val="auto"/>
              </w:rPr>
              <w:t>3</w:t>
            </w:r>
          </w:p>
        </w:tc>
        <w:tc>
          <w:tcPr>
            <w:tcW w:w="76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r>
              <w:rPr>
                <w:rFonts w:ascii="Arial" w:cs="Arial" w:eastAsia="Arial" w:hAnsi="Arial"/>
                <w:sz w:val="18"/>
                <w:szCs w:val="18"/>
                <w:u w:val="single" w:color="auto"/>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0" w:firstLine="215"/>
        <w:spacing w:after="0" w:line="277" w:lineRule="auto"/>
        <w:rPr>
          <w:sz w:val="20"/>
          <w:szCs w:val="20"/>
          <w:color w:val="auto"/>
        </w:rPr>
      </w:pPr>
      <w:r>
        <w:rPr>
          <w:rFonts w:ascii="Arial" w:cs="Arial" w:eastAsia="Arial" w:hAnsi="Arial"/>
          <w:sz w:val="18"/>
          <w:szCs w:val="18"/>
          <w:color w:val="auto"/>
        </w:rPr>
        <w:t>Accrued warranty also includes amounts classified in non-current liabilities of $18.7 million at December 30, 2005, $16.7 million at July 1, 2005, and $15.0 million at December 31, 2004.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per Share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illustrates the computation of basic and diluted income per common share (in millions, except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89"/>
              <w:spacing w:after="0"/>
              <w:rPr>
                <w:sz w:val="20"/>
                <w:szCs w:val="20"/>
                <w:color w:val="auto"/>
              </w:rPr>
            </w:pPr>
            <w:r>
              <w:rPr>
                <w:rFonts w:ascii="Arial" w:cs="Arial" w:eastAsia="Arial" w:hAnsi="Arial"/>
                <w:sz w:val="14"/>
                <w:szCs w:val="14"/>
                <w:b w:val="1"/>
                <w:bCs w:val="1"/>
                <w:color w:val="auto"/>
              </w:rPr>
              <w:t>ENDED</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69"/>
              <w:spacing w:after="0"/>
              <w:rPr>
                <w:sz w:val="20"/>
                <w:szCs w:val="20"/>
                <w:color w:val="auto"/>
              </w:rPr>
            </w:pPr>
            <w:r>
              <w:rPr>
                <w:rFonts w:ascii="Arial" w:cs="Arial" w:eastAsia="Arial" w:hAnsi="Arial"/>
                <w:sz w:val="14"/>
                <w:szCs w:val="14"/>
                <w:b w:val="1"/>
                <w:bCs w:val="1"/>
                <w:color w:val="auto"/>
              </w:rPr>
              <w:t>ENDED</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DEC. 30,</w:t>
            </w:r>
          </w:p>
        </w:tc>
        <w:tc>
          <w:tcPr>
            <w:tcW w:w="68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 31,</w:t>
            </w:r>
          </w:p>
        </w:tc>
        <w:tc>
          <w:tcPr>
            <w:tcW w:w="660" w:type="dxa"/>
            <w:vAlign w:val="bottom"/>
          </w:tcPr>
          <w:p>
            <w:pPr>
              <w:spacing w:after="0"/>
              <w:rPr>
                <w:sz w:val="10"/>
                <w:szCs w:val="10"/>
                <w:color w:val="auto"/>
              </w:rPr>
            </w:pPr>
          </w:p>
        </w:tc>
        <w:tc>
          <w:tcPr>
            <w:tcW w:w="720" w:type="dxa"/>
            <w:vAlign w:val="bottom"/>
            <w:gridSpan w:val="3"/>
          </w:tcPr>
          <w:p>
            <w:pPr>
              <w:jc w:val="right"/>
              <w:ind w:right="100"/>
              <w:spacing w:after="0" w:line="119" w:lineRule="exact"/>
              <w:rPr>
                <w:sz w:val="20"/>
                <w:szCs w:val="20"/>
                <w:color w:val="auto"/>
              </w:rPr>
            </w:pPr>
            <w:r>
              <w:rPr>
                <w:rFonts w:ascii="Arial" w:cs="Arial" w:eastAsia="Arial" w:hAnsi="Arial"/>
                <w:sz w:val="13"/>
                <w:szCs w:val="13"/>
                <w:b w:val="1"/>
                <w:bCs w:val="1"/>
                <w:color w:val="auto"/>
              </w:rPr>
              <w:t>DEC. 30,</w:t>
            </w:r>
          </w:p>
        </w:tc>
        <w:tc>
          <w:tcPr>
            <w:tcW w:w="64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173.1</w:t>
            </w:r>
          </w:p>
        </w:tc>
        <w:tc>
          <w:tcPr>
            <w:tcW w:w="8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205.1</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212.9</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Employee stock options and 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Income per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8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22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For purposes of computing diluted income per share, common share equivalents with an exercise price that exceeded the average fair market value of common stock for the period are considered antidilutive and have been excluded from the calculation for employee stock options. These antidilutive common share equivalents totaled 5.5 million and 8.8 million for the three months ended December 30, 2005, and December 31, 2004, respectively, and 5.7 million and 8.2 million for the six months ended December 30, 2005, and December 31, 2004,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Effective July 2, 2005, the Company adopted Statement of Financial Accounting Standards No. 123 (Revised 2004), “Share Based Payment” (“SFAS 123-R”). SFAS 123-R establishes the financial accounting and reporting standards for stock-based compensation plans. As required by SFAS 123-R, the Company recognized the cost resulting from all share-based payment transactions including shares issued under the Company’s stock option plans and employee stock purchase plan (“ESPP”) in the financial statements. As a result of adopting SFAS 123-R, the Company’s income before income taxes and net income for the three months ended December 30, 2005, were $4.2 million and $4.1 million lower, respectively, than if the Company had continued to account for share-based compensation under Accounting Principles Board Opinion No. 25, “Accounting for Stock Issued to Employees” and its related interpretations (“APB 25”). Income before income taxes and net income for the six months ended December 30, 2005, were $8.9 million and $8.7 million lower, respectively, than if the Company had continued to account for share-based payment under APB 25. Basic and diluted net income per share would have been $0.51 and $0.49 for the three months ended December 30, 2005, if the Company had not adopted SFAS 123-R. Basic and diluted net income per share would have been $0.85 and $0.82, respectively, for the six months ended December 30, 2005, if the Company had not adopted SFAS 123-R. At December 30, 2005, the total compensation cost related to unvested stock options granted to employees but not yet recognized was $31.6 million and will be amortized on a straight-line basis over a weighted average period of approximately 2.2 years.</w:t>
      </w:r>
    </w:p>
    <w:p>
      <w:pPr>
        <w:spacing w:after="0" w:line="72" w:lineRule="exact"/>
        <w:rPr>
          <w:sz w:val="20"/>
          <w:szCs w:val="20"/>
          <w:color w:val="auto"/>
        </w:rPr>
      </w:pPr>
    </w:p>
    <w:p>
      <w:pPr>
        <w:ind w:right="180" w:firstLine="225"/>
        <w:spacing w:after="0" w:line="273" w:lineRule="auto"/>
        <w:rPr>
          <w:sz w:val="20"/>
          <w:szCs w:val="20"/>
          <w:color w:val="auto"/>
        </w:rPr>
      </w:pPr>
      <w:r>
        <w:rPr>
          <w:rFonts w:ascii="Arial" w:cs="Arial" w:eastAsia="Arial" w:hAnsi="Arial"/>
          <w:sz w:val="17"/>
          <w:szCs w:val="17"/>
          <w:color w:val="auto"/>
        </w:rPr>
        <w:t>Prior to July 2, 2005, the Company accounted for stock-based employee compensation plans (including shares issued under the Company’s stock option plans and ESPP) in accordance with APB 25 and followed the pro forma net income, pro forma income per share, and stock-based compensation plan disclosure requirements set forth in the Statement of Financial Accounting Standards No. 123, “Accounting for Stock-Based Compensation” (“SFAS 123”). The following table sets forth the computation of basic and diluted income per share for the three and six months ended December 31, 2004, and illustrates the effect on net income and income per share as if the Company had applied the fair value recognition provisions of SFAS 123 to stock-based employee compensation (in millions, except per share data):</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THREE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SIX</w:t>
            </w:r>
          </w:p>
        </w:tc>
        <w:tc>
          <w:tcPr>
            <w:tcW w:w="0" w:type="dxa"/>
            <w:vAlign w:val="bottom"/>
          </w:tcPr>
          <w:p>
            <w:pPr>
              <w:spacing w:after="0"/>
              <w:rPr>
                <w:sz w:val="1"/>
                <w:szCs w:val="1"/>
                <w:color w:val="auto"/>
              </w:rPr>
            </w:pPr>
          </w:p>
        </w:tc>
      </w:tr>
      <w:tr>
        <w:trPr>
          <w:trHeight w:val="149"/>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MONTHS</w:t>
            </w:r>
          </w:p>
        </w:tc>
        <w:tc>
          <w:tcPr>
            <w:tcW w:w="32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MONTHS</w:t>
            </w:r>
          </w:p>
        </w:tc>
        <w:tc>
          <w:tcPr>
            <w:tcW w:w="0" w:type="dxa"/>
            <w:vAlign w:val="bottom"/>
          </w:tcPr>
          <w:p>
            <w:pPr>
              <w:spacing w:after="0"/>
              <w:rPr>
                <w:sz w:val="1"/>
                <w:szCs w:val="1"/>
                <w:color w:val="auto"/>
              </w:rPr>
            </w:pPr>
          </w:p>
        </w:tc>
      </w:tr>
      <w:tr>
        <w:trPr>
          <w:trHeight w:val="17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ENDED</w:t>
            </w:r>
          </w:p>
        </w:tc>
        <w:tc>
          <w:tcPr>
            <w:tcW w:w="32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19"/>
        </w:trPr>
        <w:tc>
          <w:tcPr>
            <w:tcW w:w="9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Borders>
              <w:top w:val="single" w:sz="8" w:color="auto"/>
            </w:tcBorders>
            <w:gridSpan w:val="4"/>
          </w:tcPr>
          <w:p>
            <w:pPr>
              <w:jc w:val="center"/>
              <w:ind w:right="380"/>
              <w:spacing w:after="0" w:line="119" w:lineRule="exact"/>
              <w:rPr>
                <w:sz w:val="20"/>
                <w:szCs w:val="20"/>
                <w:color w:val="auto"/>
              </w:rPr>
            </w:pPr>
            <w:r>
              <w:rPr>
                <w:rFonts w:ascii="Arial" w:cs="Arial" w:eastAsia="Arial" w:hAnsi="Arial"/>
                <w:sz w:val="13"/>
                <w:szCs w:val="13"/>
                <w:b w:val="1"/>
                <w:bCs w:val="1"/>
                <w:color w:val="auto"/>
              </w:rPr>
              <w:t>DEC. 31,</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DEC.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56.0</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Add: Stock-based employee compensation included in reported net income, net of related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2"/>
        </w:trPr>
        <w:tc>
          <w:tcPr>
            <w:tcW w:w="9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Deduct: Total stock-based employee compensation expense determined under the fair value based method for all</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awards, net of related tax effects</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3"/>
        </w:trPr>
        <w:tc>
          <w:tcPr>
            <w:tcW w:w="9280" w:type="dxa"/>
            <w:vAlign w:val="bottom"/>
          </w:tcPr>
          <w:p>
            <w:pPr>
              <w:ind w:left="220"/>
              <w:spacing w:after="0"/>
              <w:rPr>
                <w:sz w:val="20"/>
                <w:szCs w:val="20"/>
                <w:color w:val="auto"/>
              </w:rPr>
            </w:pPr>
            <w:r>
              <w:rPr>
                <w:rFonts w:ascii="Arial" w:cs="Arial" w:eastAsia="Arial" w:hAnsi="Arial"/>
                <w:sz w:val="18"/>
                <w:szCs w:val="18"/>
                <w:color w:val="auto"/>
              </w:rPr>
              <w:t>Pro forma net income</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share: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As reported</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 forma</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9280" w:type="dxa"/>
            <w:vAlign w:val="bottom"/>
            <w:vMerge w:val="restart"/>
          </w:tcPr>
          <w:p>
            <w:pPr>
              <w:spacing w:after="0"/>
              <w:rPr>
                <w:sz w:val="20"/>
                <w:szCs w:val="20"/>
                <w:color w:val="auto"/>
              </w:rPr>
            </w:pPr>
            <w:r>
              <w:rPr>
                <w:rFonts w:ascii="Arial" w:cs="Arial" w:eastAsia="Arial" w:hAnsi="Arial"/>
                <w:sz w:val="18"/>
                <w:szCs w:val="18"/>
                <w:color w:val="auto"/>
              </w:rPr>
              <w:t>Diluted income per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reported</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9280" w:type="dxa"/>
            <w:vAlign w:val="bottom"/>
            <w:vMerge w:val="restart"/>
          </w:tcPr>
          <w:p>
            <w:pPr>
              <w:ind w:left="220"/>
              <w:spacing w:after="0"/>
              <w:rPr>
                <w:sz w:val="20"/>
                <w:szCs w:val="20"/>
                <w:color w:val="auto"/>
              </w:rPr>
            </w:pPr>
            <w:r>
              <w:rPr>
                <w:rFonts w:ascii="Arial" w:cs="Arial" w:eastAsia="Arial" w:hAnsi="Arial"/>
                <w:sz w:val="18"/>
                <w:szCs w:val="18"/>
                <w:color w:val="auto"/>
              </w:rPr>
              <w:t>Pro forma</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Disclosures</w:t>
      </w:r>
    </w:p>
    <w:p>
      <w:pPr>
        <w:spacing w:after="0" w:line="117"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The fair value of stock options granted during the three and six months ended December 30, 2005, was estimated using a binomial option pricing model. The binomial model requires the input of highly subjective assumptions including the expected stock price volatility, the expected price multiple at which employees are likely to exercise stock options and the expected employee termination rate. The Company uses historical data to estimate option exercise, employee termination, and expected stock price volatility within the binomial model. The risk-free rate for periods within the contractual life of the option is based on the U.S. Treasury yield curve in effect at the time of grant.</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fair value of stock options granted during the six months ended December 30, 2005, was estimated using the following weighted average assumptions: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440" w:type="dxa"/>
            <w:vAlign w:val="bottom"/>
          </w:tcPr>
          <w:p>
            <w:pPr>
              <w:jc w:val="center"/>
              <w:ind w:right="338"/>
              <w:spacing w:after="0"/>
              <w:rPr>
                <w:sz w:val="20"/>
                <w:szCs w:val="20"/>
                <w:color w:val="auto"/>
              </w:rPr>
            </w:pPr>
            <w:r>
              <w:rPr>
                <w:rFonts w:ascii="Arial" w:cs="Arial" w:eastAsia="Arial" w:hAnsi="Arial"/>
                <w:sz w:val="14"/>
                <w:szCs w:val="14"/>
                <w:b w:val="1"/>
                <w:bCs w:val="1"/>
                <w:color w:val="auto"/>
              </w:rPr>
              <w:t>THREE</w:t>
            </w:r>
          </w:p>
        </w:tc>
        <w:tc>
          <w:tcPr>
            <w:tcW w:w="1460" w:type="dxa"/>
            <w:vAlign w:val="bottom"/>
            <w:gridSpan w:val="2"/>
          </w:tcPr>
          <w:p>
            <w:pPr>
              <w:jc w:val="center"/>
              <w:ind w:left="18"/>
              <w:spacing w:after="0"/>
              <w:rPr>
                <w:sz w:val="20"/>
                <w:szCs w:val="20"/>
                <w:color w:val="auto"/>
              </w:rPr>
            </w:pPr>
            <w:r>
              <w:rPr>
                <w:rFonts w:ascii="Arial" w:cs="Arial" w:eastAsia="Arial" w:hAnsi="Arial"/>
                <w:sz w:val="14"/>
                <w:szCs w:val="14"/>
                <w:b w:val="1"/>
                <w:bCs w:val="1"/>
                <w:color w:val="auto"/>
              </w:rPr>
              <w:t>SIX</w:t>
            </w:r>
          </w:p>
        </w:tc>
      </w:tr>
      <w:tr>
        <w:trPr>
          <w:trHeight w:val="149"/>
        </w:trPr>
        <w:tc>
          <w:tcPr>
            <w:tcW w:w="8520" w:type="dxa"/>
            <w:vAlign w:val="bottom"/>
          </w:tcPr>
          <w:p>
            <w:pPr>
              <w:spacing w:after="0"/>
              <w:rPr>
                <w:sz w:val="12"/>
                <w:szCs w:val="12"/>
                <w:color w:val="auto"/>
              </w:rPr>
            </w:pPr>
          </w:p>
        </w:tc>
        <w:tc>
          <w:tcPr>
            <w:tcW w:w="1440" w:type="dxa"/>
            <w:vAlign w:val="bottom"/>
          </w:tcPr>
          <w:p>
            <w:pPr>
              <w:jc w:val="center"/>
              <w:ind w:right="358"/>
              <w:spacing w:after="0" w:line="149" w:lineRule="exact"/>
              <w:rPr>
                <w:sz w:val="20"/>
                <w:szCs w:val="20"/>
                <w:color w:val="auto"/>
              </w:rPr>
            </w:pPr>
            <w:r>
              <w:rPr>
                <w:rFonts w:ascii="Arial" w:cs="Arial" w:eastAsia="Arial" w:hAnsi="Arial"/>
                <w:sz w:val="14"/>
                <w:szCs w:val="14"/>
                <w:b w:val="1"/>
                <w:bCs w:val="1"/>
                <w:color w:val="auto"/>
              </w:rPr>
              <w:t>MONTHS</w:t>
            </w:r>
          </w:p>
        </w:tc>
        <w:tc>
          <w:tcPr>
            <w:tcW w:w="1460" w:type="dxa"/>
            <w:vAlign w:val="bottom"/>
            <w:gridSpan w:val="2"/>
          </w:tcPr>
          <w:p>
            <w:pPr>
              <w:jc w:val="center"/>
              <w:ind w:left="18"/>
              <w:spacing w:after="0" w:line="149" w:lineRule="exact"/>
              <w:rPr>
                <w:sz w:val="20"/>
                <w:szCs w:val="20"/>
                <w:color w:val="auto"/>
              </w:rPr>
            </w:pPr>
            <w:r>
              <w:rPr>
                <w:rFonts w:ascii="Arial" w:cs="Arial" w:eastAsia="Arial" w:hAnsi="Arial"/>
                <w:sz w:val="14"/>
                <w:szCs w:val="14"/>
                <w:b w:val="1"/>
                <w:bCs w:val="1"/>
                <w:color w:val="auto"/>
              </w:rPr>
              <w:t>MONTHS</w:t>
            </w:r>
          </w:p>
        </w:tc>
      </w:tr>
      <w:tr>
        <w:trPr>
          <w:trHeight w:val="171"/>
        </w:trPr>
        <w:tc>
          <w:tcPr>
            <w:tcW w:w="8520" w:type="dxa"/>
            <w:vAlign w:val="bottom"/>
          </w:tcPr>
          <w:p>
            <w:pPr>
              <w:spacing w:after="0"/>
              <w:rPr>
                <w:sz w:val="14"/>
                <w:szCs w:val="14"/>
                <w:color w:val="auto"/>
              </w:rPr>
            </w:pPr>
          </w:p>
        </w:tc>
        <w:tc>
          <w:tcPr>
            <w:tcW w:w="1440" w:type="dxa"/>
            <w:vAlign w:val="bottom"/>
          </w:tcPr>
          <w:p>
            <w:pPr>
              <w:jc w:val="center"/>
              <w:ind w:right="338"/>
              <w:spacing w:after="0"/>
              <w:rPr>
                <w:sz w:val="20"/>
                <w:szCs w:val="20"/>
                <w:color w:val="auto"/>
              </w:rPr>
            </w:pPr>
            <w:r>
              <w:rPr>
                <w:rFonts w:ascii="Arial" w:cs="Arial" w:eastAsia="Arial" w:hAnsi="Arial"/>
                <w:sz w:val="14"/>
                <w:szCs w:val="14"/>
                <w:b w:val="1"/>
                <w:bCs w:val="1"/>
                <w:color w:val="auto"/>
              </w:rPr>
              <w:t>ENDED</w:t>
            </w:r>
          </w:p>
        </w:tc>
        <w:tc>
          <w:tcPr>
            <w:tcW w:w="1460" w:type="dxa"/>
            <w:vAlign w:val="bottom"/>
            <w:gridSpan w:val="2"/>
          </w:tcPr>
          <w:p>
            <w:pPr>
              <w:jc w:val="center"/>
              <w:ind w:left="38"/>
              <w:spacing w:after="0"/>
              <w:rPr>
                <w:sz w:val="20"/>
                <w:szCs w:val="20"/>
                <w:color w:val="auto"/>
              </w:rPr>
            </w:pPr>
            <w:r>
              <w:rPr>
                <w:rFonts w:ascii="Arial" w:cs="Arial" w:eastAsia="Arial" w:hAnsi="Arial"/>
                <w:sz w:val="14"/>
                <w:szCs w:val="14"/>
                <w:b w:val="1"/>
                <w:bCs w:val="1"/>
                <w:color w:val="auto"/>
              </w:rPr>
              <w:t>ENDED</w:t>
            </w:r>
          </w:p>
        </w:tc>
      </w:tr>
      <w:tr>
        <w:trPr>
          <w:trHeight w:val="119"/>
        </w:trPr>
        <w:tc>
          <w:tcPr>
            <w:tcW w:w="8520" w:type="dxa"/>
            <w:vAlign w:val="bottom"/>
          </w:tcPr>
          <w:p>
            <w:pPr>
              <w:spacing w:after="0"/>
              <w:rPr>
                <w:sz w:val="10"/>
                <w:szCs w:val="10"/>
                <w:color w:val="auto"/>
              </w:rPr>
            </w:pPr>
          </w:p>
        </w:tc>
        <w:tc>
          <w:tcPr>
            <w:tcW w:w="1440" w:type="dxa"/>
            <w:vAlign w:val="bottom"/>
            <w:tcBorders>
              <w:top w:val="single" w:sz="8" w:color="auto"/>
            </w:tcBorders>
          </w:tcPr>
          <w:p>
            <w:pPr>
              <w:jc w:val="center"/>
              <w:ind w:right="338"/>
              <w:spacing w:after="0" w:line="119" w:lineRule="exact"/>
              <w:rPr>
                <w:sz w:val="20"/>
                <w:szCs w:val="20"/>
                <w:color w:val="auto"/>
              </w:rPr>
            </w:pPr>
            <w:r>
              <w:rPr>
                <w:rFonts w:ascii="Arial" w:cs="Arial" w:eastAsia="Arial" w:hAnsi="Arial"/>
                <w:sz w:val="13"/>
                <w:szCs w:val="13"/>
                <w:b w:val="1"/>
                <w:bCs w:val="1"/>
                <w:color w:val="auto"/>
              </w:rPr>
              <w:t>DEC. 30,</w:t>
            </w:r>
          </w:p>
        </w:tc>
        <w:tc>
          <w:tcPr>
            <w:tcW w:w="1300" w:type="dxa"/>
            <w:vAlign w:val="bottom"/>
            <w:tcBorders>
              <w:top w:val="single" w:sz="8" w:color="auto"/>
            </w:tcBorders>
          </w:tcPr>
          <w:p>
            <w:pPr>
              <w:jc w:val="center"/>
              <w:ind w:left="178"/>
              <w:spacing w:after="0" w:line="119" w:lineRule="exact"/>
              <w:rPr>
                <w:sz w:val="20"/>
                <w:szCs w:val="20"/>
                <w:color w:val="auto"/>
              </w:rPr>
            </w:pPr>
            <w:r>
              <w:rPr>
                <w:rFonts w:ascii="Arial" w:cs="Arial" w:eastAsia="Arial" w:hAnsi="Arial"/>
                <w:sz w:val="13"/>
                <w:szCs w:val="13"/>
                <w:b w:val="1"/>
                <w:bCs w:val="1"/>
                <w:color w:val="auto"/>
              </w:rPr>
              <w:t>DEC. 30,</w:t>
            </w:r>
          </w:p>
        </w:tc>
        <w:tc>
          <w:tcPr>
            <w:tcW w:w="160" w:type="dxa"/>
            <w:vAlign w:val="bottom"/>
          </w:tcPr>
          <w:p>
            <w:pPr>
              <w:spacing w:after="0"/>
              <w:rPr>
                <w:sz w:val="10"/>
                <w:szCs w:val="10"/>
                <w:color w:val="auto"/>
              </w:rPr>
            </w:pPr>
          </w:p>
        </w:tc>
      </w:tr>
      <w:tr>
        <w:trPr>
          <w:trHeight w:val="171"/>
        </w:trPr>
        <w:tc>
          <w:tcPr>
            <w:tcW w:w="8520" w:type="dxa"/>
            <w:vAlign w:val="bottom"/>
          </w:tcPr>
          <w:p>
            <w:pPr>
              <w:spacing w:after="0"/>
              <w:rPr>
                <w:sz w:val="14"/>
                <w:szCs w:val="14"/>
                <w:color w:val="auto"/>
              </w:rPr>
            </w:pPr>
          </w:p>
        </w:tc>
        <w:tc>
          <w:tcPr>
            <w:tcW w:w="1440" w:type="dxa"/>
            <w:vAlign w:val="bottom"/>
            <w:tcBorders>
              <w:bottom w:val="single" w:sz="8" w:color="auto"/>
            </w:tcBorders>
          </w:tcPr>
          <w:p>
            <w:pPr>
              <w:jc w:val="center"/>
              <w:ind w:right="338"/>
              <w:spacing w:after="0"/>
              <w:rPr>
                <w:sz w:val="20"/>
                <w:szCs w:val="20"/>
                <w:color w:val="auto"/>
              </w:rPr>
            </w:pPr>
            <w:r>
              <w:rPr>
                <w:rFonts w:ascii="Arial" w:cs="Arial" w:eastAsia="Arial" w:hAnsi="Arial"/>
                <w:sz w:val="14"/>
                <w:szCs w:val="14"/>
                <w:b w:val="1"/>
                <w:bCs w:val="1"/>
                <w:color w:val="auto"/>
                <w:w w:val="96"/>
              </w:rPr>
              <w:t>2005</w:t>
            </w:r>
          </w:p>
        </w:tc>
        <w:tc>
          <w:tcPr>
            <w:tcW w:w="1300" w:type="dxa"/>
            <w:vAlign w:val="bottom"/>
            <w:tcBorders>
              <w:bottom w:val="single" w:sz="8" w:color="auto"/>
            </w:tcBorders>
          </w:tcPr>
          <w:p>
            <w:pPr>
              <w:jc w:val="center"/>
              <w:ind w:left="178"/>
              <w:spacing w:after="0"/>
              <w:rPr>
                <w:sz w:val="20"/>
                <w:szCs w:val="20"/>
                <w:color w:val="auto"/>
              </w:rPr>
            </w:pPr>
            <w:r>
              <w:rPr>
                <w:rFonts w:ascii="Arial" w:cs="Arial" w:eastAsia="Arial" w:hAnsi="Arial"/>
                <w:sz w:val="14"/>
                <w:szCs w:val="14"/>
                <w:b w:val="1"/>
                <w:bCs w:val="1"/>
                <w:color w:val="auto"/>
                <w:w w:val="89"/>
              </w:rPr>
              <w:t>2005</w:t>
            </w:r>
          </w:p>
        </w:tc>
        <w:tc>
          <w:tcPr>
            <w:tcW w:w="160" w:type="dxa"/>
            <w:vAlign w:val="bottom"/>
          </w:tcPr>
          <w:p>
            <w:pPr>
              <w:spacing w:after="0"/>
              <w:rPr>
                <w:sz w:val="14"/>
                <w:szCs w:val="14"/>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Suboptimal exercise factor</w:t>
            </w:r>
          </w:p>
        </w:tc>
        <w:tc>
          <w:tcPr>
            <w:tcW w:w="1440" w:type="dxa"/>
            <w:vAlign w:val="bottom"/>
            <w:shd w:val="clear" w:color="auto" w:fill="CCEEFF"/>
          </w:tcPr>
          <w:p>
            <w:pPr>
              <w:jc w:val="center"/>
              <w:ind w:right="178"/>
              <w:spacing w:after="0"/>
              <w:rPr>
                <w:sz w:val="20"/>
                <w:szCs w:val="20"/>
                <w:color w:val="auto"/>
              </w:rPr>
            </w:pPr>
            <w:r>
              <w:rPr>
                <w:rFonts w:ascii="Arial" w:cs="Arial" w:eastAsia="Arial" w:hAnsi="Arial"/>
                <w:sz w:val="18"/>
                <w:szCs w:val="18"/>
                <w:color w:val="auto"/>
                <w:w w:val="85"/>
              </w:rPr>
              <w:t>1.52</w:t>
            </w:r>
          </w:p>
        </w:tc>
        <w:tc>
          <w:tcPr>
            <w:tcW w:w="1300" w:type="dxa"/>
            <w:vAlign w:val="bottom"/>
            <w:shd w:val="clear" w:color="auto" w:fill="CCEEFF"/>
          </w:tcPr>
          <w:p>
            <w:pPr>
              <w:jc w:val="center"/>
              <w:ind w:left="338"/>
              <w:spacing w:after="0"/>
              <w:rPr>
                <w:sz w:val="20"/>
                <w:szCs w:val="20"/>
                <w:color w:val="auto"/>
              </w:rPr>
            </w:pPr>
            <w:r>
              <w:rPr>
                <w:rFonts w:ascii="Arial" w:cs="Arial" w:eastAsia="Arial" w:hAnsi="Arial"/>
                <w:sz w:val="18"/>
                <w:szCs w:val="18"/>
                <w:color w:val="auto"/>
                <w:w w:val="91"/>
              </w:rPr>
              <w:t>1.54</w:t>
            </w:r>
          </w:p>
        </w:tc>
        <w:tc>
          <w:tcPr>
            <w:tcW w:w="16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Range of risk-free interest rates</w:t>
            </w:r>
          </w:p>
        </w:tc>
        <w:tc>
          <w:tcPr>
            <w:tcW w:w="1440" w:type="dxa"/>
            <w:vAlign w:val="bottom"/>
          </w:tcPr>
          <w:p>
            <w:pPr>
              <w:jc w:val="center"/>
              <w:ind w:right="158"/>
              <w:spacing w:after="0"/>
              <w:rPr>
                <w:sz w:val="20"/>
                <w:szCs w:val="20"/>
                <w:color w:val="auto"/>
              </w:rPr>
            </w:pPr>
            <w:r>
              <w:rPr>
                <w:rFonts w:ascii="Arial" w:cs="Arial" w:eastAsia="Arial" w:hAnsi="Arial"/>
                <w:sz w:val="18"/>
                <w:szCs w:val="18"/>
                <w:color w:val="auto"/>
                <w:w w:val="91"/>
              </w:rPr>
              <w:t>4.35% to 4.41%</w:t>
            </w:r>
          </w:p>
        </w:tc>
        <w:tc>
          <w:tcPr>
            <w:tcW w:w="1460" w:type="dxa"/>
            <w:vAlign w:val="bottom"/>
            <w:gridSpan w:val="2"/>
          </w:tcPr>
          <w:p>
            <w:pPr>
              <w:jc w:val="center"/>
              <w:ind w:left="178"/>
              <w:spacing w:after="0"/>
              <w:rPr>
                <w:sz w:val="20"/>
                <w:szCs w:val="20"/>
                <w:color w:val="auto"/>
              </w:rPr>
            </w:pPr>
            <w:r>
              <w:rPr>
                <w:rFonts w:ascii="Arial" w:cs="Arial" w:eastAsia="Arial" w:hAnsi="Arial"/>
                <w:sz w:val="18"/>
                <w:szCs w:val="18"/>
                <w:color w:val="auto"/>
                <w:w w:val="91"/>
              </w:rPr>
              <w:t>4.01% to 4.41%</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Range of expected volatility</w:t>
            </w:r>
          </w:p>
        </w:tc>
        <w:tc>
          <w:tcPr>
            <w:tcW w:w="1440" w:type="dxa"/>
            <w:vAlign w:val="bottom"/>
            <w:shd w:val="clear" w:color="auto" w:fill="CCEEFF"/>
          </w:tcPr>
          <w:p>
            <w:pPr>
              <w:jc w:val="center"/>
              <w:ind w:right="178"/>
              <w:spacing w:after="0"/>
              <w:rPr>
                <w:sz w:val="20"/>
                <w:szCs w:val="20"/>
                <w:color w:val="auto"/>
              </w:rPr>
            </w:pPr>
            <w:r>
              <w:rPr>
                <w:rFonts w:ascii="Arial" w:cs="Arial" w:eastAsia="Arial" w:hAnsi="Arial"/>
                <w:sz w:val="18"/>
                <w:szCs w:val="18"/>
                <w:color w:val="auto"/>
                <w:w w:val="90"/>
              </w:rPr>
              <w:t>0.42 to 0.81</w:t>
            </w:r>
          </w:p>
        </w:tc>
        <w:tc>
          <w:tcPr>
            <w:tcW w:w="1460" w:type="dxa"/>
            <w:vAlign w:val="bottom"/>
            <w:gridSpan w:val="2"/>
            <w:shd w:val="clear" w:color="auto" w:fill="CCEEFF"/>
          </w:tcPr>
          <w:p>
            <w:pPr>
              <w:jc w:val="center"/>
              <w:ind w:left="198"/>
              <w:spacing w:after="0"/>
              <w:rPr>
                <w:sz w:val="20"/>
                <w:szCs w:val="20"/>
                <w:color w:val="auto"/>
              </w:rPr>
            </w:pPr>
            <w:r>
              <w:rPr>
                <w:rFonts w:ascii="Arial" w:cs="Arial" w:eastAsia="Arial" w:hAnsi="Arial"/>
                <w:sz w:val="18"/>
                <w:szCs w:val="18"/>
                <w:color w:val="auto"/>
                <w:w w:val="90"/>
              </w:rPr>
              <w:t>0.38 to 0.82</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Weighted average expected volatility</w:t>
            </w:r>
          </w:p>
        </w:tc>
        <w:tc>
          <w:tcPr>
            <w:tcW w:w="1440" w:type="dxa"/>
            <w:vAlign w:val="bottom"/>
          </w:tcPr>
          <w:p>
            <w:pPr>
              <w:jc w:val="center"/>
              <w:ind w:right="178"/>
              <w:spacing w:after="0"/>
              <w:rPr>
                <w:sz w:val="20"/>
                <w:szCs w:val="20"/>
                <w:color w:val="auto"/>
              </w:rPr>
            </w:pPr>
            <w:r>
              <w:rPr>
                <w:rFonts w:ascii="Arial" w:cs="Arial" w:eastAsia="Arial" w:hAnsi="Arial"/>
                <w:sz w:val="18"/>
                <w:szCs w:val="18"/>
                <w:color w:val="auto"/>
                <w:w w:val="85"/>
              </w:rPr>
              <w:t>0.67</w:t>
            </w:r>
          </w:p>
        </w:tc>
        <w:tc>
          <w:tcPr>
            <w:tcW w:w="1300" w:type="dxa"/>
            <w:vAlign w:val="bottom"/>
          </w:tcPr>
          <w:p>
            <w:pPr>
              <w:jc w:val="center"/>
              <w:ind w:left="338"/>
              <w:spacing w:after="0"/>
              <w:rPr>
                <w:sz w:val="20"/>
                <w:szCs w:val="20"/>
                <w:color w:val="auto"/>
              </w:rPr>
            </w:pPr>
            <w:r>
              <w:rPr>
                <w:rFonts w:ascii="Arial" w:cs="Arial" w:eastAsia="Arial" w:hAnsi="Arial"/>
                <w:sz w:val="18"/>
                <w:szCs w:val="18"/>
                <w:color w:val="auto"/>
                <w:w w:val="91"/>
              </w:rPr>
              <w:t>0.67</w:t>
            </w:r>
          </w:p>
        </w:tc>
        <w:tc>
          <w:tcPr>
            <w:tcW w:w="16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Post-vesting termination rate</w:t>
            </w:r>
          </w:p>
        </w:tc>
        <w:tc>
          <w:tcPr>
            <w:tcW w:w="1440" w:type="dxa"/>
            <w:vAlign w:val="bottom"/>
            <w:shd w:val="clear" w:color="auto" w:fill="CCEEFF"/>
          </w:tcPr>
          <w:p>
            <w:pPr>
              <w:jc w:val="center"/>
              <w:ind w:right="178"/>
              <w:spacing w:after="0"/>
              <w:rPr>
                <w:sz w:val="20"/>
                <w:szCs w:val="20"/>
                <w:color w:val="auto"/>
              </w:rPr>
            </w:pPr>
            <w:r>
              <w:rPr>
                <w:rFonts w:ascii="Arial" w:cs="Arial" w:eastAsia="Arial" w:hAnsi="Arial"/>
                <w:sz w:val="18"/>
                <w:szCs w:val="18"/>
                <w:color w:val="auto"/>
                <w:w w:val="88"/>
              </w:rPr>
              <w:t>15.01%</w:t>
            </w:r>
          </w:p>
        </w:tc>
        <w:tc>
          <w:tcPr>
            <w:tcW w:w="1300" w:type="dxa"/>
            <w:vAlign w:val="bottom"/>
            <w:shd w:val="clear" w:color="auto" w:fill="CCEEFF"/>
          </w:tcPr>
          <w:p>
            <w:pPr>
              <w:jc w:val="center"/>
              <w:ind w:left="338"/>
              <w:spacing w:after="0"/>
              <w:rPr>
                <w:sz w:val="20"/>
                <w:szCs w:val="20"/>
                <w:color w:val="auto"/>
              </w:rPr>
            </w:pPr>
            <w:r>
              <w:rPr>
                <w:rFonts w:ascii="Arial" w:cs="Arial" w:eastAsia="Arial" w:hAnsi="Arial"/>
                <w:sz w:val="18"/>
                <w:szCs w:val="18"/>
                <w:color w:val="auto"/>
                <w:w w:val="91"/>
              </w:rPr>
              <w:t>15.13%</w:t>
            </w:r>
          </w:p>
        </w:tc>
        <w:tc>
          <w:tcPr>
            <w:tcW w:w="16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Dividend yield</w:t>
            </w:r>
          </w:p>
        </w:tc>
        <w:tc>
          <w:tcPr>
            <w:tcW w:w="1440" w:type="dxa"/>
            <w:vAlign w:val="bottom"/>
          </w:tcPr>
          <w:p>
            <w:pPr>
              <w:jc w:val="center"/>
              <w:ind w:right="178"/>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center"/>
              <w:ind w:left="198"/>
              <w:spacing w:after="0"/>
              <w:rPr>
                <w:sz w:val="20"/>
                <w:szCs w:val="20"/>
                <w:color w:val="auto"/>
              </w:rPr>
            </w:pPr>
            <w:r>
              <w:rPr>
                <w:rFonts w:ascii="Arial" w:cs="Arial" w:eastAsia="Arial" w:hAnsi="Arial"/>
                <w:sz w:val="18"/>
                <w:szCs w:val="18"/>
                <w:color w:val="auto"/>
                <w:w w:val="99"/>
              </w:rPr>
              <w:t>—</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440" w:type="dxa"/>
            <w:vAlign w:val="bottom"/>
            <w:shd w:val="clear" w:color="auto" w:fill="CCEEFF"/>
          </w:tcPr>
          <w:p>
            <w:pPr>
              <w:jc w:val="center"/>
              <w:ind w:right="178"/>
              <w:spacing w:after="0"/>
              <w:rPr>
                <w:sz w:val="20"/>
                <w:szCs w:val="20"/>
                <w:color w:val="auto"/>
              </w:rPr>
            </w:pPr>
            <w:r>
              <w:rPr>
                <w:rFonts w:ascii="Arial" w:cs="Arial" w:eastAsia="Arial" w:hAnsi="Arial"/>
                <w:sz w:val="18"/>
                <w:szCs w:val="18"/>
                <w:color w:val="auto"/>
                <w:w w:val="93"/>
              </w:rPr>
              <w:t>$5.37</w:t>
            </w:r>
          </w:p>
        </w:tc>
        <w:tc>
          <w:tcPr>
            <w:tcW w:w="1300" w:type="dxa"/>
            <w:vAlign w:val="bottom"/>
            <w:shd w:val="clear" w:color="auto" w:fill="CCEEFF"/>
          </w:tcPr>
          <w:p>
            <w:pPr>
              <w:jc w:val="center"/>
              <w:ind w:left="338"/>
              <w:spacing w:after="0"/>
              <w:rPr>
                <w:sz w:val="20"/>
                <w:szCs w:val="20"/>
                <w:color w:val="auto"/>
              </w:rPr>
            </w:pPr>
            <w:r>
              <w:rPr>
                <w:rFonts w:ascii="Arial" w:cs="Arial" w:eastAsia="Arial" w:hAnsi="Arial"/>
                <w:sz w:val="18"/>
                <w:szCs w:val="18"/>
                <w:color w:val="auto"/>
                <w:w w:val="88"/>
              </w:rPr>
              <w:t>$5.52</w:t>
            </w:r>
          </w:p>
        </w:tc>
        <w:tc>
          <w:tcPr>
            <w:tcW w:w="16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pro forma income per share information for all stock options granted on or prior to December 31, 2004, as well as all ESPP shares was estimated using the Black-Scholes-Merton option-pricing model. The Black-Scholes-Merton model was developed for use in estimating the fair value of traded options that have no vesting restrictions and are fully transferable. This model also requires the input of highly subjective assumptions including the expected stock price volatility and expected period until options are exercised.</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fair value of stock options granted during the six months ended December 31, 2004, has been estimated at the date of grant using a Black-Scholes-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Merton model with the following weighted average assumptions: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120" w:type="dxa"/>
            <w:vAlign w:val="bottom"/>
          </w:tcPr>
          <w:p>
            <w:pPr>
              <w:jc w:val="center"/>
              <w:ind w:right="386"/>
              <w:spacing w:after="0"/>
              <w:rPr>
                <w:sz w:val="20"/>
                <w:szCs w:val="20"/>
                <w:color w:val="auto"/>
              </w:rPr>
            </w:pPr>
            <w:r>
              <w:rPr>
                <w:rFonts w:ascii="Arial" w:cs="Arial" w:eastAsia="Arial" w:hAnsi="Arial"/>
                <w:sz w:val="14"/>
                <w:szCs w:val="14"/>
                <w:b w:val="1"/>
                <w:bCs w:val="1"/>
                <w:color w:val="auto"/>
              </w:rPr>
              <w:t>THREE</w:t>
            </w:r>
          </w:p>
        </w:tc>
        <w:tc>
          <w:tcPr>
            <w:tcW w:w="1120" w:type="dxa"/>
            <w:vAlign w:val="bottom"/>
            <w:gridSpan w:val="2"/>
          </w:tcPr>
          <w:p>
            <w:pPr>
              <w:jc w:val="center"/>
              <w:ind w:left="40"/>
              <w:spacing w:after="0"/>
              <w:rPr>
                <w:sz w:val="20"/>
                <w:szCs w:val="20"/>
                <w:color w:val="auto"/>
              </w:rPr>
            </w:pPr>
            <w:r>
              <w:rPr>
                <w:rFonts w:ascii="Arial" w:cs="Arial" w:eastAsia="Arial" w:hAnsi="Arial"/>
                <w:sz w:val="14"/>
                <w:szCs w:val="14"/>
                <w:b w:val="1"/>
                <w:bCs w:val="1"/>
                <w:color w:val="auto"/>
              </w:rPr>
              <w:t>SIX</w:t>
            </w:r>
          </w:p>
        </w:tc>
      </w:tr>
      <w:tr>
        <w:trPr>
          <w:trHeight w:val="149"/>
        </w:trPr>
        <w:tc>
          <w:tcPr>
            <w:tcW w:w="53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120" w:type="dxa"/>
            <w:vAlign w:val="bottom"/>
          </w:tcPr>
          <w:p>
            <w:pPr>
              <w:jc w:val="center"/>
              <w:ind w:right="366"/>
              <w:spacing w:after="0" w:line="149" w:lineRule="exact"/>
              <w:rPr>
                <w:sz w:val="20"/>
                <w:szCs w:val="20"/>
                <w:color w:val="auto"/>
              </w:rPr>
            </w:pPr>
            <w:r>
              <w:rPr>
                <w:rFonts w:ascii="Arial" w:cs="Arial" w:eastAsia="Arial" w:hAnsi="Arial"/>
                <w:sz w:val="14"/>
                <w:szCs w:val="14"/>
                <w:b w:val="1"/>
                <w:bCs w:val="1"/>
                <w:color w:val="auto"/>
              </w:rPr>
              <w:t>MONTHS</w:t>
            </w:r>
          </w:p>
        </w:tc>
        <w:tc>
          <w:tcPr>
            <w:tcW w:w="1120" w:type="dxa"/>
            <w:vAlign w:val="bottom"/>
            <w:gridSpan w:val="2"/>
          </w:tcPr>
          <w:p>
            <w:pPr>
              <w:jc w:val="center"/>
              <w:ind w:left="40"/>
              <w:spacing w:after="0" w:line="149" w:lineRule="exact"/>
              <w:rPr>
                <w:sz w:val="20"/>
                <w:szCs w:val="20"/>
                <w:color w:val="auto"/>
              </w:rPr>
            </w:pPr>
            <w:r>
              <w:rPr>
                <w:rFonts w:ascii="Arial" w:cs="Arial" w:eastAsia="Arial" w:hAnsi="Arial"/>
                <w:sz w:val="14"/>
                <w:szCs w:val="14"/>
                <w:b w:val="1"/>
                <w:bCs w:val="1"/>
                <w:color w:val="auto"/>
              </w:rPr>
              <w:t>MONTHS</w:t>
            </w:r>
          </w:p>
        </w:tc>
      </w:tr>
      <w:tr>
        <w:trPr>
          <w:trHeight w:val="171"/>
        </w:trPr>
        <w:tc>
          <w:tcPr>
            <w:tcW w:w="5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120" w:type="dxa"/>
            <w:vAlign w:val="bottom"/>
          </w:tcPr>
          <w:p>
            <w:pPr>
              <w:jc w:val="center"/>
              <w:ind w:right="386"/>
              <w:spacing w:after="0"/>
              <w:rPr>
                <w:sz w:val="20"/>
                <w:szCs w:val="20"/>
                <w:color w:val="auto"/>
              </w:rPr>
            </w:pPr>
            <w:r>
              <w:rPr>
                <w:rFonts w:ascii="Arial" w:cs="Arial" w:eastAsia="Arial" w:hAnsi="Arial"/>
                <w:sz w:val="14"/>
                <w:szCs w:val="14"/>
                <w:b w:val="1"/>
                <w:bCs w:val="1"/>
                <w:color w:val="auto"/>
              </w:rPr>
              <w:t>ENDED</w:t>
            </w:r>
          </w:p>
        </w:tc>
        <w:tc>
          <w:tcPr>
            <w:tcW w:w="1120" w:type="dxa"/>
            <w:vAlign w:val="bottom"/>
            <w:gridSpan w:val="2"/>
          </w:tcPr>
          <w:p>
            <w:pPr>
              <w:jc w:val="center"/>
              <w:ind w:left="40"/>
              <w:spacing w:after="0"/>
              <w:rPr>
                <w:sz w:val="20"/>
                <w:szCs w:val="20"/>
                <w:color w:val="auto"/>
              </w:rPr>
            </w:pPr>
            <w:r>
              <w:rPr>
                <w:rFonts w:ascii="Arial" w:cs="Arial" w:eastAsia="Arial" w:hAnsi="Arial"/>
                <w:sz w:val="14"/>
                <w:szCs w:val="14"/>
                <w:b w:val="1"/>
                <w:bCs w:val="1"/>
                <w:color w:val="auto"/>
              </w:rPr>
              <w:t>ENDED</w:t>
            </w:r>
          </w:p>
        </w:tc>
      </w:tr>
      <w:tr>
        <w:trPr>
          <w:trHeight w:val="119"/>
        </w:trPr>
        <w:tc>
          <w:tcPr>
            <w:tcW w:w="538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120" w:type="dxa"/>
            <w:vAlign w:val="bottom"/>
            <w:tcBorders>
              <w:top w:val="single" w:sz="8" w:color="auto"/>
            </w:tcBorders>
          </w:tcPr>
          <w:p>
            <w:pPr>
              <w:jc w:val="center"/>
              <w:ind w:right="366"/>
              <w:spacing w:after="0" w:line="119" w:lineRule="exact"/>
              <w:rPr>
                <w:sz w:val="20"/>
                <w:szCs w:val="20"/>
                <w:color w:val="auto"/>
              </w:rPr>
            </w:pPr>
            <w:r>
              <w:rPr>
                <w:rFonts w:ascii="Arial" w:cs="Arial" w:eastAsia="Arial" w:hAnsi="Arial"/>
                <w:sz w:val="13"/>
                <w:szCs w:val="13"/>
                <w:b w:val="1"/>
                <w:bCs w:val="1"/>
                <w:color w:val="auto"/>
              </w:rPr>
              <w:t>DEC. 31,</w:t>
            </w:r>
          </w:p>
        </w:tc>
        <w:tc>
          <w:tcPr>
            <w:tcW w:w="960" w:type="dxa"/>
            <w:vAlign w:val="bottom"/>
            <w:tcBorders>
              <w:top w:val="single" w:sz="8" w:color="auto"/>
            </w:tcBorders>
          </w:tcPr>
          <w:p>
            <w:pPr>
              <w:jc w:val="center"/>
              <w:ind w:left="200"/>
              <w:spacing w:after="0" w:line="119" w:lineRule="exact"/>
              <w:rPr>
                <w:sz w:val="20"/>
                <w:szCs w:val="20"/>
                <w:color w:val="auto"/>
              </w:rPr>
            </w:pPr>
            <w:r>
              <w:rPr>
                <w:rFonts w:ascii="Arial" w:cs="Arial" w:eastAsia="Arial" w:hAnsi="Arial"/>
                <w:sz w:val="13"/>
                <w:szCs w:val="13"/>
                <w:b w:val="1"/>
                <w:bCs w:val="1"/>
                <w:color w:val="auto"/>
              </w:rPr>
              <w:t>DEC. 31,</w:t>
            </w:r>
          </w:p>
        </w:tc>
        <w:tc>
          <w:tcPr>
            <w:tcW w:w="160" w:type="dxa"/>
            <w:vAlign w:val="bottom"/>
          </w:tcPr>
          <w:p>
            <w:pPr>
              <w:spacing w:after="0"/>
              <w:rPr>
                <w:sz w:val="10"/>
                <w:szCs w:val="10"/>
                <w:color w:val="auto"/>
              </w:rPr>
            </w:pPr>
          </w:p>
        </w:tc>
      </w:tr>
      <w:tr>
        <w:trPr>
          <w:trHeight w:val="171"/>
        </w:trPr>
        <w:tc>
          <w:tcPr>
            <w:tcW w:w="5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120" w:type="dxa"/>
            <w:vAlign w:val="bottom"/>
            <w:tcBorders>
              <w:bottom w:val="single" w:sz="8" w:color="auto"/>
            </w:tcBorders>
          </w:tcPr>
          <w:p>
            <w:pPr>
              <w:jc w:val="center"/>
              <w:ind w:right="366"/>
              <w:spacing w:after="0"/>
              <w:rPr>
                <w:sz w:val="20"/>
                <w:szCs w:val="20"/>
                <w:color w:val="auto"/>
              </w:rPr>
            </w:pPr>
            <w:r>
              <w:rPr>
                <w:rFonts w:ascii="Arial" w:cs="Arial" w:eastAsia="Arial" w:hAnsi="Arial"/>
                <w:sz w:val="14"/>
                <w:szCs w:val="14"/>
                <w:b w:val="1"/>
                <w:bCs w:val="1"/>
                <w:color w:val="auto"/>
                <w:w w:val="89"/>
              </w:rPr>
              <w:t>2004</w:t>
            </w:r>
          </w:p>
        </w:tc>
        <w:tc>
          <w:tcPr>
            <w:tcW w:w="960" w:type="dxa"/>
            <w:vAlign w:val="bottom"/>
            <w:tcBorders>
              <w:bottom w:val="single" w:sz="8" w:color="auto"/>
            </w:tcBorders>
          </w:tcPr>
          <w:p>
            <w:pPr>
              <w:jc w:val="center"/>
              <w:ind w:left="200"/>
              <w:spacing w:after="0"/>
              <w:rPr>
                <w:sz w:val="20"/>
                <w:szCs w:val="20"/>
                <w:color w:val="auto"/>
              </w:rPr>
            </w:pPr>
            <w:r>
              <w:rPr>
                <w:rFonts w:ascii="Arial" w:cs="Arial" w:eastAsia="Arial" w:hAnsi="Arial"/>
                <w:sz w:val="14"/>
                <w:szCs w:val="14"/>
                <w:b w:val="1"/>
                <w:bCs w:val="1"/>
                <w:color w:val="auto"/>
                <w:w w:val="89"/>
              </w:rPr>
              <w:t>2004</w:t>
            </w:r>
          </w:p>
        </w:tc>
        <w:tc>
          <w:tcPr>
            <w:tcW w:w="160" w:type="dxa"/>
            <w:vAlign w:val="bottom"/>
          </w:tcPr>
          <w:p>
            <w:pPr>
              <w:spacing w:after="0"/>
              <w:rPr>
                <w:sz w:val="14"/>
                <w:szCs w:val="14"/>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Option life (in years)</w:t>
            </w:r>
          </w:p>
        </w:tc>
        <w:tc>
          <w:tcPr>
            <w:tcW w:w="4920" w:type="dxa"/>
            <w:vAlign w:val="bottom"/>
            <w:gridSpan w:val="2"/>
            <w:shd w:val="clear" w:color="auto" w:fill="CCEEFF"/>
          </w:tcPr>
          <w:p>
            <w:pPr>
              <w:jc w:val="right"/>
              <w:ind w:right="366"/>
              <w:spacing w:after="0"/>
              <w:rPr>
                <w:sz w:val="20"/>
                <w:szCs w:val="20"/>
                <w:color w:val="auto"/>
              </w:rPr>
            </w:pPr>
            <w:r>
              <w:rPr>
                <w:rFonts w:ascii="Arial" w:cs="Arial" w:eastAsia="Arial" w:hAnsi="Arial"/>
                <w:sz w:val="18"/>
                <w:szCs w:val="18"/>
                <w:color w:val="auto"/>
              </w:rPr>
              <w:t>4.52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920" w:type="dxa"/>
            <w:vAlign w:val="bottom"/>
            <w:gridSpan w:val="2"/>
          </w:tcPr>
          <w:p>
            <w:pPr>
              <w:jc w:val="right"/>
              <w:ind w:right="226"/>
              <w:spacing w:after="0"/>
              <w:rPr>
                <w:sz w:val="20"/>
                <w:szCs w:val="20"/>
                <w:color w:val="auto"/>
              </w:rPr>
            </w:pPr>
            <w:r>
              <w:rPr>
                <w:rFonts w:ascii="Arial" w:cs="Arial" w:eastAsia="Arial" w:hAnsi="Arial"/>
                <w:sz w:val="18"/>
                <w:szCs w:val="18"/>
                <w:color w:val="auto"/>
              </w:rPr>
              <w:t>3.25%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Stock price volatility</w:t>
            </w:r>
          </w:p>
        </w:tc>
        <w:tc>
          <w:tcPr>
            <w:tcW w:w="4920" w:type="dxa"/>
            <w:vAlign w:val="bottom"/>
            <w:gridSpan w:val="2"/>
            <w:shd w:val="clear" w:color="auto" w:fill="CCEEFF"/>
          </w:tcPr>
          <w:p>
            <w:pPr>
              <w:jc w:val="right"/>
              <w:ind w:right="366"/>
              <w:spacing w:after="0"/>
              <w:rPr>
                <w:sz w:val="20"/>
                <w:szCs w:val="20"/>
                <w:color w:val="auto"/>
              </w:rPr>
            </w:pPr>
            <w:r>
              <w:rPr>
                <w:rFonts w:ascii="Arial" w:cs="Arial" w:eastAsia="Arial" w:hAnsi="Arial"/>
                <w:sz w:val="18"/>
                <w:szCs w:val="18"/>
                <w:color w:val="auto"/>
              </w:rPr>
              <w:t>0.76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0.74</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Dividend yield</w:t>
            </w:r>
          </w:p>
        </w:tc>
        <w:tc>
          <w:tcPr>
            <w:tcW w:w="3800" w:type="dxa"/>
            <w:vAlign w:val="bottom"/>
          </w:tcPr>
          <w:p>
            <w:pPr>
              <w:spacing w:after="0"/>
              <w:rPr>
                <w:sz w:val="18"/>
                <w:szCs w:val="18"/>
                <w:color w:val="auto"/>
              </w:rPr>
            </w:pPr>
          </w:p>
        </w:tc>
        <w:tc>
          <w:tcPr>
            <w:tcW w:w="1120" w:type="dxa"/>
            <w:vAlign w:val="bottom"/>
          </w:tcPr>
          <w:p>
            <w:pPr>
              <w:jc w:val="right"/>
              <w:ind w:right="366"/>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4920" w:type="dxa"/>
            <w:vAlign w:val="bottom"/>
            <w:gridSpan w:val="2"/>
            <w:shd w:val="clear" w:color="auto" w:fill="CCEEFF"/>
          </w:tcPr>
          <w:p>
            <w:pPr>
              <w:jc w:val="right"/>
              <w:ind w:right="366"/>
              <w:spacing w:after="0"/>
              <w:rPr>
                <w:sz w:val="20"/>
                <w:szCs w:val="20"/>
                <w:color w:val="auto"/>
              </w:rPr>
            </w:pPr>
            <w:r>
              <w:rPr>
                <w:rFonts w:ascii="Arial" w:cs="Arial" w:eastAsia="Arial" w:hAnsi="Arial"/>
                <w:sz w:val="18"/>
                <w:szCs w:val="18"/>
                <w:color w:val="auto"/>
              </w:rPr>
              <w:t>$   5.41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5.33</w:t>
            </w:r>
          </w:p>
        </w:tc>
      </w:tr>
    </w:tbl>
    <w:p>
      <w:pPr>
        <w:spacing w:after="0" w:line="94"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fair value of ESPP shares granted during the three and six months ended December 30, 2005, and December 31, 2004, have been estimated at the date of grant using a Black-Scholes-Merton model with the following assumptions: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120" w:type="dxa"/>
            <w:vAlign w:val="bottom"/>
            <w:gridSpan w:val="2"/>
          </w:tcPr>
          <w:p>
            <w:pPr>
              <w:jc w:val="right"/>
              <w:ind w:right="413"/>
              <w:spacing w:after="0"/>
              <w:rPr>
                <w:sz w:val="20"/>
                <w:szCs w:val="20"/>
                <w:color w:val="auto"/>
              </w:rPr>
            </w:pPr>
            <w:r>
              <w:rPr>
                <w:rFonts w:ascii="Arial" w:cs="Arial" w:eastAsia="Arial" w:hAnsi="Arial"/>
                <w:sz w:val="14"/>
                <w:szCs w:val="14"/>
                <w:b w:val="1"/>
                <w:bCs w:val="1"/>
                <w:color w:val="auto"/>
              </w:rPr>
              <w:t>DEC. 30,</w:t>
            </w:r>
          </w:p>
        </w:tc>
        <w:tc>
          <w:tcPr>
            <w:tcW w:w="11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 31,</w:t>
            </w:r>
          </w:p>
        </w:tc>
      </w:tr>
      <w:tr>
        <w:trPr>
          <w:trHeight w:val="171"/>
        </w:trPr>
        <w:tc>
          <w:tcPr>
            <w:tcW w:w="5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2005</w:t>
            </w: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Option life (in years)</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1.25</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213"/>
              <w:spacing w:after="0"/>
              <w:rPr>
                <w:sz w:val="20"/>
                <w:szCs w:val="20"/>
                <w:color w:val="auto"/>
              </w:rPr>
            </w:pPr>
            <w:r>
              <w:rPr>
                <w:rFonts w:ascii="Arial" w:cs="Arial" w:eastAsia="Arial" w:hAnsi="Arial"/>
                <w:sz w:val="18"/>
                <w:szCs w:val="18"/>
                <w:color w:val="auto"/>
              </w:rPr>
              <w:t>4.38%</w:t>
            </w:r>
          </w:p>
        </w:tc>
        <w:tc>
          <w:tcPr>
            <w:tcW w:w="4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Stock price volatility</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0.42</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0.58</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Dividend yield</w:t>
            </w: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3.70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activity under the Company’s stock option plans (in millions,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30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Number</w:t>
            </w: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Weighted Average</w:t>
            </w: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Remaining</w:t>
            </w:r>
          </w:p>
        </w:tc>
        <w:tc>
          <w:tcPr>
            <w:tcW w:w="32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3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Contractual Life</w:t>
            </w:r>
          </w:p>
        </w:tc>
        <w:tc>
          <w:tcPr>
            <w:tcW w:w="3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of Shares</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4"/>
              </w:rPr>
              <w:t>Per Share</w:t>
            </w:r>
          </w:p>
        </w:tc>
        <w:tc>
          <w:tcPr>
            <w:tcW w:w="6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at July 1, 2005</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9.39</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14.27</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7.24</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Canceled or expired</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10.32</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at September 30, 2005</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9.52</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13.62</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7.15</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Canceled or expired</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11.63</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at December 30, 2005</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9.96</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at December 30, 2005</w:t>
            </w: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40" w:type="dxa"/>
            <w:vAlign w:val="bottom"/>
            <w:gridSpan w:val="2"/>
            <w:vMerge w:val="continue"/>
          </w:tcPr>
          <w:p>
            <w:pPr>
              <w:spacing w:after="0"/>
              <w:rPr>
                <w:sz w:val="24"/>
                <w:szCs w:val="2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9.59</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5.45</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The aggregate intrinsic value is calculated as the difference between the exercise price of the underlying awards and the quoted price of the Company’s common stock for those awards that have an exercise price currently below the quoted price. As of December 30, 2005, the Company had options outstanding to purchase an aggregate of 15.5 million shares with an exercise price below the quoted price of the Company’s stock resulting in an aggregate intrinsic value of $154.4 million. During the three and six months ended December 30, 2005, the aggregate intrinsic value of options exercised under the Company’s stock option plans was $22.1 million and $27.5 million, respectively, determined as of the date of exercise. The aggregate intrinsic value of options exercised during the three and six months ended December 31, 2004, was $19.3 million and $20.5 million,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220" w:firstLine="225"/>
        <w:spacing w:after="0" w:line="312" w:lineRule="auto"/>
        <w:rPr>
          <w:sz w:val="20"/>
          <w:szCs w:val="20"/>
          <w:color w:val="auto"/>
        </w:rPr>
      </w:pPr>
      <w:r>
        <w:rPr>
          <w:rFonts w:ascii="Arial" w:cs="Arial" w:eastAsia="Arial" w:hAnsi="Arial"/>
          <w:sz w:val="16"/>
          <w:szCs w:val="16"/>
          <w:color w:val="auto"/>
        </w:rPr>
        <w:t>During the second quarter of 2006, the Company adopted the Western Digital Corporation 2005 Employee Stock Purchase Plan whereby eligible employees may authorize payroll deductions of up to 10% of their eligible compensation to purchase shares of the Company’s common stock at 95% of the fair market value of common stock on the date of grant or on the exercise date, whichever is less. The Company’s ESPP operates in accordance with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Section 423 of the Internal Revenue Code. The 1993 Employee Stock Purchase Plan, which was previously suspended by the Board of Directors, terminated upon stockholder approval of the 2005 ESPP. ESPP activity under both the 2005 and 1993 ESPP plans was immaterial to the condensed consolidated financial statements for the three and six months ended December 30, 2005.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Stock Compensation</w:t>
      </w:r>
    </w:p>
    <w:p>
      <w:pPr>
        <w:spacing w:after="0" w:line="117"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During the three and six months ended December 30, 2005, the Company expensed $3.7 million and $5.9 million, respectively, related to unvested restricted stock awards. Of these amounts, $1.9 million and $2.7 million represented the incremental cost from pre-existing awards modified in the first quarter of 2006 for the three and six months ended December 30, 2005, respectively. Additionally, the Company granted 0.4 million and 1.7 million shares of restricted stock during the three and six months ended December 30, 2005, respectively. The aggregate market value of these awards was $5.6 million and $24.1 million, respectively, for the three and six months ended December 30, 2005. As of December 30, 2005, the aggregate unamortized fair value of all unvested restricted stock awards was $31.4 million and will be amortized on a straight-line basis over a weighted average vesting period of approximately 1.9 years.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Short-term Borrowings and Long-term Debt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Short-term borrowings and long-term debt consisted of the following as of December 30, 2005, and July 1, 2005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DEC. 30,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JUL. 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Less amounts due in one year</w:t>
            </w: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2"/>
        <w:spacing w:after="0" w:line="291" w:lineRule="auto"/>
        <w:rPr>
          <w:sz w:val="20"/>
          <w:szCs w:val="20"/>
          <w:color w:val="auto"/>
        </w:rPr>
      </w:pPr>
      <w:r>
        <w:rPr>
          <w:rFonts w:ascii="Arial" w:cs="Arial" w:eastAsia="Arial" w:hAnsi="Arial"/>
          <w:sz w:val="16"/>
          <w:szCs w:val="16"/>
          <w:color w:val="auto"/>
        </w:rPr>
        <w:t>The Company has a $125 million credit facility (“Senior Credit Facility”) consisting of a revolving credit line (subject to outstanding letters of credit and a borrowing base calculation) and a term loan of $31 million as of December 30, 2005. Both the revolving credit facility and the term loan mature on September 19, 2008, and are secured by the Company’s accounts receivable, inventory, 65% of its stock in its foreign subsidiaries and other assets. For the three months ended December 30, 2005, the Company had no borrowings on the revolving credit line and the average variable rate on the Company’s term loan was 6.3%. The term loan requires quarterly principal payments of approximately $3 million. Principal payments made on the term loan increase the amount of revolving credit available. At December 30, 2005, $91 million was available for borrowing under the revolving credit line and the Company had $3 million in outstanding letters of credit. As of December 30, 2005, the Company was in compliance with all covenants related to the Senior Credit Facility.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Amortization of Intangibles</w:t>
      </w:r>
    </w:p>
    <w:p>
      <w:pPr>
        <w:spacing w:after="0" w:line="121"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In June 2003, Read-Rite Corporation (“Read-Rite”), then one of the Company’s suppliers of magnetic recording heads, commenced voluntary Chapter 7 bankruptcy proceedings. On July 31, 2003, Western Digital purchased substantially all of the assets of Read-Rite, including its wafer fabrication equipment in Fremont, California and manufacturing facility in Bang Pa-In, Thailand. Approximately $38.8 million of the purchase price related to purchased technology, which is being amortized over a weighted average period of three years. During the three and six months ended December 30, 2005, the Company recorded $0.8 million and $2.6 million, respectively, of amortization expense related to these intangible assets. Amortization expense is estimated to be $4.4 million, $3.4 million and $3.4 million for fiscal years 2006, 2007 and 2008,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Software Abandonment Charge</w:t>
      </w:r>
    </w:p>
    <w:p>
      <w:pPr>
        <w:spacing w:after="0" w:line="121"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On October 1, 2005, the Company implemented a planned upgrade to its enterprise resource planning (ERP) system. All internal development costs associated with this upgrade were accounted for in accordance with Statement of Position 98-1, “Accounting for the Costs of Computer Software Developed or Obtained for Internal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Use,” which requires that certain internal-use computer software costs be capitalized and amortized over the useful life of the asset. In connection with this upgrade, the Company licensed additional software modules from the ERP vendor to replace certain legacy supply chain and trade management information systems. Some of the modules were not delivered as management had expected, while other modules, once configured, did not function as management had expected. As a result, during the quarter ended December 30, 2005, management concluded that the modules would not provide the overall functionality originally anticipated and abandoned the modules. The Company recorded a non-cash charge to selling, general and administrative expense of $7.0 million for the three months ended December 30, 2005, to write off the associated capitalized costs of these abandoned modules. This write-off included the cost of the licenses as well as capitalized development costs related to these modules prior to abandonment.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Legal Proceedings</w:t>
      </w:r>
    </w:p>
    <w:p>
      <w:pPr>
        <w:spacing w:after="0" w:line="121"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In the normal course of business, the Company is subject to legal proceedings, lawsuits and other claims. Although the ultimate aggregate amount of monetary liability or financial impact with respect to these matters is subject to many uncertainties and is therefore not predictable with assurance, management believes that any monetary liability or financial impact to the Company from these matters, individually and in the aggregate, beyond that provided for at December 30, 2005, would not be material to the Company’s financial condition. However, there can be no assurance with respect to such result, and monetary liability or financial impact to the Company from these legal proceedings, lawsuits and other claims could differ materially from those projected.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New Accounting Standards</w:t>
      </w:r>
    </w:p>
    <w:p>
      <w:pPr>
        <w:spacing w:after="0" w:line="121"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In June 2005, the FASB issued SFAS No. 154, “Accounting Changes and Error Corrections” (“SFAS 154”). SFAS 154 replaces Accounting Principles Board Opinion No. 20, “Accounting Changes” (“APB 20”) and SFAS No. 3, “Reporting Accounting Changes in Interim Financial Statements,” applies to all voluntary changes in accounting principle and changes the requirements for accounting and reporting of a change in accounting principle. APB 20 previously required that most voluntary changes in accounting principle be recognized by including in net income of the period of change a cumulative effect of changing to the new accounting principle whereas SFAS 154 requires retrospective application to prior periods’ financial statements of a voluntary change in accounting principle, unless it is impracticable. SFAS 154 enhances the consistency of financial information between periods, and is effective for fiscal years beginning after December 15, 2005. The Company does not expect the adoption of SFAS 154 to have a material impact on its financial statements.</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 MANAGEMENT’S DISCUSSION AND ANALYSIS OF FINANCIAL CONDITION AND RESULTS OF OPERATIONS</w:t>
      </w:r>
    </w:p>
    <w:p>
      <w:pPr>
        <w:spacing w:after="0" w:line="121" w:lineRule="exact"/>
        <w:rPr>
          <w:sz w:val="20"/>
          <w:szCs w:val="20"/>
          <w:color w:val="auto"/>
        </w:rPr>
      </w:pPr>
    </w:p>
    <w:p>
      <w:pPr>
        <w:ind w:right="60" w:firstLine="222"/>
        <w:spacing w:after="0" w:line="286" w:lineRule="auto"/>
        <w:rPr>
          <w:sz w:val="20"/>
          <w:szCs w:val="20"/>
          <w:color w:val="auto"/>
        </w:rPr>
      </w:pPr>
      <w:r>
        <w:rPr>
          <w:rFonts w:ascii="Arial" w:cs="Arial" w:eastAsia="Arial" w:hAnsi="Arial"/>
          <w:sz w:val="17"/>
          <w:szCs w:val="17"/>
          <w:color w:val="auto"/>
        </w:rPr>
        <w:t>This information should be read in conjunction with the unaudited condensed consolidated financial statements and the notes thereto included in this Quarterly Report on Form 10-Q, and the audited consolidated financial statements and notes thereto and Management’s Discussion and Analysis of Financial Condition and Results of Operations contained in the Company’s Annual Report on Form 10-K as of and for the year ended July 1, 2005.</w:t>
      </w:r>
    </w:p>
    <w:p>
      <w:pPr>
        <w:spacing w:after="0" w:line="57" w:lineRule="exact"/>
        <w:rPr>
          <w:sz w:val="20"/>
          <w:szCs w:val="20"/>
          <w:color w:val="auto"/>
        </w:rPr>
      </w:pPr>
    </w:p>
    <w:p>
      <w:pPr>
        <w:ind w:right="340" w:firstLine="225"/>
        <w:spacing w:after="0" w:line="308" w:lineRule="auto"/>
        <w:rPr>
          <w:sz w:val="20"/>
          <w:szCs w:val="20"/>
          <w:color w:val="auto"/>
        </w:rPr>
      </w:pPr>
      <w:r>
        <w:rPr>
          <w:rFonts w:ascii="Arial" w:cs="Arial" w:eastAsia="Arial" w:hAnsi="Arial"/>
          <w:sz w:val="17"/>
          <w:szCs w:val="17"/>
          <w:color w:val="auto"/>
        </w:rPr>
        <w:t>Unless otherwise indicated, references herein to specific years and quarters are to the Company’s fiscal years and fiscal quarters. As used herein under “Risk Factors That May Affect Future Results,” the terms “we”, “us” and “our” refer to Western Digital Corporation and its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This report contains forward-looking statements within the meaning of the federal securities laws. The statements that are not purely historical should be considered forward-looking statements. Often they can be identified by the use of forward-looking words, such as “may,” “will,” “could,” “project,” “believe,” “anticipate,” “expect,” “estimate,” “continue,” “potential,” “plan,” “forecasts,” and the like. Statements concerning current conditions may also be forward-looking if they imply a continuation of current conditions.</w:t>
      </w:r>
    </w:p>
    <w:p>
      <w:pPr>
        <w:spacing w:after="0" w:line="79"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Examples of forward-looking statements include, but are not limited to statements concerning: growth in demand for and unit shipments of hard disk drives in the desktop PC market and factors contributing to such growth; the growth rate of the mobile computing market relative to the desktop PC market; expansion of the market for consumer applications for hard disk drives; the Company’s expansion into the CE market and use of hard disk drives in consumer products; expansion of the SATA interface in desktop PCs and growth and acceptance of SATA interfaces in enterprise hard disk drives; growth in demand for hard disk drives in the CE market (including multi-media applications) and mobile markets; increase in sales of notebook systems and the Company’s on-going volume ramp of its Scorpio 2.5-inch hard disk drives; the ramping of manufacturing volumes and increasing the storage capacity of the Company’s 1.0-inch hard disk drive; the Company’s planned use of new recording technologies; trends regarding areal density growth rates; the Company’s introduction of new products into the retail market; impacts of further industry consolidation; expansion of the Company’s sales into emerging markets; the Company’s expectations regarding traditional seasonal demand trends for the hard disk drive industry in the March quarter; the Company’s expectations for revenue and gross margin percentage for the March quarter; future levels of customer returns under warranty; the Company’s expectations of seasonal price declines and expected operational efficiencies; the Company’s expectations regarding capital expenditures for 2006; the Company’s expectations regarding its repurchase of stock under its stock repurchase program; the Company’s beliefs regarding the sufficiency of its cash, cash equivalents and short-term investments to meet its working capital needs; management’s judgment and estimates regarding critical accounting policies and the impact of significant differences from actual results; the Company’s expectations regarding its utilization of its liquidity and cash flows; and the Company’s expectations regarding the impact of new accounting standards.</w:t>
      </w:r>
    </w:p>
    <w:p>
      <w:pPr>
        <w:spacing w:after="0" w:line="75"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Forward-looking statements are subject to risks and uncertainties that could cause actual results to differ materially from those expressed in the forward-looking statements. Readers are urged to carefully review the disclosures made by the Company concerning risks and other factors that may affect the Company’s business and operating results, including those made in this report under the caption “Risk Factors That May Affect Future Results” as well as the Company’s other reports filed with the SEC. Readers are cautioned not to place undue reliance on these forward-looking statements, which speak only as of the date hereof. The Company does not intend, and undertakes no obligation, to publish revised forward-looking statements to reflect events or circumstances after the date hereof or to reflect the occurrence of unanticipated events.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Western Digital Corporation designs, develops, manufactures and sells hard disk drives. A hard disk drive is a device that stores data on one or more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rotating magnetic disks to allow fast access to data. Hard disk drives are one of the key components found in most computers and data storage subsystems.</w:t>
      </w:r>
    </w:p>
    <w:p>
      <w:pPr>
        <w:spacing w:after="0" w:line="126" w:lineRule="exact"/>
        <w:rPr>
          <w:sz w:val="20"/>
          <w:szCs w:val="20"/>
          <w:color w:val="auto"/>
        </w:rPr>
      </w:pPr>
    </w:p>
    <w:p>
      <w:pPr>
        <w:ind w:right="20" w:firstLine="222"/>
        <w:spacing w:after="0" w:line="279" w:lineRule="auto"/>
        <w:rPr>
          <w:sz w:val="20"/>
          <w:szCs w:val="20"/>
          <w:color w:val="auto"/>
        </w:rPr>
      </w:pPr>
      <w:r>
        <w:rPr>
          <w:rFonts w:ascii="Arial" w:cs="Arial" w:eastAsia="Arial" w:hAnsi="Arial"/>
          <w:sz w:val="17"/>
          <w:szCs w:val="17"/>
          <w:color w:val="auto"/>
        </w:rPr>
        <w:t>The Company’s hard disk drives are used in applications such as desktop personal computers (“PCs”), notebook computers, enterprise applications such as servers, workstations, network attached storage devices and storage area networks, and in consumer electronics (“CE”) applications such as personal/digital video recorders (“DVRs”) and satellite and cable set-top boxes (“STBs”). In addition, the Company’s hard disk drives are used in external hard disk drive products that feature high speed buses such as 1394/FireWire™/iLink™, Universal Serial Bus (“USB”) and Ethernet.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270" w:lineRule="auto"/>
        <w:rPr>
          <w:sz w:val="20"/>
          <w:szCs w:val="20"/>
          <w:color w:val="auto"/>
        </w:rPr>
      </w:pPr>
      <w:r>
        <w:rPr>
          <w:rFonts w:ascii="Arial" w:cs="Arial" w:eastAsia="Arial" w:hAnsi="Arial"/>
          <w:sz w:val="17"/>
          <w:szCs w:val="17"/>
          <w:color w:val="auto"/>
        </w:rPr>
        <w:t>Hard disk drives provide non-volatile data storage, which means that the data is present when power is no longer applied to the device. The Company’s hard disk drive products primarily consist of 3.5-inch and 2.5-inch form factor drives. The 3.5-inch form factor drives have capacities ranging from 40 gigabytes (“GB”) to the recently announced 500 GB drive. The 3.5-inch form factor drives have nominal rotation speeds of 7200 and 10,000 revolutions per minute (“RPM”), and offer interfaces including Enhanced Integrated Drive Electronics (“EIDE”) and Serial Advanced Technology Attachment (“SATA”). The 2.5-inch form factor drives have capacities ranging from 40 GB to 120 GB, nominal rotation speed of 5400 RPMs, and offer the EIDE interface. The recently announced 2.5-inch 120 GB form factor drives also offer the SATA interface and a nominal rotation speed of 5400 RPMs. In addition, as previously announced, the Company began production of 1.0-inch 6 GB hard disk drives with nominal rotation speed of 3600 RPMs in December 2005. The Company anticipates that 1.0-inch hard disk drive products may be used in a variety of handheld consumer devices such as digital audio players, digital still image cameras, digital video cameras and mobile phones. In addition, some mobile phone manufacturers and service providers have begun to integrate telephony, Internet and broadcast media generating increased demand for storage.</w:t>
      </w:r>
    </w:p>
    <w:p>
      <w:pPr>
        <w:spacing w:after="0" w:line="70"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Company sells its products worldwide to original equipment manufacturers (“OEMs”) for inclusion in computer systems or subsystems and consumer electronics applications and to distributors, resellers and retailers. The Company’s hard disk drive products are currently manufactured in Malaysia and Thailand. The Company also designs and manufactures a substantial portion of its requirements for magnetic heads, head gimbal assemblies (“HGAs”) and head stack assemblies (“HSAs”) in Fremont, California and Bang Pa-In, Thailand.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121"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For calendar year 2005, the Company believes that the total market for hard disk drives was more than 375 million units, or almost $26 billion in sales. Over half of these unit shipments were to the desktop PC market. Total hard disk drive unit growth depends greatly on developments in the PC market. WD believes that the demand for hard disk drives in the PC market will continue to grow in part due to:</w:t>
      </w:r>
    </w:p>
    <w:p>
      <w:pPr>
        <w:spacing w:after="0" w:line="73"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overall growth of PC sales in established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growth in emerging economies, such as Brazil, Russia, India and China, driving the increased deployment of PCs;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increasing needs of businesses and individuals to store larger amounts of data on their PCs;</w:t>
      </w:r>
    </w:p>
    <w:p>
      <w:pPr>
        <w:spacing w:after="0" w:line="130"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increasing sales of notebook computers that may have shorter replacement cycles and/or additional sales for individuals to have both a desktop and a notebook computer;</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continuing development of software applications to manage multimedia content;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increasing use of broadband Internet, including downloading content from the Internet onto PC hard disk drives.</w:t>
      </w:r>
    </w:p>
    <w:p>
      <w:pPr>
        <w:spacing w:after="0" w:line="117" w:lineRule="exact"/>
        <w:rPr>
          <w:sz w:val="20"/>
          <w:szCs w:val="20"/>
          <w:color w:val="auto"/>
        </w:rPr>
      </w:pPr>
    </w:p>
    <w:p>
      <w:pPr>
        <w:jc w:val="both"/>
        <w:ind w:right="300" w:firstLine="222"/>
        <w:spacing w:after="0" w:line="264" w:lineRule="auto"/>
        <w:rPr>
          <w:sz w:val="20"/>
          <w:szCs w:val="20"/>
          <w:color w:val="auto"/>
        </w:rPr>
      </w:pPr>
      <w:r>
        <w:rPr>
          <w:rFonts w:ascii="Arial" w:cs="Arial" w:eastAsia="Arial" w:hAnsi="Arial"/>
          <w:sz w:val="18"/>
          <w:szCs w:val="18"/>
          <w:color w:val="auto"/>
        </w:rPr>
        <w:t>The Company believes the rate of hard disk drive unit growth in the desktop PC market at present is affected by several factors, including maturing PC markets in North America and Western Europe, an increase in first-time buyers of PCs in Asia, Eastern Europe and Latin America, the lengthening of PC replacement cycles and an increasing preference for notebook computers.</w:t>
      </w:r>
    </w:p>
    <w:p>
      <w:pPr>
        <w:spacing w:after="0" w:line="73"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Company currently expects the mobile computing market, which is primarily notebook computers, to grow faster than the desktop PC market in the near term. WD entered the mobile hard disk drive market in the first quarter of fiscal year 2005, commencing volume production of its WD Scorpio™ family of 2.5-inch hard disk drives for notebook computers.</w:t>
      </w:r>
    </w:p>
    <w:p>
      <w:pPr>
        <w:spacing w:after="0" w:line="73" w:lineRule="exact"/>
        <w:rPr>
          <w:sz w:val="20"/>
          <w:szCs w:val="20"/>
          <w:color w:val="auto"/>
        </w:rPr>
      </w:pPr>
    </w:p>
    <w:p>
      <w:pPr>
        <w:ind w:firstLine="215"/>
        <w:spacing w:after="0" w:line="264" w:lineRule="auto"/>
        <w:rPr>
          <w:sz w:val="20"/>
          <w:szCs w:val="20"/>
          <w:color w:val="auto"/>
        </w:rPr>
      </w:pPr>
      <w:r>
        <w:rPr>
          <w:rFonts w:ascii="Arial" w:cs="Arial" w:eastAsia="Arial" w:hAnsi="Arial"/>
          <w:sz w:val="18"/>
          <w:szCs w:val="18"/>
          <w:color w:val="auto"/>
        </w:rPr>
        <w:t>As the market for consumer applications expands, additional investments by the Company will be required. For example, CE products such as handheld digital audio players currently utilize sub-2.5-inch form factor hard disk drives. In addition, while CE products may require hard disk drives that are similar in nature to desktop hard disk</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drives, these products have often required specialized features or functions requiring additional development versus desktop products. The Company began production of 1.0-inch hard disk drives for the CE market in December 2005.</w:t>
      </w:r>
    </w:p>
    <w:p>
      <w:pPr>
        <w:spacing w:after="0" w:line="62" w:lineRule="exact"/>
        <w:rPr>
          <w:sz w:val="20"/>
          <w:szCs w:val="20"/>
          <w:color w:val="auto"/>
        </w:rPr>
      </w:pPr>
    </w:p>
    <w:p>
      <w:pPr>
        <w:ind w:right="80" w:firstLine="222"/>
        <w:spacing w:after="0" w:line="293" w:lineRule="auto"/>
        <w:rPr>
          <w:sz w:val="20"/>
          <w:szCs w:val="20"/>
          <w:color w:val="auto"/>
        </w:rPr>
      </w:pPr>
      <w:r>
        <w:rPr>
          <w:rFonts w:ascii="Arial" w:cs="Arial" w:eastAsia="Arial" w:hAnsi="Arial"/>
          <w:sz w:val="16"/>
          <w:szCs w:val="16"/>
          <w:color w:val="auto"/>
        </w:rPr>
        <w:t>The enterprise market for hard disk drives focuses on customers that make workstations, servers, network attached storage devices, storage area networks, and other computing systems or subsystems. Western Digital serves this market with hard disk drives using the SATA interface, which is similar in performance in some applications to the small-computer-systems-interface, or “SCSI,” but more cost effective than SCSI. WD believes that the enterprise market has two distinct segments: a marketplace for high performance enterprise hard disk drives and a marketplace for high capacity enterprise hard disk drives. The Company believes that acceptance of SATA in both of these enterprise market segments is growing. Additionally, WD offers high capacity, high reliability Parallel Advanced Technology Attachment (“PATA”) enterprise products to service video surveillance and similar PATA-based systems.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Overview</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WD’s net revenue for the second quarter of 2006 totaled $1.1 billion, an increase of 17% over the prior year’s second quarter and 11% over the first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quarter of 2006. During the December quarter, 26% of WD’s revenue was derived from non-desktop PC sources, including CE products, enterprise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applications, notebook computers and retail sales, as compared to 19% in the prior year and 25% in the September quarter. Gross margin increased to 20.4%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second quarter of 2006 from 15.7% in the second quarter of 2005 and 17.7% in the first quarter of 2006 due to ongoing improvements in quality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cost efficiencies, more moderate price declines and an improved product mix. Operating income for the second quarter was $104 million, an increase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$48 million over the same period in the prior year and $36 million over the September quarter. Operating margins increased to 9.3% as a percentage of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in the second quarter of 2006 compared with 5.9% in the second quarter of 2005 and 6.7% in the September quarter. WD generated $117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 from operations during the second quarter of 2006, finishing the quarter with $645 million in cash, cash equivalents and short-term investments,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of $46 million from July 1, 2005.</w:t>
      </w:r>
    </w:p>
    <w:p>
      <w:pPr>
        <w:spacing w:after="0" w:line="103"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Historically, the hard disk drive industry has experienced lower demand in the March quarter as compared to the December quarter. Western Digital currently anticipates that these traditional March quarter seasonal demand trends will be somewhat tempered given the industry’s balanced supply-demand environment, WD’s expectation of continued execution and strong new product momentum. Given these factors, the Company currently estimates revenue for the March quarter to be between $1.025 billion and $l.075 billion. WD also anticipates that the impact of modest seasonal price declines in the March quarter will be partially offset by continued operational efficiencies. As a result of these factors, gross margin percentage for the March quarter is currently estimated to be approximately 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following table sets forth, for the periods indicated, summary information from the Company’s condensed consolidated statements of income (dollars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3"/>
          </w:tcPr>
          <w:p>
            <w:pPr>
              <w:jc w:val="right"/>
              <w:ind w:right="848"/>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Borders>
              <w:bottom w:val="single" w:sz="8" w:color="auto"/>
            </w:tcBorders>
          </w:tcPr>
          <w:p>
            <w:pPr>
              <w:spacing w:after="0"/>
              <w:rPr>
                <w:sz w:val="14"/>
                <w:szCs w:val="14"/>
                <w:color w:val="auto"/>
              </w:rPr>
            </w:pPr>
          </w:p>
        </w:tc>
      </w:tr>
      <w:tr>
        <w:trPr>
          <w:trHeight w:val="142"/>
        </w:trPr>
        <w:tc>
          <w:tcPr>
            <w:tcW w:w="1760" w:type="dxa"/>
            <w:vAlign w:val="bottom"/>
          </w:tcPr>
          <w:p>
            <w:pPr>
              <w:spacing w:after="0"/>
              <w:rPr>
                <w:sz w:val="12"/>
                <w:szCs w:val="12"/>
                <w:color w:val="auto"/>
              </w:rPr>
            </w:pPr>
          </w:p>
        </w:tc>
        <w:tc>
          <w:tcPr>
            <w:tcW w:w="2180" w:type="dxa"/>
            <w:vAlign w:val="bottom"/>
            <w:tcBorders>
              <w:bottom w:val="single" w:sz="8" w:color="auto"/>
            </w:tcBorders>
            <w:gridSpan w:val="2"/>
          </w:tcPr>
          <w:p>
            <w:pPr>
              <w:jc w:val="right"/>
              <w:ind w:right="573"/>
              <w:spacing w:after="0" w:line="142" w:lineRule="exact"/>
              <w:rPr>
                <w:sz w:val="20"/>
                <w:szCs w:val="20"/>
                <w:color w:val="auto"/>
              </w:rPr>
            </w:pPr>
            <w:r>
              <w:rPr>
                <w:rFonts w:ascii="Arial" w:cs="Arial" w:eastAsia="Arial" w:hAnsi="Arial"/>
                <w:sz w:val="14"/>
                <w:szCs w:val="14"/>
                <w:b w:val="1"/>
                <w:bCs w:val="1"/>
                <w:color w:val="auto"/>
              </w:rPr>
              <w:t>DEC. 30, 2005</w:t>
            </w:r>
          </w:p>
        </w:tc>
        <w:tc>
          <w:tcPr>
            <w:tcW w:w="320" w:type="dxa"/>
            <w:vAlign w:val="bottom"/>
          </w:tcPr>
          <w:p>
            <w:pPr>
              <w:spacing w:after="0"/>
              <w:rPr>
                <w:sz w:val="12"/>
                <w:szCs w:val="12"/>
                <w:color w:val="auto"/>
              </w:rPr>
            </w:pPr>
          </w:p>
        </w:tc>
        <w:tc>
          <w:tcPr>
            <w:tcW w:w="2120" w:type="dxa"/>
            <w:vAlign w:val="bottom"/>
            <w:tcBorders>
              <w:bottom w:val="single" w:sz="8" w:color="auto"/>
            </w:tcBorders>
            <w:gridSpan w:val="2"/>
          </w:tcPr>
          <w:p>
            <w:pPr>
              <w:jc w:val="right"/>
              <w:ind w:right="530"/>
              <w:spacing w:after="0" w:line="142" w:lineRule="exact"/>
              <w:rPr>
                <w:sz w:val="20"/>
                <w:szCs w:val="20"/>
                <w:color w:val="auto"/>
              </w:rPr>
            </w:pPr>
            <w:r>
              <w:rPr>
                <w:rFonts w:ascii="Arial" w:cs="Arial" w:eastAsia="Arial" w:hAnsi="Arial"/>
                <w:sz w:val="14"/>
                <w:szCs w:val="14"/>
                <w:b w:val="1"/>
                <w:bCs w:val="1"/>
                <w:color w:val="auto"/>
              </w:rPr>
              <w:t>DEC. 31, 2004</w:t>
            </w:r>
          </w:p>
        </w:tc>
        <w:tc>
          <w:tcPr>
            <w:tcW w:w="340" w:type="dxa"/>
            <w:vAlign w:val="bottom"/>
          </w:tcPr>
          <w:p>
            <w:pPr>
              <w:spacing w:after="0"/>
              <w:rPr>
                <w:sz w:val="12"/>
                <w:szCs w:val="12"/>
                <w:color w:val="auto"/>
              </w:rPr>
            </w:pPr>
          </w:p>
        </w:tc>
        <w:tc>
          <w:tcPr>
            <w:tcW w:w="2160" w:type="dxa"/>
            <w:vAlign w:val="bottom"/>
            <w:tcBorders>
              <w:bottom w:val="single" w:sz="8" w:color="auto"/>
            </w:tcBorders>
            <w:gridSpan w:val="2"/>
          </w:tcPr>
          <w:p>
            <w:pPr>
              <w:jc w:val="right"/>
              <w:ind w:right="553"/>
              <w:spacing w:after="0" w:line="142" w:lineRule="exact"/>
              <w:rPr>
                <w:sz w:val="20"/>
                <w:szCs w:val="20"/>
                <w:color w:val="auto"/>
              </w:rPr>
            </w:pPr>
            <w:r>
              <w:rPr>
                <w:rFonts w:ascii="Arial" w:cs="Arial" w:eastAsia="Arial" w:hAnsi="Arial"/>
                <w:sz w:val="14"/>
                <w:szCs w:val="14"/>
                <w:b w:val="1"/>
                <w:bCs w:val="1"/>
                <w:color w:val="auto"/>
              </w:rPr>
              <w:t>DEC. 30, 2005</w:t>
            </w:r>
          </w:p>
        </w:tc>
        <w:tc>
          <w:tcPr>
            <w:tcW w:w="320" w:type="dxa"/>
            <w:vAlign w:val="bottom"/>
          </w:tcPr>
          <w:p>
            <w:pPr>
              <w:spacing w:after="0"/>
              <w:rPr>
                <w:sz w:val="12"/>
                <w:szCs w:val="12"/>
                <w:color w:val="auto"/>
              </w:rPr>
            </w:pPr>
          </w:p>
        </w:tc>
        <w:tc>
          <w:tcPr>
            <w:tcW w:w="1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DEC. 31, 2004</w:t>
            </w:r>
          </w:p>
        </w:tc>
        <w:tc>
          <w:tcPr>
            <w:tcW w:w="660" w:type="dxa"/>
            <w:vAlign w:val="bottom"/>
            <w:tcBorders>
              <w:bottom w:val="single" w:sz="8" w:color="auto"/>
            </w:tcBorders>
          </w:tcPr>
          <w:p>
            <w:pPr>
              <w:spacing w:after="0"/>
              <w:rPr>
                <w:sz w:val="12"/>
                <w:szCs w:val="12"/>
                <w:color w:val="auto"/>
              </w:rPr>
            </w:pPr>
          </w:p>
        </w:tc>
      </w:tr>
      <w:tr>
        <w:trPr>
          <w:trHeight w:val="210"/>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11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$1,117.1</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$954.9</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4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$2,127.0</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100.0%</w:t>
            </w:r>
          </w:p>
        </w:tc>
        <w:tc>
          <w:tcPr>
            <w:tcW w:w="188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$1,778.5</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100.0%</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Gross margin</w:t>
            </w:r>
          </w:p>
        </w:tc>
        <w:tc>
          <w:tcPr>
            <w:tcW w:w="1100" w:type="dxa"/>
            <w:vAlign w:val="bottom"/>
          </w:tcPr>
          <w:p>
            <w:pPr>
              <w:jc w:val="right"/>
              <w:ind w:right="273"/>
              <w:spacing w:after="0"/>
              <w:rPr>
                <w:sz w:val="20"/>
                <w:szCs w:val="20"/>
                <w:color w:val="auto"/>
              </w:rPr>
            </w:pPr>
            <w:r>
              <w:rPr>
                <w:rFonts w:ascii="Arial" w:cs="Arial" w:eastAsia="Arial" w:hAnsi="Arial"/>
                <w:sz w:val="18"/>
                <w:szCs w:val="18"/>
                <w:color w:val="auto"/>
              </w:rPr>
              <w:t>228.3</w:t>
            </w:r>
          </w:p>
        </w:tc>
        <w:tc>
          <w:tcPr>
            <w:tcW w:w="1080" w:type="dxa"/>
            <w:vAlign w:val="bottom"/>
          </w:tcPr>
          <w:p>
            <w:pPr>
              <w:jc w:val="right"/>
              <w:ind w:right="233"/>
              <w:spacing w:after="0"/>
              <w:rPr>
                <w:sz w:val="20"/>
                <w:szCs w:val="20"/>
                <w:color w:val="auto"/>
              </w:rPr>
            </w:pPr>
            <w:r>
              <w:rPr>
                <w:rFonts w:ascii="Arial" w:cs="Arial" w:eastAsia="Arial" w:hAnsi="Arial"/>
                <w:sz w:val="18"/>
                <w:szCs w:val="18"/>
                <w:color w:val="auto"/>
              </w:rPr>
              <w:t>20.4</w:t>
            </w:r>
          </w:p>
        </w:tc>
        <w:tc>
          <w:tcPr>
            <w:tcW w:w="1360" w:type="dxa"/>
            <w:vAlign w:val="bottom"/>
            <w:gridSpan w:val="2"/>
          </w:tcPr>
          <w:p>
            <w:pPr>
              <w:jc w:val="right"/>
              <w:ind w:right="228"/>
              <w:spacing w:after="0"/>
              <w:rPr>
                <w:sz w:val="20"/>
                <w:szCs w:val="20"/>
                <w:color w:val="auto"/>
              </w:rPr>
            </w:pPr>
            <w:r>
              <w:rPr>
                <w:rFonts w:ascii="Arial" w:cs="Arial" w:eastAsia="Arial" w:hAnsi="Arial"/>
                <w:sz w:val="18"/>
                <w:szCs w:val="18"/>
                <w:color w:val="auto"/>
              </w:rPr>
              <w:t>150.2</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15.7</w:t>
            </w: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406.6</w:t>
            </w:r>
          </w:p>
        </w:tc>
        <w:tc>
          <w:tcPr>
            <w:tcW w:w="1060" w:type="dxa"/>
            <w:vAlign w:val="bottom"/>
          </w:tcPr>
          <w:p>
            <w:pPr>
              <w:jc w:val="right"/>
              <w:ind w:right="213"/>
              <w:spacing w:after="0"/>
              <w:rPr>
                <w:sz w:val="20"/>
                <w:szCs w:val="20"/>
                <w:color w:val="auto"/>
              </w:rPr>
            </w:pPr>
            <w:r>
              <w:rPr>
                <w:rFonts w:ascii="Arial" w:cs="Arial" w:eastAsia="Arial" w:hAnsi="Arial"/>
                <w:sz w:val="18"/>
                <w:szCs w:val="18"/>
                <w:color w:val="auto"/>
              </w:rPr>
              <w:t>19.1</w:t>
            </w:r>
          </w:p>
        </w:tc>
        <w:tc>
          <w:tcPr>
            <w:tcW w:w="1880" w:type="dxa"/>
            <w:vAlign w:val="bottom"/>
            <w:gridSpan w:val="2"/>
          </w:tcPr>
          <w:p>
            <w:pPr>
              <w:jc w:val="right"/>
              <w:ind w:right="648"/>
              <w:spacing w:after="0"/>
              <w:rPr>
                <w:sz w:val="20"/>
                <w:szCs w:val="20"/>
                <w:color w:val="auto"/>
              </w:rPr>
            </w:pPr>
            <w:r>
              <w:rPr>
                <w:rFonts w:ascii="Arial" w:cs="Arial" w:eastAsia="Arial" w:hAnsi="Arial"/>
                <w:sz w:val="18"/>
                <w:szCs w:val="18"/>
                <w:color w:val="auto"/>
              </w:rPr>
              <w:t>263.3</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14.8</w:t>
            </w:r>
          </w:p>
        </w:tc>
      </w:tr>
      <w:tr>
        <w:trPr>
          <w:trHeight w:val="202"/>
        </w:trPr>
        <w:tc>
          <w:tcPr>
            <w:tcW w:w="1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operating</w:t>
            </w: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30"/>
        </w:trPr>
        <w:tc>
          <w:tcPr>
            <w:tcW w:w="1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expenses</w:t>
            </w:r>
          </w:p>
        </w:tc>
        <w:tc>
          <w:tcPr>
            <w:tcW w:w="11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124.0</w:t>
            </w:r>
          </w:p>
        </w:tc>
        <w:tc>
          <w:tcPr>
            <w:tcW w:w="10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11.1</w:t>
            </w:r>
          </w:p>
        </w:tc>
        <w:tc>
          <w:tcPr>
            <w:tcW w:w="13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93.6</w:t>
            </w: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9.8</w:t>
            </w:r>
          </w:p>
        </w:tc>
        <w:tc>
          <w:tcPr>
            <w:tcW w:w="14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234.4</w:t>
            </w:r>
          </w:p>
        </w:tc>
        <w:tc>
          <w:tcPr>
            <w:tcW w:w="10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11.0</w:t>
            </w:r>
          </w:p>
        </w:tc>
        <w:tc>
          <w:tcPr>
            <w:tcW w:w="188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175.5</w:t>
            </w:r>
          </w:p>
        </w:tc>
        <w:tc>
          <w:tcPr>
            <w:tcW w:w="6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9.9</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Operating income</w:t>
            </w:r>
          </w:p>
        </w:tc>
        <w:tc>
          <w:tcPr>
            <w:tcW w:w="1100" w:type="dxa"/>
            <w:vAlign w:val="bottom"/>
          </w:tcPr>
          <w:p>
            <w:pPr>
              <w:jc w:val="right"/>
              <w:ind w:right="273"/>
              <w:spacing w:after="0"/>
              <w:rPr>
                <w:sz w:val="20"/>
                <w:szCs w:val="20"/>
                <w:color w:val="auto"/>
              </w:rPr>
            </w:pPr>
            <w:r>
              <w:rPr>
                <w:rFonts w:ascii="Arial" w:cs="Arial" w:eastAsia="Arial" w:hAnsi="Arial"/>
                <w:sz w:val="18"/>
                <w:szCs w:val="18"/>
                <w:color w:val="auto"/>
              </w:rPr>
              <w:t>104.3</w:t>
            </w:r>
          </w:p>
        </w:tc>
        <w:tc>
          <w:tcPr>
            <w:tcW w:w="1080" w:type="dxa"/>
            <w:vAlign w:val="bottom"/>
          </w:tcPr>
          <w:p>
            <w:pPr>
              <w:jc w:val="right"/>
              <w:ind w:right="233"/>
              <w:spacing w:after="0"/>
              <w:rPr>
                <w:sz w:val="20"/>
                <w:szCs w:val="20"/>
                <w:color w:val="auto"/>
              </w:rPr>
            </w:pPr>
            <w:r>
              <w:rPr>
                <w:rFonts w:ascii="Arial" w:cs="Arial" w:eastAsia="Arial" w:hAnsi="Arial"/>
                <w:sz w:val="18"/>
                <w:szCs w:val="18"/>
                <w:color w:val="auto"/>
              </w:rPr>
              <w:t>9.3</w:t>
            </w:r>
          </w:p>
        </w:tc>
        <w:tc>
          <w:tcPr>
            <w:tcW w:w="1360" w:type="dxa"/>
            <w:vAlign w:val="bottom"/>
            <w:gridSpan w:val="2"/>
          </w:tcPr>
          <w:p>
            <w:pPr>
              <w:jc w:val="right"/>
              <w:ind w:right="228"/>
              <w:spacing w:after="0"/>
              <w:rPr>
                <w:sz w:val="20"/>
                <w:szCs w:val="20"/>
                <w:color w:val="auto"/>
              </w:rPr>
            </w:pPr>
            <w:r>
              <w:rPr>
                <w:rFonts w:ascii="Arial" w:cs="Arial" w:eastAsia="Arial" w:hAnsi="Arial"/>
                <w:sz w:val="18"/>
                <w:szCs w:val="18"/>
                <w:color w:val="auto"/>
              </w:rPr>
              <w:t>56.6</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5.9</w:t>
            </w: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172.2</w:t>
            </w:r>
          </w:p>
        </w:tc>
        <w:tc>
          <w:tcPr>
            <w:tcW w:w="1060" w:type="dxa"/>
            <w:vAlign w:val="bottom"/>
          </w:tcPr>
          <w:p>
            <w:pPr>
              <w:jc w:val="right"/>
              <w:ind w:right="213"/>
              <w:spacing w:after="0"/>
              <w:rPr>
                <w:sz w:val="20"/>
                <w:szCs w:val="20"/>
                <w:color w:val="auto"/>
              </w:rPr>
            </w:pPr>
            <w:r>
              <w:rPr>
                <w:rFonts w:ascii="Arial" w:cs="Arial" w:eastAsia="Arial" w:hAnsi="Arial"/>
                <w:sz w:val="18"/>
                <w:szCs w:val="18"/>
                <w:color w:val="auto"/>
              </w:rPr>
              <w:t>8.1</w:t>
            </w:r>
          </w:p>
        </w:tc>
        <w:tc>
          <w:tcPr>
            <w:tcW w:w="1880" w:type="dxa"/>
            <w:vAlign w:val="bottom"/>
            <w:gridSpan w:val="2"/>
          </w:tcPr>
          <w:p>
            <w:pPr>
              <w:jc w:val="right"/>
              <w:ind w:right="648"/>
              <w:spacing w:after="0"/>
              <w:rPr>
                <w:sz w:val="20"/>
                <w:szCs w:val="20"/>
                <w:color w:val="auto"/>
              </w:rPr>
            </w:pPr>
            <w:r>
              <w:rPr>
                <w:rFonts w:ascii="Arial" w:cs="Arial" w:eastAsia="Arial" w:hAnsi="Arial"/>
                <w:sz w:val="18"/>
                <w:szCs w:val="18"/>
                <w:color w:val="auto"/>
              </w:rPr>
              <w:t>87.8</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4.9</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104.3</w:t>
            </w:r>
          </w:p>
        </w:tc>
        <w:tc>
          <w:tcPr>
            <w:tcW w:w="10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9.3</w:t>
            </w:r>
          </w:p>
        </w:tc>
        <w:tc>
          <w:tcPr>
            <w:tcW w:w="13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56.0</w:t>
            </w: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5.9</w:t>
            </w:r>
          </w:p>
        </w:tc>
        <w:tc>
          <w:tcPr>
            <w:tcW w:w="14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173.1</w:t>
            </w:r>
          </w:p>
        </w:tc>
        <w:tc>
          <w:tcPr>
            <w:tcW w:w="10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8.1</w:t>
            </w:r>
          </w:p>
        </w:tc>
        <w:tc>
          <w:tcPr>
            <w:tcW w:w="188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86.4</w:t>
            </w:r>
          </w:p>
        </w:tc>
        <w:tc>
          <w:tcPr>
            <w:tcW w:w="6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4.9</w:t>
            </w:r>
          </w:p>
        </w:tc>
      </w:tr>
      <w:tr>
        <w:trPr>
          <w:trHeight w:val="405"/>
        </w:trPr>
        <w:tc>
          <w:tcPr>
            <w:tcW w:w="1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jc w:val="right"/>
              <w:ind w:right="49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6"/>
        </w:trPr>
        <w:tc>
          <w:tcPr>
            <w:tcW w:w="17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Net revenue was $1.1 billion for the second quarter of 2006, an increase of 17% or $162 million over the second quarter of 2005. Total unit shipments increased to 18.1 million for the second quarter of 2006 as compared to 16.2 million for the second quarter of 2005. This unit increase resulted from increased overall demand for hard disk drives as well as WD’s increasing focus on the non-desktop PC markets. For example, WD shipped 1.4 million units to the mobile PC market in the second quarter of 2006 as compared to 0.2 million units in the second quarter of 2005. WD also shipped 1.5 million units to the DVR market in the second quarter of 2006 as compared to 0.8 million units in the second quarter of 2005. The increase in net revenue was also impacted by a $3 per unit increase in average selling prices (“ASPs”) over the second quarter of 2005 to $62 per unit for the second quarter of 2006. This improvement in ASPs was primarily attributable to an increase in the average storage capacity of hard disk drives sold during the quarter offset by moderate price declines.</w:t>
      </w:r>
    </w:p>
    <w:p>
      <w:pPr>
        <w:spacing w:after="0" w:line="59"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Revenue contribution by geographic region for the second quarter of 2006 was 32% from the Americas, 34% from Europe and 34% from Asia compared to 38%, 32% and 30%, respectively, for the second quarter of 2005. These changes reflect the Company’s continued focus on revenue growth in emerging geographic markets, primarily in Asia and Eastern Europe.</w:t>
      </w:r>
    </w:p>
    <w:p>
      <w:pPr>
        <w:spacing w:after="0" w:line="73"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Revenue contribution by sales channel for the second quarter of 2006 was 56% from OEMs, 39% from distributors and 5% from the retail channel, compared to 58%, 35% and 7%, respectively, for the second quarter of 2005.</w:t>
      </w:r>
    </w:p>
    <w:p>
      <w:pPr>
        <w:spacing w:after="0" w:line="62"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color w:val="auto"/>
        </w:rPr>
        <w:t>For the six months ended December 30, 2005, net revenue was $2.1 billion, an increase of 20%, or $349 million, from the six months ended December 31, 2004. During this period, total unit shipments increased to 35.2 million from 30.4 million during the same period last year. This unit increase resulted from increased overall demand for hard disk drives as well as WD’s increasing focus on the non-desktop PC markets. For example, WD shipped 2.5 million units to the mobile PC market in the six months ended December 30, 2005, as compared to 0.2 million units in the six months ended December 31, 2004. WD also shipped 2.8 million units to the DVR market in the second quarter of 2006 as compared to 1.4 million units in the second quarter of 2005. The increase in net revenue was also impacted by a $1 per unit increase in ASPs to $60 per unit for the six months ended December 30, 2005, from $59 per unit for the six months ended December 31, 2004. This increase in ASPs was attributable to an increase in the average storage capacity of hard disk drives sold offset by moderate price declines.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Gross margin percentage increased to 20.4% for the three months ended December 30, 2005, from 15.7% for the three months ended December 31, 2004. For the six months ended December 30, 2005, gross margin percentage increased to 19.1% from 14.8% for the six months ended December 31, 2004. The increase in gross margin percentage over the prior year was due to several factors, including:</w:t>
      </w:r>
    </w:p>
    <w:p>
      <w:pPr>
        <w:spacing w:after="0" w:line="73" w:lineRule="exact"/>
        <w:rPr>
          <w:sz w:val="20"/>
          <w:szCs w:val="20"/>
          <w:color w:val="auto"/>
        </w:rPr>
      </w:pPr>
    </w:p>
    <w:p>
      <w:pPr>
        <w:ind w:left="1120" w:hanging="437"/>
        <w:spacing w:after="0"/>
        <w:tabs>
          <w:tab w:leader="none" w:pos="11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manufacturing efficiencies,</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lower customer returns resulting from ongoing quality improvements, which favorably impacted warranty obligations,</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more moderate price declines, and</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an increase in the average storage capacity of hard disk drives sold during the quarter.</w:t>
      </w:r>
    </w:p>
    <w:p>
      <w:pPr>
        <w:spacing w:after="0" w:line="117"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During the three and six months ended December 30, 2005, the Company’s warranty accrual for prior quarters’ shipments was favorably adjusted by approximately $10 million and $17 million, respectively, as a result of improvements in quality and customer return rates and their expected impact on future levels of customer returns under warranty.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right="160" w:firstLine="225"/>
        <w:spacing w:after="0" w:line="297" w:lineRule="auto"/>
        <w:rPr>
          <w:sz w:val="20"/>
          <w:szCs w:val="20"/>
          <w:color w:val="auto"/>
        </w:rPr>
      </w:pPr>
      <w:r>
        <w:rPr>
          <w:rFonts w:ascii="Arial" w:cs="Arial" w:eastAsia="Arial" w:hAnsi="Arial"/>
          <w:sz w:val="16"/>
          <w:szCs w:val="16"/>
          <w:color w:val="auto"/>
        </w:rPr>
        <w:t>R&amp;D expense was $76 million for the three months ended December 30, 2005, an increase of $17 million over the three months ended December 31, 2004. This increase was primarily related to development of new product platforms in support of entry into new markets, expenditures for advanced head technologies and an increase of $5 million in incentive compensation, $2 million of which related to the adoption of SFAS 123-R. R&amp;D expense for the six months ended December 30, 2005, was $146 million, an increase of $33 million over the same period last year. The increase in R&amp;D expense was primarily due to the aforementioned factors including a $12 million increase in incentive compensation, of which $5 million related to the adoption of SFAS 123-R.</w:t>
      </w:r>
    </w:p>
    <w:p>
      <w:pPr>
        <w:spacing w:after="0" w:line="50" w:lineRule="exact"/>
        <w:rPr>
          <w:sz w:val="20"/>
          <w:szCs w:val="20"/>
          <w:color w:val="auto"/>
        </w:rPr>
      </w:pPr>
    </w:p>
    <w:p>
      <w:pPr>
        <w:ind w:right="80" w:firstLine="225"/>
        <w:spacing w:after="0" w:line="271" w:lineRule="auto"/>
        <w:rPr>
          <w:sz w:val="20"/>
          <w:szCs w:val="20"/>
          <w:color w:val="auto"/>
        </w:rPr>
      </w:pPr>
      <w:r>
        <w:rPr>
          <w:rFonts w:ascii="Arial" w:cs="Arial" w:eastAsia="Arial" w:hAnsi="Arial"/>
          <w:sz w:val="17"/>
          <w:szCs w:val="17"/>
          <w:color w:val="auto"/>
        </w:rPr>
        <w:t>SG&amp;A expense was $48 million for the three months ended December 30, 2005, an increase of $14 million over the prior year’s comparable period. This increase was attributable to a $7 million software abandonment charge, an expansion of sales resources to support increasing PC demand in certain geographic regions and the growing mobile and CE markets, a $2 million increase in bad debt expense and an increase of $7 million in incentive compensation, $2 million of which related to the adoption of SFAS 123-R. These increases were partially offset by decreases in other areas. SG&amp;A expense for the six months ended December 30, 2005 was $88 million, an increase of $26 million over the same period last year. The increase in SG&amp;A expense was primarily due to the $7 million software abandonment charge, an expansion of sales resources to support increasing PC demand in certain geographic regions and the growing mobile and CE markets, a $5 million increase in bad debt expense and an increase of $16 million in incentive compensation, of which $4 million related to the adoption of SFAS 123-R.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Company’s income tax provision for the three months ended December 30, 2005, was $2.8 million or 2.6% of income before taxes. For the six months ended December 30, 2005, the income tax provision was $4.4 million or 2.5% of income before taxes. Differences between the effective tax rate and the U.S. Federal statutory rate are primarily due to tax holidays in Malaysia and Thailand that expire at various times ranging from 2008 to 2019 and the partial utilization of net operating loss carryforwards.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Company’s investment policy is to manage its investment portfolio to preserve principal and liquidity while maximizing return through the full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investment of available funds. A large portion of Western Digital’s available funds is invested in auction rate securities, which are short-term investments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bonds with original maturities greater than 90 days. WD ended the second quarter of 2006 with total cash, cash equivalents and short-term investments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$645 million, an increase of $46 million from July 1, 2005. The increase in cash, cash equivalents and short-term investments was comprised of a $65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cash and cash equivalents partially offset by a decrease in short-term investments of $19 million (see “Investing Activities” below). The following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table summarizes the Company’s statements of cash flows for the six months ended December 30, 2005, and December 31, 2004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040" w:type="dxa"/>
            <w:vAlign w:val="bottom"/>
            <w:tcBorders>
              <w:top w:val="single" w:sz="8" w:color="auto"/>
            </w:tcBorders>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DEC. 30,</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cash flow provided by (used in):</w:t>
            </w:r>
          </w:p>
        </w:tc>
        <w:tc>
          <w:tcPr>
            <w:tcW w:w="3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156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Investing activities</w:t>
            </w:r>
          </w:p>
        </w:tc>
        <w:tc>
          <w:tcPr>
            <w:tcW w:w="3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Net cash provided by operating activities during the six months ended December 30, 2005, was $156 million as compared to $236 million during the six months ended December 31, 2004. Cash flow from operations consists of net income, adjusted for non-cash charges, plus or minus working capital changes. This represents the Company’s principal source of cash. Net cash used to fund working capital changes was $114 million for the six months ended December 30, 2005, as compared to net cash provided by working capital changes of $88 million during the prior year’s comparable period.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Western Digital’s working capital requirements depend upon the effective management of its cash conversion cycle, which measures how quickly a company can convert its products into cash through sales. The cash conversion cycles for the six months ended December 30, 2005, and December 31, 2004,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9020" w:type="dxa"/>
            <w:vAlign w:val="bottom"/>
          </w:tcPr>
          <w:p>
            <w:pPr>
              <w:spacing w:after="0"/>
              <w:rPr>
                <w:sz w:val="10"/>
                <w:szCs w:val="10"/>
                <w:color w:val="auto"/>
              </w:rPr>
            </w:pPr>
          </w:p>
        </w:tc>
        <w:tc>
          <w:tcPr>
            <w:tcW w:w="92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DEC. 30,</w:t>
            </w:r>
          </w:p>
        </w:tc>
        <w:tc>
          <w:tcPr>
            <w:tcW w:w="560" w:type="dxa"/>
            <w:vAlign w:val="bottom"/>
          </w:tcPr>
          <w:p>
            <w:pPr>
              <w:spacing w:after="0"/>
              <w:rPr>
                <w:sz w:val="10"/>
                <w:szCs w:val="10"/>
                <w:color w:val="auto"/>
              </w:rPr>
            </w:pPr>
          </w:p>
        </w:tc>
        <w:tc>
          <w:tcPr>
            <w:tcW w:w="92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DEC. 31,</w:t>
            </w:r>
          </w:p>
        </w:tc>
        <w:tc>
          <w:tcPr>
            <w:tcW w:w="0" w:type="dxa"/>
            <w:vAlign w:val="bottom"/>
          </w:tcPr>
          <w:p>
            <w:pPr>
              <w:spacing w:after="0"/>
              <w:rPr>
                <w:sz w:val="1"/>
                <w:szCs w:val="1"/>
                <w:color w:val="auto"/>
              </w:rPr>
            </w:pPr>
          </w:p>
        </w:tc>
      </w:tr>
      <w:tr>
        <w:trPr>
          <w:trHeight w:val="171"/>
        </w:trPr>
        <w:tc>
          <w:tcPr>
            <w:tcW w:w="9020" w:type="dxa"/>
            <w:vAlign w:val="bottom"/>
          </w:tcPr>
          <w:p>
            <w:pPr>
              <w:spacing w:after="0"/>
              <w:rPr>
                <w:sz w:val="14"/>
                <w:szCs w:val="14"/>
                <w:color w:val="auto"/>
              </w:rPr>
            </w:pPr>
          </w:p>
        </w:tc>
        <w:tc>
          <w:tcPr>
            <w:tcW w:w="9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14"/>
                <w:szCs w:val="14"/>
                <w:color w:val="auto"/>
              </w:rPr>
            </w:pPr>
          </w:p>
        </w:tc>
        <w:tc>
          <w:tcPr>
            <w:tcW w:w="9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Days sales outstanding</w:t>
            </w: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w:t>
            </w:r>
          </w:p>
        </w:tc>
        <w:tc>
          <w:tcPr>
            <w:tcW w:w="14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Days in inventory</w:t>
            </w: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18</w:t>
            </w:r>
          </w:p>
        </w:tc>
        <w:tc>
          <w:tcPr>
            <w:tcW w:w="1480" w:type="dxa"/>
            <w:vAlign w:val="bottom"/>
            <w:gridSpan w:val="4"/>
          </w:tcPr>
          <w:p>
            <w:pPr>
              <w:jc w:val="right"/>
              <w:ind w:right="3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Days payables outstanding</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14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color w:val="auto"/>
              </w:rPr>
              <w:t>Cash conversion cycle</w:t>
            </w:r>
          </w:p>
        </w:tc>
        <w:tc>
          <w:tcPr>
            <w:tcW w:w="3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900" w:type="dxa"/>
            <w:vAlign w:val="bottom"/>
            <w:gridSpan w:val="2"/>
            <w:vMerge w:val="continue"/>
          </w:tcPr>
          <w:p>
            <w:pPr>
              <w:spacing w:after="0"/>
              <w:rPr>
                <w:sz w:val="19"/>
                <w:szCs w:val="19"/>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2"/>
        <w:spacing w:after="0" w:line="312" w:lineRule="auto"/>
        <w:rPr>
          <w:sz w:val="20"/>
          <w:szCs w:val="20"/>
          <w:color w:val="auto"/>
        </w:rPr>
      </w:pPr>
      <w:r>
        <w:rPr>
          <w:rFonts w:ascii="Arial" w:cs="Arial" w:eastAsia="Arial" w:hAnsi="Arial"/>
          <w:sz w:val="16"/>
          <w:szCs w:val="16"/>
          <w:color w:val="auto"/>
        </w:rPr>
        <w:t>The improvement in the cash conversion cycle for the first six months of 2006 as compared to the first six months of 2005 was primarily due to better alignment in the timing of the Company’s inventory build and sales schedules. The impact of this improvement in the Company’s cash conversion cycle on operating cash flows was offset by payments for incentive compensation, a legal settlement, and prepayments to suppliers during the first six months of 2006.</w:t>
      </w:r>
    </w:p>
    <w:p>
      <w:pPr>
        <w:spacing w:after="0" w:line="39"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Company, from time to time, modifies the timing of payments to its vendors. The Company makes these modifications primarily to manage its vendor relationships and to manage its cash flows, including quarterly cash balances. Generally, the Company makes the payment modifications through negotiations with or by granting to or receiving from its vendors payment term accommodations. Modification of payment terms did not have a material impact on the Company’s liquidity or operating cash flows for the six months ended December 30, 2005.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00" w:firstLine="225"/>
        <w:spacing w:after="0" w:line="271" w:lineRule="auto"/>
        <w:rPr>
          <w:sz w:val="20"/>
          <w:szCs w:val="20"/>
          <w:color w:val="auto"/>
        </w:rPr>
      </w:pPr>
      <w:r>
        <w:rPr>
          <w:rFonts w:ascii="Arial" w:cs="Arial" w:eastAsia="Arial" w:hAnsi="Arial"/>
          <w:sz w:val="17"/>
          <w:szCs w:val="17"/>
          <w:color w:val="auto"/>
        </w:rPr>
        <w:t>Net cash used in investing activities for the six months ended December 30, 2005, was approximately $83 million as compared to $179 million for the six months ended December 31, 2004. During the first six months of 2006, cash used for investing activities consisted of $102 million for capital expenditures, partially offset by $19 million in net sales of short-term investments. Net cash used in investing activities for the six months ended December 31, 2004, consisted of $105 million for capital expenditures and $74 million for the purchase of short-term investments. Capital expenditures in the first six months of both 2006 and 2005 were primarily related to assets purchased to upgrade the Company’s head manufacturing capabilities, increased desktop and 2.5-inch hard disk drive production capabilities and for the normal replacement of existing assets. For 2006, capital expenditures are expected to be approximately $275 million to $300 million. This increase in capital expenditures is expected to consist primarily of investments in advanced head technologies, new product platforms and capacity for WD’s broadening and growing product portfolio.</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Net cash used in financing activities for the first six months of 2006 was $8 million as compared to net cash used in financing activities of $16 million for the first six months of 2005. Net cash used in financing activities for the first six months of 2006 consisted of $26 million used for common stock repurchases and $11 million for debt payments partially offset by $29 million received upon issuance of common stock under employee plans. Net cash used in financing activities for the first six months of 2005 consisted primarily of $23 million used for common stock repurchases and $10 million for debt payments partially offset by $17 million received upon issuance of common stock under employee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Commitments</w:t>
      </w:r>
    </w:p>
    <w:p>
      <w:pPr>
        <w:spacing w:after="0" w:line="117"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i w:val="1"/>
          <w:iCs w:val="1"/>
          <w:color w:val="auto"/>
        </w:rPr>
        <w:t xml:space="preserve">Line of Credit </w:t>
      </w:r>
      <w:r>
        <w:rPr>
          <w:rFonts w:ascii="Arial" w:cs="Arial" w:eastAsia="Arial" w:hAnsi="Arial"/>
          <w:sz w:val="17"/>
          <w:szCs w:val="17"/>
          <w:color w:val="auto"/>
        </w:rPr>
        <w:t>— The Company has a $125 million credit facility (“Senior Credit Facility”) consisting of a revolving credit line (subject to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letters of credit and a borrowing base calculation) and a term loan of $31 million as of December 30, 2005. Both the revolving credit facility and the term loan mature on September 19, 2008, and are secured by the Company’s accounts receivable, inventory, 65% of its stock in its foreign subsidiaries and other assets. For the three months ended December 30, 2005, the Company had no borrowings on the revolving credit line and the average variable rate on the Company’s term loan was 6.3%. The term loan requires quarterly principal payments of approximately $3 million. Principal payments made on the term loan increase the amount of revolving credit available. At December 30, 2005, $91 million was available for borrowing under the revolving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credit line and the Company had $3 million in outstanding letters of credit. As of December 30, 2005, the Company was in compliance with all covenants related to the Senior Credit Facility.</w:t>
      </w:r>
    </w:p>
    <w:p>
      <w:pPr>
        <w:spacing w:after="0" w:line="62"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i w:val="1"/>
          <w:iCs w:val="1"/>
          <w:color w:val="auto"/>
        </w:rPr>
        <w:t xml:space="preserve">Purchase Orders </w:t>
      </w:r>
      <w:r>
        <w:rPr>
          <w:rFonts w:ascii="Arial" w:cs="Arial" w:eastAsia="Arial" w:hAnsi="Arial"/>
          <w:sz w:val="18"/>
          <w:szCs w:val="18"/>
          <w:color w:val="auto"/>
        </w:rPr>
        <w:t>— In the normal course of business, the Company enters into purchase orders with suppliers for the purchase of hard disk drive</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used to manufacture the Company’s products. These purchase orders generally cover forecasted component supplies needed for production during the next quarter, are recorded as a liability upon receipt of the components, and generally may be changed or canceled at any time prior to shipment of the components. In some cases the Company may be obligated to pay for certain costs related to changes to, or cancellation of, a purchase order, such as costs incurred for raw materials or work in process.</w:t>
      </w:r>
    </w:p>
    <w:p>
      <w:pPr>
        <w:spacing w:after="0" w:line="80" w:lineRule="exact"/>
        <w:rPr>
          <w:sz w:val="20"/>
          <w:szCs w:val="20"/>
          <w:color w:val="auto"/>
        </w:rPr>
      </w:pPr>
    </w:p>
    <w:p>
      <w:pPr>
        <w:ind w:right="240" w:firstLine="222"/>
        <w:spacing w:after="0" w:line="279" w:lineRule="auto"/>
        <w:rPr>
          <w:sz w:val="20"/>
          <w:szCs w:val="20"/>
          <w:color w:val="auto"/>
        </w:rPr>
      </w:pPr>
      <w:r>
        <w:rPr>
          <w:rFonts w:ascii="Arial" w:cs="Arial" w:eastAsia="Arial" w:hAnsi="Arial"/>
          <w:sz w:val="17"/>
          <w:szCs w:val="17"/>
          <w:color w:val="auto"/>
        </w:rPr>
        <w:t>The Company has entered into long-term purchase agreements with various component suppliers, which contain minimum quantity requirements. However, the dollar amount of the purchases may depend on the specific products ordered, achievement of pre-defined quantity or quality specifications or future price negotiations. In conjunction with these agreements, the Company has advanced approximately $74 million related to future purchase commitments, of which $10 million has been classified as a long-term asset at December 30, 2005.</w:t>
      </w:r>
    </w:p>
    <w:p>
      <w:pPr>
        <w:spacing w:after="0" w:line="63"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See Item 7. Management’s Discussion and Analysis of Financial Condition and Results of Operations—“Capital Commitments” in the Company’s Annual Report on Form 10-K as of and for the year ended July 1, 2005, for further discussion of the Company’s purchase orders and purchase agreements and the associated dollar amounts.</w:t>
      </w:r>
    </w:p>
    <w:p>
      <w:pPr>
        <w:spacing w:after="0" w:line="73"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Company enters into, from time to time, other long-term purchase agreements for components with certain vendors. Generally, future purchases under these agreements are not fixed and determinable as they depend on the Company’s overall unit volume requirements and are contingent upon the prices, technology and quality of the supplier’s products remaining competitive. See below under the heading “Risk Factors That May Affect Future Results” for a discussion of these commitments.</w:t>
      </w:r>
    </w:p>
    <w:p>
      <w:pPr>
        <w:spacing w:after="0" w:line="79" w:lineRule="exact"/>
        <w:rPr>
          <w:sz w:val="20"/>
          <w:szCs w:val="20"/>
          <w:color w:val="auto"/>
        </w:rPr>
      </w:pPr>
    </w:p>
    <w:p>
      <w:pPr>
        <w:ind w:right="100" w:firstLine="225"/>
        <w:spacing w:after="0" w:line="286" w:lineRule="auto"/>
        <w:rPr>
          <w:sz w:val="20"/>
          <w:szCs w:val="20"/>
          <w:color w:val="auto"/>
        </w:rPr>
      </w:pPr>
      <w:r>
        <w:rPr>
          <w:rFonts w:ascii="Arial" w:cs="Arial" w:eastAsia="Arial" w:hAnsi="Arial"/>
          <w:sz w:val="17"/>
          <w:szCs w:val="17"/>
          <w:i w:val="1"/>
          <w:iCs w:val="1"/>
          <w:color w:val="auto"/>
        </w:rPr>
        <w:t xml:space="preserve">Forward Exchange Contracts </w:t>
      </w:r>
      <w:r>
        <w:rPr>
          <w:rFonts w:ascii="Arial" w:cs="Arial" w:eastAsia="Arial" w:hAnsi="Arial"/>
          <w:sz w:val="17"/>
          <w:szCs w:val="17"/>
          <w:color w:val="auto"/>
        </w:rPr>
        <w:t>— The Company purchases short-term, forward exchange contracts to hedge the impact of foreign currency fluctuations on</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underlying assets, liabilities and commitments for operating expenses and product costs denominated in foreign currencies. See Part I, Item 3, under the heading “Disclosure About Foreign Currency Risk,” for the Company’s current forward exchange contract commitments.</w:t>
      </w:r>
    </w:p>
    <w:p>
      <w:pPr>
        <w:spacing w:after="0" w:line="57" w:lineRule="exact"/>
        <w:rPr>
          <w:sz w:val="20"/>
          <w:szCs w:val="20"/>
          <w:color w:val="auto"/>
        </w:rPr>
      </w:pPr>
    </w:p>
    <w:p>
      <w:pPr>
        <w:ind w:right="220" w:firstLine="225"/>
        <w:spacing w:after="0" w:line="273" w:lineRule="auto"/>
        <w:rPr>
          <w:sz w:val="20"/>
          <w:szCs w:val="20"/>
          <w:color w:val="auto"/>
        </w:rPr>
      </w:pPr>
      <w:r>
        <w:rPr>
          <w:rFonts w:ascii="Arial" w:cs="Arial" w:eastAsia="Arial" w:hAnsi="Arial"/>
          <w:sz w:val="17"/>
          <w:szCs w:val="17"/>
          <w:i w:val="1"/>
          <w:iCs w:val="1"/>
          <w:color w:val="auto"/>
        </w:rPr>
        <w:t xml:space="preserve">Indemnifications </w:t>
      </w:r>
      <w:r>
        <w:rPr>
          <w:rFonts w:ascii="Arial" w:cs="Arial" w:eastAsia="Arial" w:hAnsi="Arial"/>
          <w:sz w:val="17"/>
          <w:szCs w:val="17"/>
          <w:color w:val="auto"/>
        </w:rPr>
        <w:t>— In the ordinary course of business, the Company may provide indemnifications of varying scope and terms to customers, vendors,</w:t>
      </w:r>
      <w:r>
        <w:rPr>
          <w:rFonts w:ascii="Arial" w:cs="Arial" w:eastAsia="Arial" w:hAnsi="Arial"/>
          <w:sz w:val="17"/>
          <w:szCs w:val="17"/>
          <w:i w:val="1"/>
          <w:iCs w:val="1"/>
          <w:color w:val="auto"/>
        </w:rPr>
        <w:t xml:space="preserve"> </w:t>
      </w:r>
      <w:r>
        <w:rPr>
          <w:rFonts w:ascii="Arial" w:cs="Arial" w:eastAsia="Arial" w:hAnsi="Arial"/>
          <w:sz w:val="17"/>
          <w:szCs w:val="17"/>
          <w:color w:val="auto"/>
        </w:rPr>
        <w:t>lessors, business partners and other parties with respect to certain matters, including, but not limited to, losses arising out of our breach of such agreements, services to be provided by us, or from intellectual property infringement claims made by third parties. In addition, the Company has entered into indemnification agreements with its directors and certain of its officers that will require it, among other things, to indemnify them against certain liabilities that may arise by reason of their status or service as directors or officers. The Company maintains director and officer insurance, which may cover certain liabilities arising from its obligation to indemnify its directors and officers in certain circumstances.</w:t>
      </w:r>
    </w:p>
    <w:p>
      <w:pPr>
        <w:spacing w:after="0" w:line="70" w:lineRule="exact"/>
        <w:rPr>
          <w:sz w:val="20"/>
          <w:szCs w:val="20"/>
          <w:color w:val="auto"/>
        </w:rPr>
      </w:pPr>
    </w:p>
    <w:p>
      <w:pPr>
        <w:ind w:right="60" w:firstLine="225"/>
        <w:spacing w:after="0" w:line="286" w:lineRule="auto"/>
        <w:rPr>
          <w:sz w:val="20"/>
          <w:szCs w:val="20"/>
          <w:color w:val="auto"/>
        </w:rPr>
      </w:pPr>
      <w:r>
        <w:rPr>
          <w:rFonts w:ascii="Arial" w:cs="Arial" w:eastAsia="Arial" w:hAnsi="Arial"/>
          <w:sz w:val="17"/>
          <w:szCs w:val="17"/>
          <w:color w:val="auto"/>
        </w:rPr>
        <w:t>It is not possible to determine the maximum potential amount of exposure under these indemnification agreements due to the limited history of prior indemnification claims and the unique facts and circumstances involved in each particular agreement. Such indemnification agreements may not be subject to maximum loss clauses. Historically, the Company has not incurred material costs as a result of obligations under these agreements.</w:t>
      </w:r>
    </w:p>
    <w:p>
      <w:pPr>
        <w:spacing w:after="0" w:line="57"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i w:val="1"/>
          <w:iCs w:val="1"/>
          <w:color w:val="auto"/>
        </w:rPr>
        <w:t xml:space="preserve">Stock Repurchase Program </w:t>
      </w:r>
      <w:r>
        <w:rPr>
          <w:rFonts w:ascii="Arial" w:cs="Arial" w:eastAsia="Arial" w:hAnsi="Arial"/>
          <w:sz w:val="17"/>
          <w:szCs w:val="17"/>
          <w:color w:val="auto"/>
        </w:rPr>
        <w:t>— On November 21, 2005, WD announced that its Board of Directors had authorized the Company to repurchase an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$150 million of the Company’s common stock in open market transactions. The new $150 million authorization is in addition to the Company’s Board of Director’s original authorization to purchase $100 million of the Company’s common stock announced on May 5, 2004. The term of the program is a five year period from November 17, 2005, to November 17, 2010. Stock repurchases are expected to be funded principally from operating cash flows. During the second quarter of 2006, WD repurchased 1.0 million shares of common stock at a total cost of $12 million. Since the inception of the program in May 2004 and through February 3, 2006, the Company has repurchased 8.8 million shares for a total cost of $87 million (including commissions). WD may continue to repurchase its stock as it deems appropriate and market conditions allow.</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222"/>
        <w:spacing w:after="0" w:line="276" w:lineRule="auto"/>
        <w:rPr>
          <w:sz w:val="20"/>
          <w:szCs w:val="20"/>
          <w:color w:val="auto"/>
        </w:rPr>
      </w:pPr>
      <w:r>
        <w:rPr>
          <w:rFonts w:ascii="Arial" w:cs="Arial" w:eastAsia="Arial" w:hAnsi="Arial"/>
          <w:sz w:val="17"/>
          <w:szCs w:val="17"/>
          <w:color w:val="auto"/>
        </w:rPr>
        <w:t>WD believes its current cash, cash equivalents and short-term investments will be sufficient to meet its working capital needs through the foreseeable future. There can be no assurance that the Senior Credit Facility will continue to be available to the Company. Also, WD’s ability to sustain its working capital position is dependent upon a number of risks and other factors that may affect the Company’s business. See below under the heading “Risk Factors That May Affect Future Results.” The Company currently anticipates that it will continue to utilize its liquidity and cash flows primarily to improve the efficiency and capability of its existing hard disk drive and head manufacturing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The Company has prepared the accompanying unaudited condensed consolidated financial statements in conformity with accounting principles generally accepted in the United States of America. The preparation of the financial statements requires the use of judgment and estimates that affect the reported amounts of revenues, expenses, assets, liabilities and equity. The Company has adopted accounting policies and practices that are generally accepted in the industry in which it operates. The Company believes the following are its most critical accounting policies that affect significant areas and involve management’s judgment and estimates. If these estimates differ significantly from actual results, the impact to the consolidated financial statements may be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Accounts Receivable</w:t>
      </w:r>
    </w:p>
    <w:p>
      <w:pPr>
        <w:spacing w:after="0" w:line="117" w:lineRule="exact"/>
        <w:rPr>
          <w:sz w:val="20"/>
          <w:szCs w:val="20"/>
          <w:color w:val="auto"/>
        </w:rPr>
      </w:pPr>
    </w:p>
    <w:p>
      <w:pPr>
        <w:ind w:right="140" w:firstLine="225"/>
        <w:spacing w:after="0" w:line="255" w:lineRule="auto"/>
        <w:rPr>
          <w:sz w:val="20"/>
          <w:szCs w:val="20"/>
          <w:color w:val="auto"/>
        </w:rPr>
      </w:pPr>
      <w:r>
        <w:rPr>
          <w:rFonts w:ascii="Arial" w:cs="Arial" w:eastAsia="Arial" w:hAnsi="Arial"/>
          <w:sz w:val="18"/>
          <w:szCs w:val="18"/>
          <w:color w:val="auto"/>
        </w:rPr>
        <w:t>In accordance with standard industry practice, WD has agreements with resellers that provide limited price protection for inventories held by resellers at the time of published list price reductions and other incentive programs. In accordance with current accounting standards, the Company recognizes revenue upon shipment or delivery to resellers and records a reduction to revenue for estimated price protection and other programs in effect until the resellers sell such inventory to their customers. Adjustments are based on anticipated price decreases during the reseller holding period, estimated amounts to be reimbursed to qualifying customers, as well as historical pricing information. If end-market demand for hard disk drives declines significantly, the Company may have to increase sell-through incentive payments to resellers, resulting in an increase in price protection allowances, which could adversely impact operating results.</w:t>
      </w:r>
    </w:p>
    <w:p>
      <w:pPr>
        <w:spacing w:after="0" w:line="81" w:lineRule="exact"/>
        <w:rPr>
          <w:sz w:val="20"/>
          <w:szCs w:val="20"/>
          <w:color w:val="auto"/>
        </w:rPr>
      </w:pPr>
    </w:p>
    <w:p>
      <w:pPr>
        <w:ind w:right="40" w:firstLine="222"/>
        <w:spacing w:after="0" w:line="297" w:lineRule="auto"/>
        <w:rPr>
          <w:sz w:val="20"/>
          <w:szCs w:val="20"/>
          <w:color w:val="auto"/>
        </w:rPr>
      </w:pPr>
      <w:r>
        <w:rPr>
          <w:rFonts w:ascii="Arial" w:cs="Arial" w:eastAsia="Arial" w:hAnsi="Arial"/>
          <w:sz w:val="16"/>
          <w:szCs w:val="16"/>
          <w:color w:val="auto"/>
        </w:rPr>
        <w:t>Western Digital establishes an allowance for doubtful accounts by analyzing specific customer accounts and assessing the risk of loss based on insolvency, disputes or other collection issues. In addition, the Company routinely analyzes the different receivable aging categories and establishes reserves based on a combination of past due receivables and expected future losses based primarily on the Company’s historical levels of bad debt losses. If the financial condition of a significant customer deteriorates resulting in its inability to pay its accounts when due, or if the overall loss history of the Company changes significantly, an adjustment in the Company’s allowance for doubtful accounts would be required, which could affect operating results.</w:t>
      </w:r>
    </w:p>
    <w:p>
      <w:pPr>
        <w:spacing w:after="0" w:line="50" w:lineRule="exact"/>
        <w:rPr>
          <w:sz w:val="20"/>
          <w:szCs w:val="20"/>
          <w:color w:val="auto"/>
        </w:rPr>
      </w:pPr>
    </w:p>
    <w:p>
      <w:pPr>
        <w:ind w:right="360" w:firstLine="222"/>
        <w:spacing w:after="0" w:line="312" w:lineRule="auto"/>
        <w:rPr>
          <w:sz w:val="20"/>
          <w:szCs w:val="20"/>
          <w:color w:val="auto"/>
        </w:rPr>
      </w:pPr>
      <w:r>
        <w:rPr>
          <w:rFonts w:ascii="Arial" w:cs="Arial" w:eastAsia="Arial" w:hAnsi="Arial"/>
          <w:sz w:val="16"/>
          <w:szCs w:val="16"/>
          <w:color w:val="auto"/>
        </w:rPr>
        <w:t>Western Digital records provisions against revenue and cost of revenue for estimated sales returns in the same period that the related revenue is recognized. The Company bases these provisions on existing product return notifications as well as historical returns by product type (see “Warranty”). If actual sales returns exceed expectations, an increase in the sales return provision would be required, which could negatively affect operating results.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117" w:lineRule="exact"/>
        <w:rPr>
          <w:sz w:val="20"/>
          <w:szCs w:val="20"/>
          <w:color w:val="auto"/>
        </w:rPr>
      </w:pPr>
    </w:p>
    <w:p>
      <w:pPr>
        <w:ind w:firstLine="222"/>
        <w:spacing w:after="0" w:line="291" w:lineRule="auto"/>
        <w:rPr>
          <w:sz w:val="20"/>
          <w:szCs w:val="20"/>
          <w:color w:val="auto"/>
        </w:rPr>
      </w:pPr>
      <w:r>
        <w:rPr>
          <w:rFonts w:ascii="Arial" w:cs="Arial" w:eastAsia="Arial" w:hAnsi="Arial"/>
          <w:sz w:val="16"/>
          <w:szCs w:val="16"/>
          <w:color w:val="auto"/>
        </w:rPr>
        <w:t>WD records an accrual for estimated warranty costs when revenue is recognized. Warranty covers costs of repair or replacement of the hard disk drive over the warranty period, which generally ranges from one to five years. The Company has comprehensive processes with which to estimate accruals for warranty, which include specific detail on hard disk drive reliability, such as factory test data, historical field return rates, and costs to repair by product type. If actual product return trends or costs to repair returned products demonstrate significant differences from expectations at any time during the warranty period, a change in the warranty provision is made. If these estimates differ significantly from actual results, the impact to the consolidated financial statements may be material. For a summary of historical changes in estimates related to pre-existing warranty provisions, refer to Part I, Item 1, Notes to Condensed Consolidated Financial Statements, Note 2 “Supplemental Financial Statement Data” included in this Quarterly Report on Form 10-Q.</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Inventories are valued at the lower of cost (first-in, first-out basis) or net realizable value. Inventory write-downs are recorded for the valuation of inventory at the lower of cost or net realizable value by analyzing market conditions and estimates of future sales prices as compared to inventory costs and inventory balances.</w:t>
      </w:r>
    </w:p>
    <w:p>
      <w:pPr>
        <w:spacing w:after="0" w:line="73" w:lineRule="exact"/>
        <w:rPr>
          <w:sz w:val="20"/>
          <w:szCs w:val="20"/>
          <w:color w:val="auto"/>
        </w:rPr>
      </w:pPr>
    </w:p>
    <w:p>
      <w:pPr>
        <w:ind w:right="140" w:firstLine="222"/>
        <w:spacing w:after="0" w:line="279" w:lineRule="auto"/>
        <w:rPr>
          <w:sz w:val="20"/>
          <w:szCs w:val="20"/>
          <w:color w:val="auto"/>
        </w:rPr>
      </w:pPr>
      <w:r>
        <w:rPr>
          <w:rFonts w:ascii="Arial" w:cs="Arial" w:eastAsia="Arial" w:hAnsi="Arial"/>
          <w:sz w:val="17"/>
          <w:szCs w:val="17"/>
          <w:color w:val="auto"/>
        </w:rPr>
        <w:t>The Company evaluates inventory balances for excess quantities and obsolescence on a regular basis by analyzing backlog, estimated demand, inventory on hand, sales levels and other information, and reduces inventory balances to net realizable value for excess and obsolete inventory based on the analysis. Unanticipated changes in technology or customer demand could result in a decrease in demand for one or more of the Company’s products, which may require an increase in inventory balance adjustments that could negatively affect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and Other Contingencies</w:t>
      </w:r>
    </w:p>
    <w:p>
      <w:pPr>
        <w:spacing w:after="0" w:line="117" w:lineRule="exact"/>
        <w:rPr>
          <w:sz w:val="20"/>
          <w:szCs w:val="20"/>
          <w:color w:val="auto"/>
        </w:rPr>
      </w:pPr>
    </w:p>
    <w:p>
      <w:pPr>
        <w:ind w:right="120" w:firstLine="222"/>
        <w:spacing w:after="0" w:line="276" w:lineRule="auto"/>
        <w:rPr>
          <w:sz w:val="20"/>
          <w:szCs w:val="20"/>
          <w:color w:val="auto"/>
        </w:rPr>
      </w:pPr>
      <w:r>
        <w:rPr>
          <w:rFonts w:ascii="Arial" w:cs="Arial" w:eastAsia="Arial" w:hAnsi="Arial"/>
          <w:sz w:val="17"/>
          <w:szCs w:val="17"/>
          <w:color w:val="auto"/>
        </w:rPr>
        <w:t>WD applies SFAS No. 5, “Accounting for Contingencies,” to determine when and how much to accrue for and disclose related to legal and other contingencies. Accordingly, the Company accrues loss contingencies when management, in consultation with its legal advisors, concludes that a loss is probable and reasonably estimable (Refer to Part I, Item 1, Notes to Condensed Consolidated Financial Statements, Note 8 “Legal Proceedings,” included in this Quarterly Report on Form 10-Q). The ability to predict the ultimate outcome of such matters involves judgments, estimates and inherent uncertainties. The actual outcome of such matters could differ materially from management’s estimates.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right="40" w:firstLine="222"/>
        <w:spacing w:after="0" w:line="264" w:lineRule="auto"/>
        <w:rPr>
          <w:sz w:val="20"/>
          <w:szCs w:val="20"/>
          <w:color w:val="auto"/>
        </w:rPr>
      </w:pPr>
      <w:r>
        <w:rPr>
          <w:rFonts w:ascii="Arial" w:cs="Arial" w:eastAsia="Arial" w:hAnsi="Arial"/>
          <w:sz w:val="18"/>
          <w:szCs w:val="18"/>
          <w:color w:val="auto"/>
        </w:rPr>
        <w:t>The Company records estimated liabilities for tax uncertainties to the extent the contingencies are probable and can be reasonably estimated. However, the actual liability in any such tax contingencies may be materially different from the estimates, which could result in the need to record additional tax liabilities or potentially adjust previously recorded tax liabilities.</w:t>
      </w:r>
    </w:p>
    <w:p>
      <w:pPr>
        <w:spacing w:after="0" w:line="73"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WD’s deferred tax assets, which consist primarily of net operating loss and tax credit carryforwards, are fully reserved in the form of a valuation allowance due to management’s determination that it is more likely than not that these assets will not be realized. This determination is based on the weight of available evidence, the most significant of which is the Company’s loss history in the related tax jurisdictions.</w:t>
      </w:r>
    </w:p>
    <w:p>
      <w:pPr>
        <w:spacing w:after="0" w:line="73" w:lineRule="exact"/>
        <w:rPr>
          <w:sz w:val="20"/>
          <w:szCs w:val="20"/>
          <w:color w:val="auto"/>
        </w:rPr>
      </w:pPr>
    </w:p>
    <w:p>
      <w:pPr>
        <w:ind w:right="160" w:firstLine="225"/>
        <w:spacing w:after="0" w:line="273" w:lineRule="auto"/>
        <w:rPr>
          <w:sz w:val="20"/>
          <w:szCs w:val="20"/>
          <w:color w:val="auto"/>
        </w:rPr>
      </w:pPr>
      <w:r>
        <w:rPr>
          <w:rFonts w:ascii="Arial" w:cs="Arial" w:eastAsia="Arial" w:hAnsi="Arial"/>
          <w:sz w:val="17"/>
          <w:szCs w:val="17"/>
          <w:color w:val="auto"/>
        </w:rPr>
        <w:t>Recent operating performance and general industry conditions have resulted in improved operating results in these tax jurisdictions. If this continues, the Company may determine that it is more likely than not that these deferred tax assets will be realized. At that point, the Company will release all or a portion of the valuation allowance. The release of the valuation allowance will result in an income tax benefit in the period of the release, and a higher financial statement effective tax rate in periods after the release. However, the Company anticipates that the actual effective tax rate in future periods will remain less than the U.S. federal statutory rate. While the timing of any such release is dependent on future events and circumstances, the Company believes that it may be necessary to release the valuation allowance in the near term.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jc w:val="both"/>
        <w:ind w:right="380" w:firstLine="222"/>
        <w:spacing w:after="0" w:line="264" w:lineRule="auto"/>
        <w:rPr>
          <w:sz w:val="20"/>
          <w:szCs w:val="20"/>
          <w:color w:val="auto"/>
        </w:rPr>
      </w:pPr>
      <w:r>
        <w:rPr>
          <w:rFonts w:ascii="Arial" w:cs="Arial" w:eastAsia="Arial" w:hAnsi="Arial"/>
          <w:sz w:val="18"/>
          <w:szCs w:val="18"/>
          <w:color w:val="auto"/>
        </w:rPr>
        <w:t>Western Digital accounts for stock-based compensation in accordance with the fair value recognition provisions of SFAS 123-R. Under the fair value recognition provisions of SFAS 123-R, stock-based compensation cost is measured at the grant date based on the value of the award and is recognized as expense over the vesting period.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Under SFAS 123-R, the Company is required to use judgment in estimating the amount of stock-based awards that are expected to be forfeited. If actual forfeitures differ significantly from the original estimate, stock-based compensation expense and the Company’s results of operations could be materially impacted.</w:t>
      </w:r>
    </w:p>
    <w:p>
      <w:pPr>
        <w:spacing w:after="0" w:line="73"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Prior to the adoption of SFAS 123-R, the Company accounted for stock-based employee compensation plans (including shares issued under the Company’s stock option plans and ESPP) in accordance with Accounting Principles Board Opinion No. 25, “Accounting for Stock Issued to Employees” and its related interpretations (“APB 25”), and followed the pro forma net income, pro forma income per share, and stock-based compensation plan disclosure requirements set forth in SFAS No. 123, “Accounting for Stock-Based Compensation.”</w:t>
      </w:r>
    </w:p>
    <w:p>
      <w:pPr>
        <w:spacing w:after="0" w:line="79" w:lineRule="exact"/>
        <w:rPr>
          <w:sz w:val="20"/>
          <w:szCs w:val="20"/>
          <w:color w:val="auto"/>
        </w:rPr>
      </w:pPr>
    </w:p>
    <w:p>
      <w:pPr>
        <w:jc w:val="both"/>
        <w:ind w:right="240" w:firstLine="222"/>
        <w:spacing w:after="0" w:line="264" w:lineRule="auto"/>
        <w:rPr>
          <w:sz w:val="20"/>
          <w:szCs w:val="20"/>
          <w:color w:val="auto"/>
        </w:rPr>
      </w:pPr>
      <w:r>
        <w:rPr>
          <w:rFonts w:ascii="Arial" w:cs="Arial" w:eastAsia="Arial" w:hAnsi="Arial"/>
          <w:sz w:val="18"/>
          <w:szCs w:val="18"/>
          <w:color w:val="auto"/>
        </w:rPr>
        <w:t>The fair values of all stock options granted subsequent to December 31, 2004, were estimated using a binomial model and the fair values of all options granted prior to December 31, 2004, and all ESPP shares were estimated using the Black-Scholes-Merton option pricing model. Both the binomial and the Black Scholes models require the input of highly subjective assumptions.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In June 2005, the FASB issued SFAS No. 154, “Accounting Changes and Error Corrections” (“SFAS 154”). SFAS 154 replaces Accounting Principles Board Opinion No. 20, “Accounting Changes” (“APB 20”) and SFAS No. 3, “Reporting Accounting Changes in Interim Financial Statements”, applies to all voluntary changes in accounting principle and changes the requirements for accounting and reporting of a change in accounting principle. APB 20 previously required that most voluntary changes in accounting principle be recognized by including in net income of the period of change a cumulative effect of changing to the new accounting principle whereas SFAS 154 requires retrospective application to prior periods’ financial statements of a voluntary change in accounting principle, unless it is impracticable. SFAS 154 enhances the consistency of financial information between periods, and is effective for fiscal years beginning after December 15, 2005. The Company does not expect the adoption of SFAS 154 to have a material impact on its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That May Affect Future Results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Declines in average selling prices (“ASPs”) in the hard disk drive industry adversely affect our operating results.</w:t>
      </w:r>
    </w:p>
    <w:p>
      <w:pPr>
        <w:spacing w:after="0" w:line="117" w:lineRule="exact"/>
        <w:rPr>
          <w:sz w:val="20"/>
          <w:szCs w:val="20"/>
          <w:color w:val="auto"/>
        </w:rPr>
      </w:pPr>
    </w:p>
    <w:p>
      <w:pPr>
        <w:jc w:val="both"/>
        <w:ind w:firstLine="222"/>
        <w:spacing w:after="0" w:line="286" w:lineRule="auto"/>
        <w:rPr>
          <w:sz w:val="20"/>
          <w:szCs w:val="20"/>
          <w:color w:val="auto"/>
        </w:rPr>
      </w:pPr>
      <w:r>
        <w:rPr>
          <w:rFonts w:ascii="Arial" w:cs="Arial" w:eastAsia="Arial" w:hAnsi="Arial"/>
          <w:sz w:val="17"/>
          <w:szCs w:val="17"/>
          <w:color w:val="auto"/>
        </w:rPr>
        <w:t>The hard disk drive industry historically has experienced declining ASPs. Our ASPs tend to decline when competitors lower prices as a result of decreased costs or to absorb excess capacity, liquidate excess inventories, restructure or attempt to gain market share. Our ASPs also decline when there is a shift in the mix of product sales, and sales of lower priced products increase relative to those of higher priced products.</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operating results depend on optimizing time-to-market and time-to-volume, overall quality, and costs of new and established products.</w:t>
      </w:r>
    </w:p>
    <w:p>
      <w:pPr>
        <w:spacing w:after="0" w:line="117"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To achieve consistent success with our customers who manufacture computers, systems and consumer electronic products, we must balance several key attributes such as time-to-market, time-to-volume, quality, cost, service, price and a broad product portfolio. If we fail to:</w:t>
      </w:r>
    </w:p>
    <w:p>
      <w:pPr>
        <w:spacing w:after="0" w:line="62"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maintain overall quality of products on new and established programs,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maintain competitive cost structures on new and established products,</w:t>
      </w:r>
    </w:p>
    <w:p>
      <w:pPr>
        <w:spacing w:after="0" w:line="130" w:lineRule="exact"/>
        <w:rPr>
          <w:rFonts w:ascii="Arial" w:cs="Arial" w:eastAsia="Arial" w:hAnsi="Arial"/>
          <w:sz w:val="18"/>
          <w:szCs w:val="18"/>
          <w:b w:val="1"/>
          <w:bCs w:val="1"/>
          <w:color w:val="auto"/>
        </w:rPr>
      </w:pPr>
    </w:p>
    <w:p>
      <w:pPr>
        <w:ind w:left="660" w:right="96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produce sufficient quantities of products at the capacities our customers demand while managing the integration of new and established technologies,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develop and qualify new products that have changes in overall specifications or features that our customers may require for their business needs,</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obtain commitments from our customers to qualify new products, redesigns of current products, or new components in our existing products,</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qualify these products with key customers on a timely basis by meeting all of our customers’ needs for performance, quality and features,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maintain an adequate supply of components required to manufacture our products,</w:t>
      </w:r>
    </w:p>
    <w:p>
      <w:pPr>
        <w:spacing w:after="0" w:line="130"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maintain the manufacturing capability to quickly change our product mix between different capacities, form factors and spin speeds in response to changes in customers’ product demands, or</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consistently meet stated quality requirements on delivered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could be adversely affected.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Product life cycles influence our financial results.</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Product life cycles have been extending since the middle of calendar year 2002 due in large part to a decrease in the rate of hard disk drive areal density growth. However, there can be no assurance that this trend will continue. If longer product life cycles continue, we may need to develop new technologies or programs to reduce our costs on any particular product in order to maintain competitive pricing for that product. This may result in an increase in our overall expenses and a decrease in our gross margins, both of which could adversely affect our operating results. If product life cycles shorten, it may be more difficult to recover the cost of product development before the product becomes obsolete. Our failure to recover the cost of product development in the future could adversely affect our operating results.</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Product life cycles in the hard disk drive market require continuous technical innovation associated with higher areal densities.</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New products in the hard disk drive market may require higher areal densities than previous product generations, posing formidable technical and manufacturing challenges. Higher areal densities require existing head technology to be improved or new technology developed to accommodate more data on a single disk. In addition, our introduction of new products during a technology transition increases the likelihood of unexpected quality concerns. Our failure to bring high quality new products to market on time and at acceptable costs may put us at a competitive disadvantage to companies that achieve these results.</w:t>
      </w:r>
    </w:p>
    <w:p>
      <w:pPr>
        <w:spacing w:after="0" w:line="80" w:lineRule="exact"/>
        <w:rPr>
          <w:sz w:val="20"/>
          <w:szCs w:val="20"/>
          <w:color w:val="auto"/>
        </w:rPr>
      </w:pPr>
    </w:p>
    <w:p>
      <w:pPr>
        <w:ind w:left="120" w:right="920"/>
        <w:spacing w:after="0" w:line="277" w:lineRule="auto"/>
        <w:rPr>
          <w:sz w:val="20"/>
          <w:szCs w:val="20"/>
          <w:color w:val="auto"/>
        </w:rPr>
      </w:pPr>
      <w:r>
        <w:rPr>
          <w:rFonts w:ascii="Arial" w:cs="Arial" w:eastAsia="Arial" w:hAnsi="Arial"/>
          <w:sz w:val="18"/>
          <w:szCs w:val="18"/>
          <w:i w:val="1"/>
          <w:iCs w:val="1"/>
          <w:color w:val="auto"/>
        </w:rPr>
        <w:t>A fundamental change in recording technology could result in significant increases in our operating expenses and could put us at a competitive disadvantage.</w:t>
      </w:r>
    </w:p>
    <w:p>
      <w:pPr>
        <w:spacing w:after="0" w:line="62"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Currently the hard disk drive industry uses giant magnetoresistive head technology, which allows significantly higher storage capacities than the previously utilized thin-film head technology. However, the industry is developing and now implementing new recording technologies that may enable greater recording densities than currently available using magnetoresistive head technology, including perpendicular, current perpendicular-to-plane, and tunneling junction technology, each of which represent a significant change in fundamental recording technology. The industry is experiencing a fundamental shift in recording technology, and hard disk drive manufacturers need to timely adjust their designs and processes to accommodate the new technology in order to remain competitive. As a result, we could incur substantial costs in developing new technologies, such as, heads, media, and tools to remain competitive. We may also become more dependent on suppliers to ensure our access to components that accommodate the new technology. For example, this new technology requires changes in the manufacturing process of media, which may cause longer production times and reduce the overall availability of media in the industry. Additionally, the new technology requires a greater degree of integration between heads and media which may lengthen our time of development of hard disk drives using this technology. These results would increase our operating costs, which may negatively impact our operating results.</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i w:val="1"/>
          <w:iCs w:val="1"/>
          <w:color w:val="auto"/>
        </w:rPr>
        <w:t>The difficulty of introducing hard disk drives with higher levels of areal density and the challenges of reducing other costs may impact our ability to achieve historical levels of cost reduction.</w:t>
      </w:r>
    </w:p>
    <w:p>
      <w:pPr>
        <w:spacing w:after="0" w:line="62"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Storage capacity of the hard disk drive, as manufactured by us, is determined by the number of disks and each disk’s areal density. Areal density is a measure of the amount of magnetic bits that can be stored on the recording surface of the disk. Generally, the higher the areal density, the more information can be stored on a single platter. Historically, we have been able to achieve a large percentage of cost reduction through increases in areal density. Increases in areal density mean that the average drive we sell has fewer heads and disks for the same capacity and, therefore, may result in a lower component cost. However, because increases in areal density have become more difficult in the hard disk drive industry, such increases may require increases in component costs. In addition, other opportunities to reduce costs may not continue at historical rates. Our inability to achieve cost reductions could adversely affect our operating results.</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Increases in areal density may outpace customers’ demand for storage capacity.</w:t>
      </w:r>
    </w:p>
    <w:p>
      <w:pPr>
        <w:spacing w:after="0" w:line="117"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Historically, the industry has experienced periods of increased areal density growth rates. Although in recent years there has been a decrease in the rate of areal density growth, if industry conditions return to periods of increased growth rates, the rate of increase in areal density may exceed the increase in our customers’ demand for aggregate storage capacity. Furthermore, our customers’ demand for storage capacity may not continue to grow at current industry estimates as a result of developments in the regulation and enforcement of digital rights management or otherwise. These factors could lead to our customers’ storage capacity needs being satisfied with lower capacity hard disk drives at lower prices, thereby decreasing our revenue. As a result, even with increasing aggregate demand for storage capacity, our ASPs could decline, which could adversely affect our results of operations.</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the markets for hard disk drives require us to develop new products and new technology.</w:t>
      </w:r>
    </w:p>
    <w:p>
      <w:pPr>
        <w:spacing w:after="0" w:line="117" w:lineRule="exact"/>
        <w:rPr>
          <w:sz w:val="20"/>
          <w:szCs w:val="20"/>
          <w:color w:val="auto"/>
        </w:rPr>
      </w:pPr>
    </w:p>
    <w:p>
      <w:pPr>
        <w:ind w:right="40" w:firstLine="225"/>
        <w:spacing w:after="0" w:line="308" w:lineRule="auto"/>
        <w:rPr>
          <w:sz w:val="20"/>
          <w:szCs w:val="20"/>
          <w:color w:val="auto"/>
        </w:rPr>
      </w:pPr>
      <w:r>
        <w:rPr>
          <w:rFonts w:ascii="Arial" w:cs="Arial" w:eastAsia="Arial" w:hAnsi="Arial"/>
          <w:sz w:val="17"/>
          <w:szCs w:val="17"/>
          <w:color w:val="auto"/>
        </w:rPr>
        <w:t>Over the past few years the consumer market for computers has shifted significantly towards lower priced systems. If we are not able to continue to offer a competitively priced hard disk drive for the low-cost PC market, our share of that market will likely fall, which could harm our operating results.</w:t>
      </w:r>
    </w:p>
    <w:p>
      <w:pPr>
        <w:spacing w:after="0" w:line="38" w:lineRule="exact"/>
        <w:rPr>
          <w:sz w:val="20"/>
          <w:szCs w:val="20"/>
          <w:color w:val="auto"/>
        </w:rPr>
      </w:pPr>
    </w:p>
    <w:p>
      <w:pPr>
        <w:ind w:right="260" w:firstLine="222"/>
        <w:spacing w:after="0" w:line="264" w:lineRule="auto"/>
        <w:rPr>
          <w:sz w:val="20"/>
          <w:szCs w:val="20"/>
          <w:color w:val="auto"/>
        </w:rPr>
      </w:pPr>
      <w:r>
        <w:rPr>
          <w:rFonts w:ascii="Arial" w:cs="Arial" w:eastAsia="Arial" w:hAnsi="Arial"/>
          <w:sz w:val="18"/>
          <w:szCs w:val="18"/>
          <w:color w:val="auto"/>
        </w:rPr>
        <w:t>The market for hard disk drives is also fragmenting into a variety of devices and products. Many industry analysts expect, as do we, that as communications are increasingly converted to digital technology from the older, analog technology, the technology of computers and consumer electronics will continue to converge, and hard disk drives are found in many CE products other than computers.</w:t>
      </w:r>
    </w:p>
    <w:p>
      <w:pPr>
        <w:spacing w:after="0" w:line="73"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In addition, we expect that the consumer market for multi-media applications, including audio-video products, incorporating high capacity, handheld consumer storage will continue to grow. However, because this market remains relatively new, accurate forecasts for future growth remain challenging. Moreover, some of the devices, such as personal video recorders and digital video recorders, or other products outside of the CE market, may require attributes not currently offered in our products, which have resulted in a need to expend capital to develop new interfaces, form factors, technical specifications or hard disk drive features, increasing our overall operational expense without corresponding incremental revenue at this stage. If we are not successful in continuing to deploy our hard disk drive technology and expertise to develop new products for the emerging CE market, or if we are required to incur significant costs in developing such products, it may harm our operating results.</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Current or future competitors may gain a technology advantage or develop an advantageous cost structure that we cannot match.</w:t>
      </w:r>
    </w:p>
    <w:p>
      <w:pPr>
        <w:spacing w:after="0" w:line="117"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It may be possible for our current or future competitors to gain an advantage in product technology, manufacturing technology, or process technology, which may allow them to offer products or services that have a significant advantage over the products and services that we offer. Advantages could be in capacity, performance, reliability, serviceability, or other attributes. For example, a competitor recently introduced a product with increased capacity using perpendicular recording technology. If we are unable to match technology advantages such as this due to the proprietary nature of the technology, limitations on process capability or other factors, we could be at a competitive disadvantage to those competitors.</w:t>
      </w:r>
    </w:p>
    <w:p>
      <w:pPr>
        <w:spacing w:after="0" w:line="64"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Higher capacity storage needs have typically been better served by magnetic hard disk drives than flash memory as hard disk drive manufacturers can offer better value at high capacities, while lower capacity needs have been successfully served by solid state storage such as NAND flash memory technology. Advances in magnetic, optical,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semiconductor or other data storage technologies could result in competitive products that have better performance or lower cost per unit of capacity than our products. If we fail to be cost competitive against flash memory, we could be at a competitive disadvantage to competitors using semiconductor technology. For example, we believe flash memory manufacturers recently achieved improvements in their cost structure and reduced their pricing, thus more effectively competing with our 1.0-inch hard disk drive product. If we are unable to lower the cost structure of future generations of sub-2.5-inch form factor hard drive products through technology advances such as increased storage capacity, this product category could be at a competitive disadvantage to flash technology.</w:t>
      </w:r>
    </w:p>
    <w:p>
      <w:pPr>
        <w:spacing w:after="0" w:line="50" w:lineRule="exact"/>
        <w:rPr>
          <w:sz w:val="20"/>
          <w:szCs w:val="20"/>
          <w:color w:val="auto"/>
        </w:rPr>
      </w:pPr>
    </w:p>
    <w:p>
      <w:pPr>
        <w:ind w:right="240" w:firstLine="215"/>
        <w:spacing w:after="0" w:line="264" w:lineRule="auto"/>
        <w:rPr>
          <w:sz w:val="20"/>
          <w:szCs w:val="20"/>
          <w:color w:val="auto"/>
        </w:rPr>
      </w:pPr>
      <w:r>
        <w:rPr>
          <w:rFonts w:ascii="Arial" w:cs="Arial" w:eastAsia="Arial" w:hAnsi="Arial"/>
          <w:sz w:val="18"/>
          <w:szCs w:val="18"/>
          <w:color w:val="auto"/>
        </w:rPr>
        <w:t>A low cost structure is important to the success of our business. If our competitors are able to achieve a lower cost structure for manufacturing hard disk drives, and we are unable to match their cost structure, we could be at a competitive disadvantage to those competitors as they may be able to sell their products at lower prices while remaining profitable.</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Further industry consolidation could provide competitive advantages to our competitors.</w:t>
      </w:r>
    </w:p>
    <w:p>
      <w:pPr>
        <w:spacing w:after="0" w:line="117"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The hard disk drive industry has experienced consolidation over the past several years, including the recently announced planned acquisition of Maxtor Corp. by Seagate Technology. Consolidation by our competitors may enhance their capacity abilities and resources and lower their cost structure, causing us to be at a competitive disadvantage. Additionally, continued industry consolidation may lead to uncertainty in areas such as component availability, which could negatively impact our cost structure.</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If we do not successfully expand into new hard disk drive markets, our business may suffer.</w:t>
      </w:r>
    </w:p>
    <w:p>
      <w:pPr>
        <w:spacing w:after="0" w:line="117"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To remain a significant supplier of hard disk drives, we will need to offer a broad range of hard disk drive products to our customers. We currently offer a variety of 3.5-inch hard disk drives for the desktop computer, enterprise, CE and external storage markets, and we also offer 2.5-inch form factor hard disk drives for the mobile, CE and external storage markets. However, demand for hard disk drives may shift to products in smaller form factors, which our competitors may already offer. We recently entered into the sub-2.5-inch hard disk drive market with a 1.0-inch hard disk drive product. We face various challenges in ramping the manufacturing volume of our 1.0-inch hard disk drive and if we do not adequately address these challenges, our continued shipment of this product may be delayed, impairing our ability to realize revenue from this product. Additionally, we face various challenges in increasing the storage capacity of our 1.0-inch hard disk drive product, and if we are not successful in increasing its storage capacity, we may not be able to decrease the cost structure of this product, which could put us at a competitive disadvantage.</w:t>
      </w:r>
    </w:p>
    <w:p>
      <w:pPr>
        <w:spacing w:after="0" w:line="71"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In addition, the desktop PC and enterprise markets are transitioning from parallel interfaces, such as PATA and SCSI, to higher speed interfaces, such as SATA and SAS, to handle higher data transfer rates. We currently offer SATA products; however, the transition of technology and the introduction of new products are challenging and create risks. For example, acceptance of the SATA interface may not continue to grow, or customers may choose to purchase alternative interfaces that may not be compatible with future generations of SATA hard disk drives. Moreover, our customers may require new SATA features that we may not be able to deliver in a timely and cost effective manner.</w:t>
      </w:r>
    </w:p>
    <w:p>
      <w:pPr>
        <w:spacing w:after="0" w:line="64" w:lineRule="exact"/>
        <w:rPr>
          <w:sz w:val="20"/>
          <w:szCs w:val="20"/>
          <w:color w:val="auto"/>
        </w:rPr>
      </w:pPr>
    </w:p>
    <w:p>
      <w:pPr>
        <w:ind w:right="80" w:firstLine="222"/>
        <w:spacing w:after="0" w:line="271" w:lineRule="auto"/>
        <w:rPr>
          <w:sz w:val="20"/>
          <w:szCs w:val="20"/>
          <w:color w:val="auto"/>
        </w:rPr>
      </w:pPr>
      <w:r>
        <w:rPr>
          <w:rFonts w:ascii="Arial" w:cs="Arial" w:eastAsia="Arial" w:hAnsi="Arial"/>
          <w:sz w:val="17"/>
          <w:szCs w:val="17"/>
          <w:color w:val="auto"/>
        </w:rPr>
        <w:t>While we continue to develop new products and look to expand into other hard disk drive markets, the success of our new product introductions is dependent on a number of factors, including difficulties faced in manufacturing ramp, market acceptance, effective management of inventory levels in line with anticipated product demand, and the risk that our new products may have quality problems or other defects in the early stages of introduction that were not anticipated in the design of those products. Further, we need to identify how any of the hard disk drive markets that we are expanding into may have different characteristics from the desktop computer hard disk drive market, such as, demand volume growth rates, product generations development rates, customer concentrations, and cost and performance requirements, and we must properly address these differences. If we fail to successfully develop and manufacture new products and expand into new hard disk drive markets, customers may decrease the amount of our products that they purchase, and we may lose business to our competitors who offer these products.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If we do not successfully continue to expand into the mobile computer market, our business may suffer.</w:t>
      </w:r>
    </w:p>
    <w:p>
      <w:pPr>
        <w:spacing w:after="0" w:line="117"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We began shipping 2.5-inch form factor hard disk drives for the mobile market during calendar year 2004. Although many of our customers who purchase 3.5-inch form factor hard disk drives also purchase the 2.5-inch form factor drives, the markets are characterized by some different competitors and different overall requirements. If we are unable to adapt to these differences and meet the new requirements, we would have a competitive disadvantage to companies that are successful in this regard, and our business and financial results could suffer. In addition, if we continue to incur significant costs in manufacturing and selling the 2.5-inch hard disk drives, and if we are unable to recover those costs from sales of the products, then we may not be able to compete successfully in this market and our operating results may suffer.</w:t>
      </w:r>
    </w:p>
    <w:p>
      <w:pPr>
        <w:spacing w:after="0" w:line="8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i w:val="1"/>
          <w:iCs w:val="1"/>
          <w:color w:val="auto"/>
        </w:rPr>
        <w:t>Sales in the distribution channel are important to our business, and if we fail to maintain brand preference with our distributors or if distribution markets for hard disk drives weaken, our operating results could suffer.</w:t>
      </w:r>
    </w:p>
    <w:p>
      <w:pPr>
        <w:spacing w:after="0" w:line="62"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If we fail to remain competitive in terms of our technology, quality, service and support, our distribution customers may favor our competition, and our operating results could suffer. We also face significant risk in the distribution market for hard disk drives. If the distribution market weakens as a result of a slowing PC growth rate, technology transitions or a significant change in consumer buying preference from white box to branded PCs, or we experience significant price declines due to oversupply in the distribution channel, then our operating results would be adversely affected.</w:t>
      </w:r>
    </w:p>
    <w:p>
      <w:pPr>
        <w:spacing w:after="0" w:line="70"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i w:val="1"/>
          <w:iCs w:val="1"/>
          <w:color w:val="auto"/>
        </w:rPr>
        <w:t>Selling to the retail market is an important part of our business, and if we fail to maintain and grow our market share or gain market acceptance of our retail products, our operating results could suffer.</w:t>
      </w:r>
    </w:p>
    <w:p>
      <w:pPr>
        <w:spacing w:after="0" w:line="62"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sell our retail-packaged products directly to a select group of major retailers, for example, computer superstores and CE stores, and authorize sales through distributors to other retailers. Our current retail customer base is primarily in the United States, Canada and Europe. We are facing increased competition from other companies for shelf space at major retailers, which could result in lower revenues. If we fail to successfully maintain a customer preference for Western Digital brand products or fail to successfully expand into multiple retail channels, our operating results may be adversely affected. In certain markets, we are trying to grow market share, and in the process may face strong competition, which could result in lower gross margins. We will continue to introduce new products in the retail market that incorporate our disk drives. There can be no assurance that these products gain market acceptance, and if they do not, our operating results could suffer.</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 develop new products, we must maintain effective partner relationships with our major component suppliers.</w:t>
      </w:r>
    </w:p>
    <w:p>
      <w:pPr>
        <w:spacing w:after="0" w:line="117"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Under our business model, we do not manufacture many of the component parts used in our hard disk drives, however, for some of our product families, we do make most of our own heads. As a result, the success of our products depends on our ability to gain access to and integrate parts that are “best in class” from reliable component suppliers. To do so, we must effectively manage our relationships with our major component suppliers. We must also effectively integrate different products from a variety of suppliers, each of which employs variations on technology, which can impact, for example, feasible combinations of heads and media components. In August 2003, we settled litigation with a supplier who previously was the sole source of read channel devices for our hard disk drives. As a result of the disputes that gave rise to the litigation, our profitability was at risk until another supplier’s read channel devices could be designed into our products. Similar disputes with other strategic component suppliers could adversely affect our operating results.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Dependence on a limited number of qualified suppliers of components and manufacturing equipment could lead to delays, lost revenue or increased costs.</w:t>
      </w:r>
    </w:p>
    <w:p>
      <w:pPr>
        <w:spacing w:after="0" w:line="140" w:lineRule="exact"/>
        <w:rPr>
          <w:sz w:val="20"/>
          <w:szCs w:val="20"/>
          <w:color w:val="auto"/>
        </w:rPr>
      </w:pPr>
    </w:p>
    <w:p>
      <w:pPr>
        <w:ind w:right="200" w:firstLine="225"/>
        <w:spacing w:after="0" w:line="255" w:lineRule="auto"/>
        <w:rPr>
          <w:sz w:val="20"/>
          <w:szCs w:val="20"/>
          <w:color w:val="auto"/>
        </w:rPr>
      </w:pPr>
      <w:r>
        <w:rPr>
          <w:rFonts w:ascii="Arial" w:cs="Arial" w:eastAsia="Arial" w:hAnsi="Arial"/>
          <w:sz w:val="18"/>
          <w:szCs w:val="18"/>
          <w:color w:val="auto"/>
        </w:rPr>
        <w:t>Certain components are available from a limited number of suppliers. Because we depend on a limited number of suppliers for certain hard disk drive components and manufacturing equipment, an increase in the cost of such components or equipment, an extended shortage of required components or equipment, failure of a key supplier’s business process, or the failure of key suppliers to remain in business, adjust to market conditions, or to meet our quality, yield or production requirements could significantly harm our operating results. Our future operating results may also depend substantially on our suppliers’ ability to timely qualify their components in our programs, and their ability to supply us with these components in sufficient volumes to meet our production requirements. A number 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components that we use are available from only a single or limited number of qualified outside suppliers, and may be used across multiple product lines. In addition, some of the components (or component types) used in our products are used in other devices, such as mobile telephones and digital cameras. If there is a significant simultaneous upswing in demand for such a component (or component type) from several high volume industries, resulting in a supply reduction, or a component is otherwise in short supply, or if a supplier fails to qualify or has a quality issue with a component, we may experience delays or increased costs in obtaining that component. For example, the hard disk drive industry is currently facing a tightness in the availability of media (rotating magnetic disks) components, and there are currently only three suppliers of aluminum media and three suppliers of glass media in the market. We may experience production delays if we are unable to obtain the necessary components or sufficient quantities of components. If a component becomes unavailable, we could suffer significant loss of revenue.</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Contractual commitments with component suppliers may result in us paying increased charges and cash advances for such components.</w:t>
      </w:r>
    </w:p>
    <w:p>
      <w:pPr>
        <w:spacing w:after="0" w:line="117" w:lineRule="exact"/>
        <w:rPr>
          <w:sz w:val="20"/>
          <w:szCs w:val="20"/>
          <w:color w:val="auto"/>
        </w:rPr>
      </w:pPr>
    </w:p>
    <w:p>
      <w:pPr>
        <w:ind w:right="60" w:firstLine="222"/>
        <w:spacing w:after="0" w:line="293" w:lineRule="auto"/>
        <w:rPr>
          <w:sz w:val="20"/>
          <w:szCs w:val="20"/>
          <w:color w:val="auto"/>
        </w:rPr>
      </w:pPr>
      <w:r>
        <w:rPr>
          <w:rFonts w:ascii="Arial" w:cs="Arial" w:eastAsia="Arial" w:hAnsi="Arial"/>
          <w:sz w:val="16"/>
          <w:szCs w:val="16"/>
          <w:color w:val="auto"/>
        </w:rPr>
        <w:t>To reduce the risk of component shortages, we attempt to provide significant lead times when buying these components. As a result, we may be subject to cancellation charges if we cancel orders, which may occur when we make technology transitions or when our component needs change. In addition, we have entered into contractual commitments with component suppliers, such as suppliers of media, and may enter into contractual commitments with other component suppliers, in an effort to increase and stabilize the supply of those components, and enable us to purchase such media components at favorable prices. Some of these commitments require and may require us to buy a substantial number of components from the supplier or make significant cash advances to the supplier, however these commitments may not result in a satisfactory increase or stabilization of the supply of such components.</w:t>
      </w:r>
    </w:p>
    <w:p>
      <w:pPr>
        <w:spacing w:after="0" w:line="57" w:lineRule="exact"/>
        <w:rPr>
          <w:sz w:val="20"/>
          <w:szCs w:val="20"/>
          <w:color w:val="auto"/>
        </w:rPr>
      </w:pPr>
    </w:p>
    <w:p>
      <w:pPr>
        <w:ind w:right="280" w:firstLine="225"/>
        <w:spacing w:after="0" w:line="312" w:lineRule="auto"/>
        <w:rPr>
          <w:sz w:val="20"/>
          <w:szCs w:val="20"/>
          <w:color w:val="auto"/>
        </w:rPr>
      </w:pPr>
      <w:r>
        <w:rPr>
          <w:rFonts w:ascii="Arial" w:cs="Arial" w:eastAsia="Arial" w:hAnsi="Arial"/>
          <w:sz w:val="16"/>
          <w:szCs w:val="16"/>
          <w:color w:val="auto"/>
        </w:rPr>
        <w:t>In addition, certain equipment we use in our manufacturing or testing processes is available only from a limited number of suppliers. Some of this equipment uses materials that at times could be in short supply. If these materials are not available, or are not available in the quantities we require for our manufacturing and testing processes, our ability to manufacture our products could be impacted, and we could suffer significant loss of revenue.</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Rising costs of commodity materials may result in lower operating margins.</w:t>
      </w:r>
    </w:p>
    <w:p>
      <w:pPr>
        <w:spacing w:after="0" w:line="117"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cost and availability of certain commodity materials used to manufacture hard disk drives and key components is critical to our success. Shortages of materials such as steel and aluminum increase our costs and may result in lower operating margins if we are unable to find ways to mitigate these increased costs. The rising cost of oil also increases our costs and may result in lower operating margins if we are unable to pass such increased costs through to our customers.</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head manufacturing operations may result in additional costs and risks to our business.</w:t>
      </w:r>
    </w:p>
    <w:p>
      <w:pPr>
        <w:spacing w:after="0" w:line="117"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Our vertical integration of head manufacturing resulted in a fundamental change in our operating structure, as we now manufacture heads for use in many of the hard disk drives we manufacture. Consequently, we make more capital investments than we would if we were not vertically integrated and carry a higher percentage of fixed costs than assumed in our prior financial business model. If the overall level of production decreases for any reason, and we are unable to reduce our fixed costs to match sales, our head manufacturing assets may face under-utilization that may impact our results of operations. We are therefore subject to additional risks related to overall asset utilization, including the need to operate at high levels of utilization to drive competitive costs, and the need for assured supply of components, especially hard disk drive media, that is optimized to work with our heads.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addition, we may incur additional risks, including:</w:t>
      </w:r>
    </w:p>
    <w:p>
      <w:pPr>
        <w:spacing w:after="0" w:line="117"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insufficient head sources in the event that we are unable to manufacture a sufficient supply of heads to satisfy our needs;</w:t>
      </w:r>
    </w:p>
    <w:p>
      <w:pPr>
        <w:spacing w:after="0" w:line="130" w:lineRule="exact"/>
        <w:rPr>
          <w:rFonts w:ascii="Arial" w:cs="Arial" w:eastAsia="Arial" w:hAnsi="Arial"/>
          <w:sz w:val="18"/>
          <w:szCs w:val="18"/>
          <w:b w:val="1"/>
          <w:bCs w:val="1"/>
          <w:color w:val="auto"/>
        </w:rPr>
      </w:pPr>
    </w:p>
    <w:p>
      <w:pPr>
        <w:ind w:left="660" w:right="58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third party head suppliers may not continue to do business with us or may not do business with us on the same terms and conditions we have previously enjoyed;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claims that our manufacturing of heads may infringe certain intellectual property rights of other companies;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difficulties locating suitable manufacturing equipment for our head manufacturing processes and replacement parts for such equipment.</w:t>
      </w:r>
    </w:p>
    <w:p>
      <w:pPr>
        <w:spacing w:after="0" w:line="129"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If we do not adequately address the challenges related to our head manufacturing operations, our ongoing operations could be disrupted, resulting in a decrease in our revenue or profit margins and negatively impacting our operating results.</w:t>
      </w:r>
    </w:p>
    <w:p>
      <w:pPr>
        <w:spacing w:after="0" w:line="62"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i w:val="1"/>
          <w:iCs w:val="1"/>
          <w:color w:val="auto"/>
        </w:rPr>
        <w:t>If we are unable to timely and cost-effectively develop heads with leading technology and overall quality, our ability to sell our products may be significantly diminished, which could materially and adversely affect our business and financial results.</w:t>
      </w:r>
    </w:p>
    <w:p>
      <w:pPr>
        <w:spacing w:after="0" w:line="62"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Under our business plan, we are developing and manufacturing a substantial portion of the heads used in some of the product families of hard disk drives we manufacture. Consequently, we are more dependent upon our own development and execution efforts and less able to take advantage of head technologies developed by other head manufacturers. Technology transition for head designs is critical to increasing our volume production of heads. There can be no assurance, however, that we will be successful in timely and cost-effectively developing and manufacturing heads for products using perpendicular recording technology, or other future technologies. We also may not effectively transition our head design and head technology in order to achieve acceptable manufacturing yields using such technologies necessary to satisfy our customers’ product needs, or we may encounter quality problems with the heads we manufacture. In addition, we may not have access to external sources of supply without incurring substantial costs. For example, we anticipate using perpendicular recording heads in certain products in the future. If we fail to develop new technologies such as perpendicular recording in a timely manner, or if we encounter quality problems with the heads we manufacture, and if we do not have access to external sources of supply that incorporate new technologies, we would have a competitive disadvantage to companies that are successful in this regard, and our business and financial results could suffer.</w:t>
      </w:r>
    </w:p>
    <w:p>
      <w:pPr>
        <w:spacing w:after="0" w:line="6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i w:val="1"/>
          <w:iCs w:val="1"/>
          <w:color w:val="auto"/>
        </w:rPr>
        <w:t>We have high-volume hard disk drive manufacturing facilities in Malaysia and Thailand, which subjects us to the risk of damage or loss of any of these facilities and localized risks to personnel in these locations.</w:t>
      </w:r>
    </w:p>
    <w:p>
      <w:pPr>
        <w:spacing w:after="0" w:line="62"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Our hard disk drives are manufactured in facilities in Malaysia and Thailand. A fire, flood, earthquake or other disaster, condition or event such as a power outage that adversely affects any of these facilities or our ability to manufacture could limit the total volume of hard disk drives we are able to manufacture and result in a loss of sales and revenue and harm our operating results. Similarly, a localized health risk affecting our personnel in Malaysia and Thailand, such as a new pandemic influenza in Asia Pacific, could impair the total volume of hard disk drives that we are able to manufacture.</w:t>
      </w:r>
    </w:p>
    <w:p>
      <w:pPr>
        <w:spacing w:after="0" w:line="4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i w:val="1"/>
          <w:iCs w:val="1"/>
          <w:color w:val="auto"/>
        </w:rPr>
        <w:t>Our head manufacturing operations include a single wafer fabrication facility in Fremont, California and a single head gimbal/head stack assembly facility in Bang Pa-In, Thailand, which subjects us to the risk of damage or loss to either of these facilities.</w:t>
      </w:r>
    </w:p>
    <w:p>
      <w:pPr>
        <w:spacing w:after="0" w:line="62" w:lineRule="exact"/>
        <w:rPr>
          <w:sz w:val="20"/>
          <w:szCs w:val="20"/>
          <w:color w:val="auto"/>
        </w:rPr>
      </w:pPr>
    </w:p>
    <w:p>
      <w:pPr>
        <w:ind w:right="200" w:firstLine="222"/>
        <w:spacing w:after="0" w:line="257" w:lineRule="auto"/>
        <w:rPr>
          <w:sz w:val="20"/>
          <w:szCs w:val="20"/>
          <w:color w:val="auto"/>
        </w:rPr>
      </w:pPr>
      <w:r>
        <w:rPr>
          <w:rFonts w:ascii="Arial" w:cs="Arial" w:eastAsia="Arial" w:hAnsi="Arial"/>
          <w:sz w:val="18"/>
          <w:szCs w:val="18"/>
          <w:color w:val="auto"/>
        </w:rPr>
        <w:t>We plan to design and manufacture a substantial portion of the heads required for the hard disk drives we manufacture. We fabricate wafers in our Fremont, California facility, and the wafers are then sent to our Thailand facility for slider fabrication/wafer slicing, HGA assembly and testing, and HSA assembly and testing. A fire, flood, earthquake or other disaster, condition or event such as a power outage that adversely affects our facility in Fremont, California or Bang Pa-In, Thailand would significantly affect our supply of heads and limit our ability to manufacture hard disk drives and could result in a loss of sales and revenue and harm our operating results.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Manufacturing and marketing our products abroad subjects us to numerous risks.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are subject to risks associated with our foreign manufacturing operations and foreign marketing efforts, including:</w:t>
      </w:r>
    </w:p>
    <w:p>
      <w:pPr>
        <w:spacing w:after="0" w:line="117" w:lineRule="exact"/>
        <w:rPr>
          <w:sz w:val="20"/>
          <w:szCs w:val="20"/>
          <w:color w:val="auto"/>
        </w:rPr>
      </w:pPr>
    </w:p>
    <w:p>
      <w:pPr>
        <w:ind w:left="5620" w:right="3900" w:hanging="5396"/>
        <w:spacing w:after="0" w:line="496" w:lineRule="auto"/>
        <w:tabs>
          <w:tab w:leader="none" w:pos="666"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obtaining requisite United States of America and foreign governmental permits and approvals;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currency exchange rate fluctuations or restrictions;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political instability and civil unrest;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limited transportation availability, delays, and extended time required for shipping, which risks may be compounded in periods of price declines;</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higher freight rates;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labor problems;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trade restrictions or higher tariffs;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exchange, currency and tax controls and reallocations;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increasing labor and overhead costs;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loss or non-renewal of favorable tax treatment under agreements or treaties with foreign tax authorities.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Fluctuations in currency exchange rates as a result of our international operations may negatively affect our operating results.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Because we manufacture our products abroad, our operating costs are subject to fluctuations in foreign currency exchange rates. Further fluctuations in the exchange rate of the Thai Baht and of the Malaysian Ringgit may negatively impact our operating results.</w:t>
      </w:r>
    </w:p>
    <w:p>
      <w:pPr>
        <w:spacing w:after="0" w:line="62"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Thai Baht is a free floating currency while the Malaysian Ringgit exchange rate policy recently defined by the Malaysian government is one of a managed float. We have attempted to manage the impact of foreign currency exchange rate changes by, among other things, entering into short-term, forward contracts. However, these contracts do not cover our full exposure and can be canceled by the issuer if currency controls are put in place. Currently, we hedge the Thai Baht, Euro and British Pound Sterling with forward contracts.</w:t>
      </w:r>
    </w:p>
    <w:p>
      <w:pPr>
        <w:spacing w:after="0" w:line="79"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w:t>
      </w:r>
    </w:p>
    <w:p>
      <w:pPr>
        <w:spacing w:after="0" w:line="7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i w:val="1"/>
          <w:iCs w:val="1"/>
          <w:color w:val="auto"/>
        </w:rPr>
        <w:t>If we fail to qualify our products with our customers, they may not purchase any units of a particular product line, which would have a significant adverse impact on our sales.</w:t>
      </w:r>
    </w:p>
    <w:p>
      <w:pPr>
        <w:spacing w:after="0" w:line="62" w:lineRule="exact"/>
        <w:rPr>
          <w:sz w:val="20"/>
          <w:szCs w:val="20"/>
          <w:color w:val="auto"/>
        </w:rPr>
      </w:pPr>
    </w:p>
    <w:p>
      <w:pPr>
        <w:ind w:right="60" w:firstLine="222"/>
        <w:spacing w:after="0" w:line="272" w:lineRule="auto"/>
        <w:rPr>
          <w:sz w:val="20"/>
          <w:szCs w:val="20"/>
          <w:color w:val="auto"/>
        </w:rPr>
      </w:pPr>
      <w:r>
        <w:rPr>
          <w:rFonts w:ascii="Arial" w:cs="Arial" w:eastAsia="Arial" w:hAnsi="Arial"/>
          <w:sz w:val="17"/>
          <w:szCs w:val="17"/>
          <w:color w:val="auto"/>
        </w:rPr>
        <w:t>We regularly engage in new product qualification with our customers. To be considered for qualification, we must be among the leaders in time-to-market with our new products. Once a product is accepted for qualification testing, failures or delays in the qualification process can result in our losing sales to that customer until the next generation of products is introduced. The effect of missing a product qualification opportunity is magnified by the limited number of high volume computer manufacturers, which continue to consolidate their share of the PC market. If product life cycles continue to be extended due to a decrease in the rate of areal density growth, we may have a significantly longer period to wait before we have an opportunity to qualify a new product with a customer, which could harm our competitive position. These risks are increased because we expect cost improvements and competitive pressures to result in declining gross margins on our current generation products.</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hard disk drive industry is highly competitive and can be characterized by rapid shifts in market share among the major competitors.</w:t>
      </w:r>
    </w:p>
    <w:p>
      <w:pPr>
        <w:spacing w:after="0" w:line="117" w:lineRule="exact"/>
        <w:rPr>
          <w:sz w:val="20"/>
          <w:szCs w:val="20"/>
          <w:color w:val="auto"/>
        </w:rPr>
      </w:pPr>
    </w:p>
    <w:p>
      <w:pPr>
        <w:jc w:val="both"/>
        <w:ind w:right="120" w:firstLine="222"/>
        <w:spacing w:after="0" w:line="264" w:lineRule="auto"/>
        <w:rPr>
          <w:sz w:val="20"/>
          <w:szCs w:val="20"/>
          <w:color w:val="auto"/>
        </w:rPr>
      </w:pPr>
      <w:r>
        <w:rPr>
          <w:rFonts w:ascii="Arial" w:cs="Arial" w:eastAsia="Arial" w:hAnsi="Arial"/>
          <w:sz w:val="18"/>
          <w:szCs w:val="18"/>
          <w:color w:val="auto"/>
        </w:rPr>
        <w:t>The price of hard disk drives has fallen over time due to increases in supply, cost reductions, technological advances and price reductions by competitors seeking to liquidate excess inventories or attempting to gain market share. In addition, rapid technological changes often reduce the volume and profitability of sales of existing products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and increase the risk of inventory obsolescence. We also face competition from other companies that produce alternative storage technologies like flash memory. These factors, taken together, may result in significant and rapid shifts in market share among the industry’s major participants. In addition, product recalls can lead to a loss of market share, which could adversely affect our operating results.</w:t>
      </w:r>
    </w:p>
    <w:p>
      <w:pPr>
        <w:spacing w:after="0" w:line="73"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i w:val="1"/>
          <w:iCs w:val="1"/>
          <w:color w:val="auto"/>
        </w:rPr>
        <w:t>Some of our competitors with diversified business units outside the hard disk drive industry may be able to sell disk drives at lower margins that we cannot match.</w:t>
      </w:r>
    </w:p>
    <w:p>
      <w:pPr>
        <w:spacing w:after="0" w:line="62"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Some of our competitors earn a significant portion of their revenue from business units outside the hard disk drive industry. Because they do not depend solely on sales of hard disk drives to achieve profitability, they may be able to sell hard disk drives at lower margins and still remain profitable. In addition, if these competitors can increase sales of non-hard disk drive products to the same customers, they may benefit from selling their hard disk drives at low margins. Our results of operations may be adversely affected if we can not successfully compete with these companies.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The nature of our business and our reliance on intellectual property and other proprietary information subjects us to the risk of significant litigation.</w:t>
      </w:r>
    </w:p>
    <w:p>
      <w:pPr>
        <w:spacing w:after="0" w:line="129"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The hard disk drive industry has been characterized by significant litigation. This includes litigation relating to patent and other intellectual property rights, product liability claims and other types of litigation. Litigation can be expensive, lengthy and disruptive to normal business operations. Moreover, the results of litigation are inherently uncertain and may result in adverse rulings or decisions. We may enter into settlements or be subject to judgments that may, individually or in the aggregate, have a material adverse effect on our business, financial condition or results of operations.</w:t>
      </w:r>
    </w:p>
    <w:p>
      <w:pPr>
        <w:spacing w:after="0" w:line="63"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We are currently evaluating notices of alleged patent infringement or notices of patents from patent holders. If claims or actions are asserted against us, we may be required to obtain a license or cross-license, modify our existing technology or design a new non-infringing technology. Such licenses or design modifications can be extremely costly. In addition,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likely increase our costs and harm our operating results.</w:t>
      </w:r>
    </w:p>
    <w:p>
      <w:pPr>
        <w:spacing w:after="0" w:line="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i w:val="1"/>
          <w:iCs w:val="1"/>
          <w:color w:val="auto"/>
        </w:rPr>
        <w:t>Our reliance on intellectual property and other proprietary information subjects us to the risk that these key ingredients of our business could be copied by competitors.</w:t>
      </w:r>
    </w:p>
    <w:p>
      <w:pPr>
        <w:spacing w:after="0" w:line="62"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Our success depends, in significant part, on the proprietary nature of our technology, including non-patentable intellectual property such as our process technology. Despite safeguards, to the extent that a competitor is able to reproduce or otherwise capitalize on our technology, it may be difficult, expensive or impossible for us to obtain necessary legal protection. Also, the laws of some foreign countries may not protect our intellectual property to the same extent as do the laws of the United States. In addition to patent protection of intellectual property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any of our registered or unregistered intellectual property rights may be challenged or exploited by others in the industry, which might harm our operating results.</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We depend on our key personnel and skilled employees.</w:t>
      </w:r>
    </w:p>
    <w:p>
      <w:pPr>
        <w:spacing w:after="0" w:line="117"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Our success depends upon the continued contributions of our key personnel and skilled employees, many of whom would be extremely difficult to replace. Worldwide competition for skilled employees in the hard disk drive industry is intense. Volatility or lack of positive performance in our stock price may adversely affect our ability to retain key personnel or skilled employees who have received equity compensation. If we are unable to retain our existing key personnel or skilled employees, or hire and integrate new key personnel or skilled employees, our operating results would likely be harmed.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prices and margins are subject to declines due to unpredictable end-user demand and oversupply of hard disk drives.</w:t>
      </w:r>
    </w:p>
    <w:p>
      <w:pPr>
        <w:spacing w:after="0" w:line="117" w:lineRule="exact"/>
        <w:rPr>
          <w:sz w:val="20"/>
          <w:szCs w:val="20"/>
          <w:color w:val="auto"/>
        </w:rPr>
      </w:pPr>
    </w:p>
    <w:p>
      <w:pPr>
        <w:ind w:right="100" w:firstLine="225"/>
        <w:spacing w:after="0" w:line="302" w:lineRule="auto"/>
        <w:rPr>
          <w:sz w:val="20"/>
          <w:szCs w:val="20"/>
          <w:color w:val="auto"/>
        </w:rPr>
      </w:pPr>
      <w:r>
        <w:rPr>
          <w:rFonts w:ascii="Arial" w:cs="Arial" w:eastAsia="Arial" w:hAnsi="Arial"/>
          <w:sz w:val="16"/>
          <w:szCs w:val="16"/>
          <w:color w:val="auto"/>
        </w:rPr>
        <w:t>Demand for our hard disk drives depends on the demand for systems manufactured by our customers and on storage upgrades to existing systems. The demand for systems has been volatile in the past and often has had an exaggerated effect on the demand for hard disk drives in any given period. As a result, the hard disk drive market has experienced periods of excess capacity which can lead to liquidation of excess inventories and intense price competition. If intense price competition occurs, we may be forced to lower prices sooner and more than expected, which could result in lower revenue and gross margins.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failure to accurately forecast market and customer demand for our products could adversely affect our business and financial results.</w:t>
      </w:r>
    </w:p>
    <w:p>
      <w:pPr>
        <w:spacing w:after="0" w:line="117" w:lineRule="exact"/>
        <w:rPr>
          <w:sz w:val="20"/>
          <w:szCs w:val="20"/>
          <w:color w:val="auto"/>
        </w:rPr>
      </w:pPr>
    </w:p>
    <w:p>
      <w:pPr>
        <w:ind w:right="60" w:firstLine="222"/>
        <w:spacing w:after="0" w:line="276" w:lineRule="auto"/>
        <w:rPr>
          <w:sz w:val="20"/>
          <w:szCs w:val="20"/>
          <w:color w:val="auto"/>
        </w:rPr>
      </w:pPr>
      <w:r>
        <w:rPr>
          <w:rFonts w:ascii="Arial" w:cs="Arial" w:eastAsia="Arial" w:hAnsi="Arial"/>
          <w:sz w:val="17"/>
          <w:szCs w:val="17"/>
          <w:color w:val="auto"/>
        </w:rPr>
        <w:t>The hard disk drive industry faces difficulties in accurately forecasting market and customer demand for its products. The variety and volume of products we manufacture is based in part on these forecasts. If our forecasts exceed actual market demand, or if market demand decreases significantly from our forecasts, then we could experience periods of product oversupply and price decreases, which could impact our financial performance. If our forecasts do not meet actual market demand, of if market demand increases significantly beyond our forecasts, then we may not be able to satisfy customer product needs, which could result in a loss of market share if our competitors are able to meet customer demands.</w:t>
      </w:r>
    </w:p>
    <w:p>
      <w:pPr>
        <w:spacing w:after="0" w:line="64" w:lineRule="exact"/>
        <w:rPr>
          <w:sz w:val="20"/>
          <w:szCs w:val="20"/>
          <w:color w:val="auto"/>
        </w:rPr>
      </w:pPr>
    </w:p>
    <w:p>
      <w:pPr>
        <w:ind w:right="180" w:firstLine="222"/>
        <w:spacing w:after="0" w:line="312" w:lineRule="auto"/>
        <w:rPr>
          <w:sz w:val="20"/>
          <w:szCs w:val="20"/>
          <w:color w:val="auto"/>
        </w:rPr>
      </w:pPr>
      <w:r>
        <w:rPr>
          <w:rFonts w:ascii="Arial" w:cs="Arial" w:eastAsia="Arial" w:hAnsi="Arial"/>
          <w:sz w:val="16"/>
          <w:szCs w:val="16"/>
          <w:color w:val="auto"/>
        </w:rPr>
        <w:t>We also use forecasts in making decisions regarding investment of our resources. For example, as the hard disk drive industry transitions from the PATA interface to the SATA interface, we may invest more resources in the development of products using the SATA interface. If our forecasts regarding the replacement of the PATA interface with the SATA interface are inaccurate, we may not have products available to meet our customers’ needs.</w:t>
      </w:r>
    </w:p>
    <w:p>
      <w:pPr>
        <w:spacing w:after="0" w:line="39"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In addition, although we receive forecasts from our customers, they are not obligated to purchase the forecasted amounts. In particular, sales volumes in the distribution channel are volatile and harder to predict than sales to our OEM customers. We consider these forecasts in determining our component needs and our inventory requirements. If we fail to accurately forecast our customers’ product demands, we may have inadequate or excess inventory of our products or components, which could adversely affect our operating results.</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Loss of market share with a key customer could harm our operating results.</w:t>
      </w:r>
    </w:p>
    <w:p>
      <w:pPr>
        <w:spacing w:after="0" w:line="117" w:lineRule="exact"/>
        <w:rPr>
          <w:sz w:val="20"/>
          <w:szCs w:val="20"/>
          <w:color w:val="auto"/>
        </w:rPr>
      </w:pPr>
    </w:p>
    <w:p>
      <w:pPr>
        <w:ind w:firstLine="215"/>
        <w:spacing w:after="0" w:line="289" w:lineRule="auto"/>
        <w:rPr>
          <w:sz w:val="20"/>
          <w:szCs w:val="20"/>
          <w:color w:val="auto"/>
        </w:rPr>
      </w:pPr>
      <w:r>
        <w:rPr>
          <w:rFonts w:ascii="Arial" w:cs="Arial" w:eastAsia="Arial" w:hAnsi="Arial"/>
          <w:sz w:val="16"/>
          <w:szCs w:val="16"/>
          <w:color w:val="auto"/>
        </w:rPr>
        <w:t>A majority of our revenue comes from about a dozen customers. For example, during the second quarter of 2006, one customer, Dell, accounted for 13% of our revenue, and sales to our top 10 customers, including Dell, accounted for 48% of revenue. These customers have a variety of suppliers to choose from and therefore can make substantial demands on us, including demands on product pricing and on contractual terms, which often results in the allocation of risk to us as the supplier. Even if we successfully qualify a product with a customer, the customer generally is not obligated to purchase any minimum volume of products from us and is able to cancel an order or terminate its relationship with us at any time. Our ability to maintain strong relationships with our principal customers is essential to our future performance. If we lose a key customer, if any of our key customers reduce their orders of our products or require us to reduce our prices before we are able to reduce costs, if a customer is acquired by one of our competitors or if a key customer suffers financial hardship then our operating results would likely be harmed. In addition, if customer pressures require us to reduce our pricing such that our gross margins are diminished, we could decide not to sell our products to a particular customer, which could result in a decrease in our revenue.</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Environmental regulation costs could harm our operating results.</w:t>
      </w:r>
    </w:p>
    <w:p>
      <w:pPr>
        <w:spacing w:after="0" w:line="117" w:lineRule="exact"/>
        <w:rPr>
          <w:sz w:val="20"/>
          <w:szCs w:val="20"/>
          <w:color w:val="auto"/>
        </w:rPr>
      </w:pPr>
    </w:p>
    <w:p>
      <w:pPr>
        <w:ind w:right="120" w:firstLine="222"/>
        <w:spacing w:after="0" w:line="293" w:lineRule="auto"/>
        <w:rPr>
          <w:sz w:val="20"/>
          <w:szCs w:val="20"/>
          <w:color w:val="auto"/>
        </w:rPr>
      </w:pPr>
      <w:r>
        <w:rPr>
          <w:rFonts w:ascii="Arial" w:cs="Arial" w:eastAsia="Arial" w:hAnsi="Arial"/>
          <w:sz w:val="16"/>
          <w:szCs w:val="16"/>
          <w:color w:val="auto"/>
        </w:rPr>
        <w:t>We may be subject to various state, federal and international laws and regulations governing the environment, including those restricting the presence of certain substances in electronic products and making producers of those products financially responsible for the collection, treatment, recycling and disposal of certain products. Such laws and regulations have been passed in several jurisdictions in which we operate, including various European Union member countries. For example, the European Union has enacted the Restriction of the Use of Certain Hazardous Substances in Electrical and Electronic Equipment (RoHS) and the Waste Electrical and Electronic Equipment (WEEE) directives. RoHS prohibits the use of certain substances, including lead, in certain products, including hard disk drives, put on the market after July 1, 2006. The WEEE directive obligates parties that place electrical and</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electronic equipment onto the market in the EU to put a clearly identifiable mark on the equipment, register with and report to EU member countries regarding distribution of the equipment, and provide a mechanism to take-back and properly dispose of the equipment. Each EU member country has enacted, or is expected to soon enact, legislation clarifying what is and what is not covered by the WEEE directive in that country. However, there is still some uncertainty in certain EU countries as to which party involved in the manufacture, distribution and sale of electronic equipment will be ultimately responsible for registration, reporting and disposal. Similar legislation may be enacted in other locations where we manufacture or sell our products. We will need to ensure that we comply with such laws and regulations as they are enacted, and that our component suppliers also timely comply with such laws and regulations. If we fail to timely comply with the legislation, our customers may refuse to purchase our products, which would have a materially adverse effect on our business, financial condition and results of operations.</w:t>
      </w:r>
    </w:p>
    <w:p>
      <w:pPr>
        <w:spacing w:after="0" w:line="71" w:lineRule="exact"/>
        <w:rPr>
          <w:sz w:val="20"/>
          <w:szCs w:val="20"/>
          <w:color w:val="auto"/>
        </w:rPr>
      </w:pPr>
    </w:p>
    <w:p>
      <w:pPr>
        <w:ind w:right="360" w:firstLine="225"/>
        <w:spacing w:after="0" w:line="279" w:lineRule="auto"/>
        <w:rPr>
          <w:sz w:val="20"/>
          <w:szCs w:val="20"/>
          <w:color w:val="auto"/>
        </w:rPr>
      </w:pPr>
      <w:r>
        <w:rPr>
          <w:rFonts w:ascii="Arial" w:cs="Arial" w:eastAsia="Arial" w:hAnsi="Arial"/>
          <w:sz w:val="17"/>
          <w:szCs w:val="17"/>
          <w:color w:val="auto"/>
        </w:rPr>
        <w:t>In connection with our compliance with such environmental laws and regulations, we could incur substantial costs and be subject to disruptions to our operations and logistics. In addition, if we were found to be in violation of these laws, we could be subject to governmental fines and liability to our customers. If we have to make significant capital expenditures to comply with environmental laws, or if we are subject to significant capital expenses in connection with a violation of these laws, our financial condition or operating results could suffer.</w:t>
      </w:r>
    </w:p>
    <w:p>
      <w:pPr>
        <w:spacing w:after="0" w:line="63"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i w:val="1"/>
          <w:iCs w:val="1"/>
          <w:color w:val="auto"/>
        </w:rPr>
        <w:t>We are subject to risks related to product defects, which could result in product recalls and could subject us to warranty claims in excess of our warranty provisions or which are greater than anticipated due to the unenforceability of liability limitations.</w:t>
      </w:r>
    </w:p>
    <w:p>
      <w:pPr>
        <w:spacing w:after="0" w:line="62"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warrant our products for up to five years. We test our hard disk drives in our manufacturing facilities through a variety of means. However, there can be no assurance that our testing will reveal latent defects in our products, which may not become apparent until after the products have been sold into the market. Accordingly, there is a risk that product defects will occur, which could require a product recall. Product recalls can be expensive to implement and, if a product recall occurs during the product’s warranty period, we may be required to replace the defective product. In addition, a product recall may damage our relationship with our customers, and we may lose market share with our customers, including our OEM customers.</w:t>
      </w:r>
    </w:p>
    <w:p>
      <w:pPr>
        <w:spacing w:after="0" w:line="64"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operating expenses if our warranty provision does not reflect the actual cost of resolving issues related to defects in our products. If these additional expenses are significant, it could adversely affect our business, financial condition and results of operations.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Increases in our customers’ credit risk could result in credit losses and an increase in our operating costs.</w:t>
      </w:r>
    </w:p>
    <w:p>
      <w:pPr>
        <w:spacing w:after="0" w:line="117" w:lineRule="exact"/>
        <w:rPr>
          <w:sz w:val="20"/>
          <w:szCs w:val="20"/>
          <w:color w:val="auto"/>
        </w:rPr>
      </w:pPr>
    </w:p>
    <w:p>
      <w:pPr>
        <w:jc w:val="both"/>
        <w:ind w:right="60" w:firstLine="225"/>
        <w:spacing w:after="0" w:line="288" w:lineRule="auto"/>
        <w:rPr>
          <w:sz w:val="20"/>
          <w:szCs w:val="20"/>
          <w:color w:val="auto"/>
        </w:rPr>
      </w:pPr>
      <w:r>
        <w:rPr>
          <w:rFonts w:ascii="Arial" w:cs="Arial" w:eastAsia="Arial" w:hAnsi="Arial"/>
          <w:sz w:val="16"/>
          <w:szCs w:val="16"/>
          <w:color w:val="auto"/>
        </w:rPr>
        <w:t>Some of our OEM customers have adopted a subcontractor model that requires us to contract directly with companies that provide manufacturing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w:t>
      </w:r>
    </w:p>
    <w:p>
      <w:pPr>
        <w:ind w:right="60"/>
        <w:spacing w:after="0" w:line="254" w:lineRule="auto"/>
        <w:rPr>
          <w:sz w:val="20"/>
          <w:szCs w:val="20"/>
          <w:color w:val="auto"/>
        </w:rPr>
      </w:pPr>
      <w:r>
        <w:rPr>
          <w:rFonts w:ascii="Arial" w:cs="Arial" w:eastAsia="Arial" w:hAnsi="Arial"/>
          <w:sz w:val="18"/>
          <w:szCs w:val="18"/>
          <w:color w:val="auto"/>
        </w:rPr>
        <w:t>Additionally, as we attempt to expand our sales into emerging economies such as Brazil, Russia, India and China, the customers in these regions may have a relatively short operating history, making it more difficult for us to accurately access the associated credit risks. Any credit losses we may suffer as a result of these increased risks, or as a result of credit losses from any significant customer, would increase our operating costs, which may negatively impact our operating results.</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Terrorist attacks may adversely affect our business and operating results.</w:t>
      </w:r>
    </w:p>
    <w:p>
      <w:pPr>
        <w:spacing w:after="0" w:line="117"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The continued threat of terrorist activity and other acts of war or hostility, including the war in Iraq, have created uncertainty in the financial and insurance markets and have significantly increased the political, economic and social instability in some of the geographic areas in which we operate. Acts of terrorism, either domestically or abroad, could create further uncertainties and instability. To the extent this results in disruption or delays of our manufacturing capabilities or shipments of our products, our business, operating results and financial condition could be adversely affected.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Inaccurate projections of demand for our product can cause large fluctuations in our quarterly results.</w:t>
      </w:r>
    </w:p>
    <w:p>
      <w:pPr>
        <w:spacing w:after="0" w:line="11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We often ship a high percentage of our total quarterly sales in the third month of the quarter, which makes it difficult for us to forecast our financial results prior to the end of the quarter. In addition, our quarterly projections and results may be subject to significant fluctuations as a result of a number of other factors including:</w:t>
      </w:r>
    </w:p>
    <w:p>
      <w:pPr>
        <w:spacing w:after="0" w:line="73" w:lineRule="exact"/>
        <w:rPr>
          <w:sz w:val="20"/>
          <w:szCs w:val="20"/>
          <w:color w:val="auto"/>
        </w:rPr>
      </w:pPr>
    </w:p>
    <w:p>
      <w:pPr>
        <w:ind w:left="560" w:hanging="214"/>
        <w:spacing w:after="0"/>
        <w:tabs>
          <w:tab w:leader="none" w:pos="5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timing of orders from and shipment of products to major customers;</w:t>
      </w:r>
    </w:p>
    <w:p>
      <w:pPr>
        <w:spacing w:after="0" w:line="130" w:lineRule="exact"/>
        <w:rPr>
          <w:rFonts w:ascii="Arial" w:cs="Arial" w:eastAsia="Arial" w:hAnsi="Arial"/>
          <w:sz w:val="18"/>
          <w:szCs w:val="18"/>
          <w:b w:val="1"/>
          <w:bCs w:val="1"/>
          <w:color w:val="auto"/>
        </w:rPr>
      </w:pPr>
    </w:p>
    <w:p>
      <w:pPr>
        <w:ind w:left="560" w:hanging="214"/>
        <w:spacing w:after="0"/>
        <w:tabs>
          <w:tab w:leader="none" w:pos="5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product mix;</w:t>
      </w:r>
    </w:p>
    <w:p>
      <w:pPr>
        <w:spacing w:after="0" w:line="130" w:lineRule="exact"/>
        <w:rPr>
          <w:rFonts w:ascii="Arial" w:cs="Arial" w:eastAsia="Arial" w:hAnsi="Arial"/>
          <w:sz w:val="18"/>
          <w:szCs w:val="18"/>
          <w:b w:val="1"/>
          <w:bCs w:val="1"/>
          <w:color w:val="auto"/>
        </w:rPr>
      </w:pPr>
    </w:p>
    <w:p>
      <w:pPr>
        <w:ind w:left="560" w:hanging="214"/>
        <w:spacing w:after="0"/>
        <w:tabs>
          <w:tab w:leader="none" w:pos="5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changes in the prices of our products;</w:t>
      </w:r>
    </w:p>
    <w:p>
      <w:pPr>
        <w:spacing w:after="0" w:line="130" w:lineRule="exact"/>
        <w:rPr>
          <w:rFonts w:ascii="Arial" w:cs="Arial" w:eastAsia="Arial" w:hAnsi="Arial"/>
          <w:sz w:val="18"/>
          <w:szCs w:val="18"/>
          <w:b w:val="1"/>
          <w:bCs w:val="1"/>
          <w:color w:val="auto"/>
        </w:rPr>
      </w:pPr>
    </w:p>
    <w:p>
      <w:pPr>
        <w:ind w:left="560" w:hanging="214"/>
        <w:spacing w:after="0"/>
        <w:tabs>
          <w:tab w:leader="none" w:pos="5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manufacturing delays or interruptions;</w:t>
      </w:r>
    </w:p>
    <w:p>
      <w:pPr>
        <w:spacing w:after="0" w:line="130" w:lineRule="exact"/>
        <w:rPr>
          <w:rFonts w:ascii="Arial" w:cs="Arial" w:eastAsia="Arial" w:hAnsi="Arial"/>
          <w:sz w:val="18"/>
          <w:szCs w:val="18"/>
          <w:b w:val="1"/>
          <w:bCs w:val="1"/>
          <w:color w:val="auto"/>
        </w:rPr>
      </w:pPr>
    </w:p>
    <w:p>
      <w:pPr>
        <w:ind w:left="560" w:hanging="214"/>
        <w:spacing w:after="0"/>
        <w:tabs>
          <w:tab w:leader="none" w:pos="5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acceptance by customers of competing products in lieu of our products;</w:t>
      </w:r>
    </w:p>
    <w:p>
      <w:pPr>
        <w:spacing w:after="0" w:line="130" w:lineRule="exact"/>
        <w:rPr>
          <w:rFonts w:ascii="Arial" w:cs="Arial" w:eastAsia="Arial" w:hAnsi="Arial"/>
          <w:sz w:val="18"/>
          <w:szCs w:val="18"/>
          <w:b w:val="1"/>
          <w:bCs w:val="1"/>
          <w:color w:val="auto"/>
        </w:rPr>
      </w:pPr>
    </w:p>
    <w:p>
      <w:pPr>
        <w:ind w:left="560" w:hanging="214"/>
        <w:spacing w:after="0"/>
        <w:tabs>
          <w:tab w:leader="none" w:pos="5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variations in the cost of components for our products;</w:t>
      </w:r>
    </w:p>
    <w:p>
      <w:pPr>
        <w:spacing w:after="0" w:line="130" w:lineRule="exact"/>
        <w:rPr>
          <w:rFonts w:ascii="Arial" w:cs="Arial" w:eastAsia="Arial" w:hAnsi="Arial"/>
          <w:sz w:val="18"/>
          <w:szCs w:val="18"/>
          <w:b w:val="1"/>
          <w:bCs w:val="1"/>
          <w:color w:val="auto"/>
        </w:rPr>
      </w:pPr>
    </w:p>
    <w:p>
      <w:pPr>
        <w:ind w:left="560" w:hanging="214"/>
        <w:spacing w:after="0"/>
        <w:tabs>
          <w:tab w:leader="none" w:pos="5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limited availability of components that we obtain from a single or a limited number of suppliers;</w:t>
      </w:r>
    </w:p>
    <w:p>
      <w:pPr>
        <w:spacing w:after="0" w:line="130" w:lineRule="exact"/>
        <w:rPr>
          <w:rFonts w:ascii="Arial" w:cs="Arial" w:eastAsia="Arial" w:hAnsi="Arial"/>
          <w:sz w:val="18"/>
          <w:szCs w:val="18"/>
          <w:b w:val="1"/>
          <w:bCs w:val="1"/>
          <w:color w:val="auto"/>
        </w:rPr>
      </w:pPr>
    </w:p>
    <w:p>
      <w:pPr>
        <w:ind w:left="560" w:hanging="214"/>
        <w:spacing w:after="0"/>
        <w:tabs>
          <w:tab w:leader="none" w:pos="5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competition and consolidation in the data storage industry;</w:t>
      </w:r>
    </w:p>
    <w:p>
      <w:pPr>
        <w:spacing w:after="0" w:line="130" w:lineRule="exact"/>
        <w:rPr>
          <w:rFonts w:ascii="Arial" w:cs="Arial" w:eastAsia="Arial" w:hAnsi="Arial"/>
          <w:sz w:val="18"/>
          <w:szCs w:val="18"/>
          <w:b w:val="1"/>
          <w:bCs w:val="1"/>
          <w:color w:val="auto"/>
        </w:rPr>
      </w:pPr>
    </w:p>
    <w:p>
      <w:pPr>
        <w:ind w:left="560" w:hanging="214"/>
        <w:spacing w:after="0"/>
        <w:tabs>
          <w:tab w:leader="none" w:pos="5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seasonal and other fluctuations in demand for PCs often due to technological advances; and</w:t>
      </w:r>
    </w:p>
    <w:p>
      <w:pPr>
        <w:spacing w:after="0" w:line="130" w:lineRule="exact"/>
        <w:rPr>
          <w:rFonts w:ascii="Arial" w:cs="Arial" w:eastAsia="Arial" w:hAnsi="Arial"/>
          <w:sz w:val="18"/>
          <w:szCs w:val="18"/>
          <w:b w:val="1"/>
          <w:bCs w:val="1"/>
          <w:color w:val="auto"/>
        </w:rPr>
      </w:pPr>
    </w:p>
    <w:p>
      <w:pPr>
        <w:ind w:left="560" w:hanging="214"/>
        <w:spacing w:after="0"/>
        <w:tabs>
          <w:tab w:leader="none" w:pos="5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availability and rates of transportation.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Rapidly changing conditions in the hard disk drive industry make it difficult to predict actual results.</w:t>
      </w:r>
    </w:p>
    <w:p>
      <w:pPr>
        <w:spacing w:after="0" w:line="117"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have made and continue to make a number of estimates and assumptions relating to our consolidated financial reporting. The highly technical nature of our products and the rapidly changing market conditions with which we deal means that actual results may differ significantly from our estimates and assumptions. These changes have impacted our financial results in the past and may continue to do so in the future. Key estimates and assumptions for us include:</w:t>
      </w:r>
    </w:p>
    <w:p>
      <w:pPr>
        <w:spacing w:after="0" w:line="79" w:lineRule="exact"/>
        <w:rPr>
          <w:sz w:val="20"/>
          <w:szCs w:val="20"/>
          <w:color w:val="auto"/>
        </w:rPr>
      </w:pPr>
    </w:p>
    <w:p>
      <w:pPr>
        <w:ind w:left="560" w:hanging="214"/>
        <w:spacing w:after="0"/>
        <w:tabs>
          <w:tab w:leader="none" w:pos="5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accruals for warranty costs related to product defects;</w:t>
      </w:r>
    </w:p>
    <w:p>
      <w:pPr>
        <w:spacing w:after="0" w:line="130" w:lineRule="exact"/>
        <w:rPr>
          <w:rFonts w:ascii="Arial" w:cs="Arial" w:eastAsia="Arial" w:hAnsi="Arial"/>
          <w:sz w:val="18"/>
          <w:szCs w:val="18"/>
          <w:b w:val="1"/>
          <w:bCs w:val="1"/>
          <w:color w:val="auto"/>
        </w:rPr>
      </w:pPr>
    </w:p>
    <w:p>
      <w:pPr>
        <w:ind w:left="560" w:hanging="214"/>
        <w:spacing w:after="0"/>
        <w:tabs>
          <w:tab w:leader="none" w:pos="5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price protection adjustments and other sales promotions and allowances on products sold to retailers, resellers and distributors;</w:t>
      </w:r>
    </w:p>
    <w:p>
      <w:pPr>
        <w:spacing w:after="0" w:line="130" w:lineRule="exact"/>
        <w:rPr>
          <w:rFonts w:ascii="Arial" w:cs="Arial" w:eastAsia="Arial" w:hAnsi="Arial"/>
          <w:sz w:val="18"/>
          <w:szCs w:val="18"/>
          <w:b w:val="1"/>
          <w:bCs w:val="1"/>
          <w:color w:val="auto"/>
        </w:rPr>
      </w:pPr>
    </w:p>
    <w:p>
      <w:pPr>
        <w:ind w:left="560" w:hanging="214"/>
        <w:spacing w:after="0"/>
        <w:tabs>
          <w:tab w:leader="none" w:pos="5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inventory adjustments for write-down of inventories to lower of cost or market value (net realizable value);</w:t>
      </w:r>
    </w:p>
    <w:p>
      <w:pPr>
        <w:spacing w:after="0" w:line="130" w:lineRule="exact"/>
        <w:rPr>
          <w:rFonts w:ascii="Arial" w:cs="Arial" w:eastAsia="Arial" w:hAnsi="Arial"/>
          <w:sz w:val="18"/>
          <w:szCs w:val="18"/>
          <w:b w:val="1"/>
          <w:bCs w:val="1"/>
          <w:color w:val="auto"/>
        </w:rPr>
      </w:pPr>
    </w:p>
    <w:p>
      <w:pPr>
        <w:ind w:left="560" w:hanging="214"/>
        <w:spacing w:after="0"/>
        <w:tabs>
          <w:tab w:leader="none" w:pos="5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reserves for doubtful accounts;</w:t>
      </w:r>
    </w:p>
    <w:p>
      <w:pPr>
        <w:spacing w:after="0" w:line="130" w:lineRule="exact"/>
        <w:rPr>
          <w:rFonts w:ascii="Arial" w:cs="Arial" w:eastAsia="Arial" w:hAnsi="Arial"/>
          <w:sz w:val="18"/>
          <w:szCs w:val="18"/>
          <w:b w:val="1"/>
          <w:bCs w:val="1"/>
          <w:color w:val="auto"/>
        </w:rPr>
      </w:pPr>
    </w:p>
    <w:p>
      <w:pPr>
        <w:ind w:left="560" w:hanging="214"/>
        <w:spacing w:after="0"/>
        <w:tabs>
          <w:tab w:leader="none" w:pos="5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accruals for product returns;</w:t>
      </w:r>
    </w:p>
    <w:p>
      <w:pPr>
        <w:spacing w:after="0" w:line="130" w:lineRule="exact"/>
        <w:rPr>
          <w:rFonts w:ascii="Arial" w:cs="Arial" w:eastAsia="Arial" w:hAnsi="Arial"/>
          <w:sz w:val="18"/>
          <w:szCs w:val="18"/>
          <w:b w:val="1"/>
          <w:bCs w:val="1"/>
          <w:color w:val="auto"/>
        </w:rPr>
      </w:pPr>
    </w:p>
    <w:p>
      <w:pPr>
        <w:ind w:left="560" w:hanging="214"/>
        <w:spacing w:after="0"/>
        <w:tabs>
          <w:tab w:leader="none" w:pos="5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accruals for litigation and other contingencies; and</w:t>
      </w:r>
    </w:p>
    <w:p>
      <w:pPr>
        <w:spacing w:after="0" w:line="130" w:lineRule="exact"/>
        <w:rPr>
          <w:rFonts w:ascii="Arial" w:cs="Arial" w:eastAsia="Arial" w:hAnsi="Arial"/>
          <w:sz w:val="18"/>
          <w:szCs w:val="18"/>
          <w:b w:val="1"/>
          <w:bCs w:val="1"/>
          <w:color w:val="auto"/>
        </w:rPr>
      </w:pPr>
    </w:p>
    <w:p>
      <w:pPr>
        <w:ind w:left="560" w:hanging="214"/>
        <w:spacing w:after="0"/>
        <w:tabs>
          <w:tab w:leader="none" w:pos="5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reserves for deferred tax assets.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market price of our common stock is volatile.</w:t>
      </w:r>
    </w:p>
    <w:p>
      <w:pPr>
        <w:spacing w:after="0" w:line="117"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market price of our common stock has been, and may continue to be, extremely volatile. Factors such as the following may significantly affect the market price of our common stock:</w:t>
      </w:r>
    </w:p>
    <w:p>
      <w:pPr>
        <w:spacing w:after="0" w:line="62" w:lineRule="exact"/>
        <w:rPr>
          <w:sz w:val="20"/>
          <w:szCs w:val="20"/>
          <w:color w:val="auto"/>
        </w:rPr>
      </w:pPr>
    </w:p>
    <w:p>
      <w:pPr>
        <w:ind w:left="560" w:hanging="214"/>
        <w:spacing w:after="0"/>
        <w:tabs>
          <w:tab w:leader="none" w:pos="5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actual or anticipated fluctuations in our operating results;</w:t>
      </w:r>
    </w:p>
    <w:p>
      <w:pPr>
        <w:spacing w:after="0" w:line="130" w:lineRule="exact"/>
        <w:rPr>
          <w:rFonts w:ascii="Arial" w:cs="Arial" w:eastAsia="Arial" w:hAnsi="Arial"/>
          <w:sz w:val="18"/>
          <w:szCs w:val="18"/>
          <w:b w:val="1"/>
          <w:bCs w:val="1"/>
          <w:color w:val="auto"/>
        </w:rPr>
      </w:pPr>
    </w:p>
    <w:p>
      <w:pPr>
        <w:ind w:left="560" w:right="580" w:hanging="214"/>
        <w:spacing w:after="0" w:line="277" w:lineRule="auto"/>
        <w:tabs>
          <w:tab w:leader="none" w:pos="5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announcements of technological innovations by us or our competitors which may decrease the volume and profitability of sales of our existing products and increase the risk of inventory obsolescence;</w:t>
      </w:r>
    </w:p>
    <w:p>
      <w:pPr>
        <w:spacing w:after="0" w:line="75" w:lineRule="exact"/>
        <w:rPr>
          <w:rFonts w:ascii="Arial" w:cs="Arial" w:eastAsia="Arial" w:hAnsi="Arial"/>
          <w:sz w:val="18"/>
          <w:szCs w:val="18"/>
          <w:b w:val="1"/>
          <w:bCs w:val="1"/>
          <w:color w:val="auto"/>
        </w:rPr>
      </w:pPr>
    </w:p>
    <w:p>
      <w:pPr>
        <w:ind w:left="560" w:hanging="214"/>
        <w:spacing w:after="0"/>
        <w:tabs>
          <w:tab w:leader="none" w:pos="5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new products introduced by us or our competitors;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60" w:hanging="214"/>
        <w:spacing w:after="0"/>
        <w:tabs>
          <w:tab w:leader="none" w:pos="5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periods of severe pricing pressures due to oversupply or price erosion resulting from competitive pressures or industry consolidation;</w:t>
      </w:r>
    </w:p>
    <w:p>
      <w:pPr>
        <w:spacing w:after="0" w:line="130" w:lineRule="exact"/>
        <w:rPr>
          <w:rFonts w:ascii="Arial" w:cs="Arial" w:eastAsia="Arial" w:hAnsi="Arial"/>
          <w:sz w:val="18"/>
          <w:szCs w:val="18"/>
          <w:b w:val="1"/>
          <w:bCs w:val="1"/>
          <w:color w:val="auto"/>
        </w:rPr>
      </w:pPr>
    </w:p>
    <w:p>
      <w:pPr>
        <w:ind w:left="560" w:hanging="214"/>
        <w:spacing w:after="0"/>
        <w:tabs>
          <w:tab w:leader="none" w:pos="5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developments with respect to patents or proprietary rights;</w:t>
      </w:r>
    </w:p>
    <w:p>
      <w:pPr>
        <w:spacing w:after="0" w:line="130" w:lineRule="exact"/>
        <w:rPr>
          <w:rFonts w:ascii="Arial" w:cs="Arial" w:eastAsia="Arial" w:hAnsi="Arial"/>
          <w:sz w:val="18"/>
          <w:szCs w:val="18"/>
          <w:b w:val="1"/>
          <w:bCs w:val="1"/>
          <w:color w:val="auto"/>
        </w:rPr>
      </w:pPr>
    </w:p>
    <w:p>
      <w:pPr>
        <w:ind w:left="560" w:hanging="214"/>
        <w:spacing w:after="0"/>
        <w:tabs>
          <w:tab w:leader="none" w:pos="5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conditions and trends in the hard disk drive, computer, data and content management, storage and communication industries; and</w:t>
      </w:r>
    </w:p>
    <w:p>
      <w:pPr>
        <w:spacing w:after="0" w:line="130" w:lineRule="exact"/>
        <w:rPr>
          <w:rFonts w:ascii="Arial" w:cs="Arial" w:eastAsia="Arial" w:hAnsi="Arial"/>
          <w:sz w:val="18"/>
          <w:szCs w:val="18"/>
          <w:b w:val="1"/>
          <w:bCs w:val="1"/>
          <w:color w:val="auto"/>
        </w:rPr>
      </w:pPr>
    </w:p>
    <w:p>
      <w:pPr>
        <w:ind w:left="560" w:hanging="214"/>
        <w:spacing w:after="0"/>
        <w:tabs>
          <w:tab w:leader="none" w:pos="5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changes in financial estimates by securities analysts relating specifically to us or the hard disk drive industry in general.</w:t>
      </w:r>
    </w:p>
    <w:p>
      <w:pPr>
        <w:spacing w:after="0" w:line="117"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In addition, general economic conditions may cause the stock market to experience extreme price and volume fluctuations from time to time that particularly affect the stock prices of many high technology companies. These fluctuations often appear to be unrelated to the operating performance of the companies.</w:t>
      </w:r>
    </w:p>
    <w:p>
      <w:pPr>
        <w:spacing w:after="0" w:line="73"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Securities class action lawsuits are often brought against companies after periods of volatility in the market price of their securities. A number of such suits have been filed against us in the past, and should any new lawsuits be filed, such matters could result in substantial costs and a diversion of resources and management’s attention.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be unable to raise future capital through debt or equity financing.</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Due to the risks described herein, in the future we may be unable to maintain adequate financial resources for capital expenditures, expansion or acquisition activity, working capital and research and development. We have a credit facility which matures on September 19, 2008. If we decide to increase or accelerate our capital expenditures or research and development efforts, or if results of operations do not meet our expectations, we could require additional debt or equity financing. However, we cannot ensure that additional financing will be available to us or available on acceptable terms. An equity financing could also be dilutive to our existing stockholders.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If our internal controls are found to be ineffective in future periods, our financial results or our stock price may be adversely affected.</w:t>
      </w:r>
    </w:p>
    <w:p>
      <w:pPr>
        <w:spacing w:after="0" w:line="117"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Our evaluation resulted in our conclusion that as of December 30, 2005, in compliance with Section 302 of the Sarbanes-Oxley Act of 2002, our disclosure controls and procedures were effective at the reasonable assurance level. We believe that we currently have adequate internal control procedures in place for future periods; however, if our internal controls are found to be ineffective in future periods, our financial results or our stock price may be adversely affected.</w:t>
      </w:r>
    </w:p>
    <w:p>
      <w:pPr>
        <w:spacing w:after="0" w:line="143" w:lineRule="exact"/>
        <w:rPr>
          <w:sz w:val="20"/>
          <w:szCs w:val="20"/>
          <w:color w:val="auto"/>
        </w:rPr>
      </w:pPr>
    </w:p>
    <w:p>
      <w:pPr>
        <w:ind w:right="4660"/>
        <w:spacing w:after="0" w:line="378" w:lineRule="auto"/>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Disclosure About Foreign Currency Risk</w:t>
      </w:r>
    </w:p>
    <w:p>
      <w:pPr>
        <w:ind w:firstLine="215"/>
        <w:spacing w:after="0" w:line="270" w:lineRule="auto"/>
        <w:rPr>
          <w:sz w:val="20"/>
          <w:szCs w:val="20"/>
          <w:color w:val="auto"/>
        </w:rPr>
      </w:pPr>
      <w:r>
        <w:rPr>
          <w:rFonts w:ascii="Arial" w:cs="Arial" w:eastAsia="Arial" w:hAnsi="Arial"/>
          <w:sz w:val="17"/>
          <w:szCs w:val="17"/>
          <w:color w:val="auto"/>
        </w:rPr>
        <w:t>Although the majority of the Company’s transactions are in U.S. Dollars, some transactions are based in various foreign currencies. The Company purchases short-term, forward exchange contracts to hedge the impact of foreign currency fluctuations on certain underlying assets, liabilities and commitments for operating expenses and product costs denominated in foreign currencies. The purpose of entering into these hedge transactions is to minimize the impact of foreign currency fluctuations on the results of operations. The resulting impact from these hedge contracts is to offset a majority of the currency gains and losses in the Company’s local currency expenses. The contract maturity dates do not exceed six months. The Company does not purchase short-term forward exchange contracts for speculative purposes. Currently, the Company focuses on hedging its foreign currency risk related to the Thai Baht, the Euro and the British Pound Sterling. Thai Baht contracts are designated as cash flow hedges under Statement of Financial Accounting Standards No. 133, “Accounting for Derivative Instruments and Hedging Activities,” as amended, while all other contracts are designated as fair value hedges under Statement of Financial Accounting Standards No. 52, “Foreign Currency Translation.”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firstLine="215"/>
        <w:spacing w:after="0" w:line="277" w:lineRule="auto"/>
        <w:rPr>
          <w:sz w:val="20"/>
          <w:szCs w:val="20"/>
          <w:color w:val="auto"/>
        </w:rPr>
      </w:pPr>
      <w:r>
        <w:rPr>
          <w:rFonts w:ascii="Arial" w:cs="Arial" w:eastAsia="Arial" w:hAnsi="Arial"/>
          <w:sz w:val="18"/>
          <w:szCs w:val="18"/>
          <w:color w:val="auto"/>
        </w:rPr>
        <w:t>As of December 30, 2005, the Company had the following purchased foreign currency forward exchange contracts outstanding (in millions, except weighted average contract rate):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30, 2005</w:t>
            </w: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rPr>
              <w:t>Contract</w:t>
            </w:r>
          </w:p>
        </w:tc>
        <w:tc>
          <w:tcPr>
            <w:tcW w:w="18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300" w:type="dxa"/>
            <w:vAlign w:val="bottom"/>
          </w:tcPr>
          <w:p>
            <w:pPr>
              <w:spacing w:after="0"/>
              <w:rPr>
                <w:sz w:val="10"/>
                <w:szCs w:val="10"/>
                <w:color w:val="auto"/>
              </w:rPr>
            </w:pPr>
          </w:p>
        </w:tc>
        <w:tc>
          <w:tcPr>
            <w:tcW w:w="7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r>
      <w:tr>
        <w:trPr>
          <w:trHeight w:val="171"/>
        </w:trPr>
        <w:tc>
          <w:tcPr>
            <w:tcW w:w="5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34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Contract Rate*</w:t>
            </w:r>
          </w:p>
        </w:tc>
        <w:tc>
          <w:tcPr>
            <w:tcW w:w="1120" w:type="dxa"/>
            <w:vAlign w:val="bottom"/>
            <w:gridSpan w:val="4"/>
          </w:tcPr>
          <w:p>
            <w:pPr>
              <w:ind w:left="300"/>
              <w:spacing w:after="0"/>
              <w:rPr>
                <w:sz w:val="20"/>
                <w:szCs w:val="20"/>
                <w:color w:val="auto"/>
              </w:rPr>
            </w:pPr>
            <w:r>
              <w:rPr>
                <w:rFonts w:ascii="Arial" w:cs="Arial" w:eastAsia="Arial" w:hAnsi="Arial"/>
                <w:sz w:val="14"/>
                <w:szCs w:val="14"/>
                <w:b w:val="1"/>
                <w:bCs w:val="1"/>
                <w:color w:val="auto"/>
              </w:rPr>
              <w:t>Gain (Loss)</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forward contracts:</w:t>
            </w:r>
          </w:p>
        </w:tc>
        <w:tc>
          <w:tcPr>
            <w:tcW w:w="2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Thai Baht</w:t>
            </w:r>
          </w:p>
        </w:tc>
        <w:tc>
          <w:tcPr>
            <w:tcW w:w="252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191.2</w:t>
            </w:r>
          </w:p>
        </w:tc>
        <w:tc>
          <w:tcPr>
            <w:tcW w:w="1800" w:type="dxa"/>
            <w:vAlign w:val="bottom"/>
            <w:gridSpan w:val="3"/>
          </w:tcPr>
          <w:p>
            <w:pPr>
              <w:jc w:val="right"/>
              <w:ind w:right="360"/>
              <w:spacing w:after="0"/>
              <w:rPr>
                <w:sz w:val="20"/>
                <w:szCs w:val="20"/>
                <w:color w:val="auto"/>
              </w:rPr>
            </w:pPr>
            <w:r>
              <w:rPr>
                <w:rFonts w:ascii="Arial" w:cs="Arial" w:eastAsia="Arial" w:hAnsi="Arial"/>
                <w:sz w:val="18"/>
                <w:szCs w:val="18"/>
                <w:color w:val="auto"/>
              </w:rPr>
              <w:t>40.94</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Euro</w:t>
            </w:r>
          </w:p>
        </w:tc>
        <w:tc>
          <w:tcPr>
            <w:tcW w:w="25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18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0.84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British Pound Sterling</w:t>
            </w:r>
          </w:p>
        </w:tc>
        <w:tc>
          <w:tcPr>
            <w:tcW w:w="252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1800" w:type="dxa"/>
            <w:vAlign w:val="bottom"/>
            <w:gridSpan w:val="3"/>
          </w:tcPr>
          <w:p>
            <w:pPr>
              <w:jc w:val="right"/>
              <w:ind w:right="360"/>
              <w:spacing w:after="0"/>
              <w:rPr>
                <w:sz w:val="20"/>
                <w:szCs w:val="20"/>
                <w:color w:val="auto"/>
              </w:rPr>
            </w:pPr>
            <w:r>
              <w:rPr>
                <w:rFonts w:ascii="Arial" w:cs="Arial" w:eastAsia="Arial" w:hAnsi="Arial"/>
                <w:sz w:val="18"/>
                <w:szCs w:val="18"/>
                <w:color w:val="auto"/>
              </w:rPr>
              <w:t>0.58</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Expressed in units of foreign currency per U.S. dollar.</w:t>
      </w:r>
    </w:p>
    <w:p>
      <w:pPr>
        <w:spacing w:after="0" w:line="117"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During the three month periods ended December 30, 2005, and December 31, 2004, total realized transaction and forward exchange contract currency gains and losses were not material to the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About Other Market Risks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Variable Interest Rate Risk</w:t>
      </w:r>
    </w:p>
    <w:p>
      <w:pPr>
        <w:spacing w:after="0" w:line="117" w:lineRule="exact"/>
        <w:rPr>
          <w:sz w:val="20"/>
          <w:szCs w:val="20"/>
          <w:color w:val="auto"/>
        </w:rPr>
      </w:pPr>
    </w:p>
    <w:p>
      <w:pPr>
        <w:ind w:right="100" w:firstLine="215"/>
        <w:spacing w:after="0" w:line="259" w:lineRule="auto"/>
        <w:rPr>
          <w:sz w:val="20"/>
          <w:szCs w:val="20"/>
          <w:color w:val="auto"/>
        </w:rPr>
      </w:pPr>
      <w:r>
        <w:rPr>
          <w:rFonts w:ascii="Arial" w:cs="Arial" w:eastAsia="Arial" w:hAnsi="Arial"/>
          <w:sz w:val="18"/>
          <w:szCs w:val="18"/>
          <w:color w:val="auto"/>
        </w:rPr>
        <w:t>At the option of the Company, borrowings under the Senior Credit Facility would bear interest at either LIBOR (with option periods of one to three months) or a base rate, plus a margin. If LIBOR or the base rate increases, the Company’s interest payments would also increase. At December 30, 2005, the Company had a $31 million term loan outstanding under the Senior Credit Facility. A one percent increase in the variable rate of interest on the Senior Credit Facility would increase interest expense by approximately $0.3 million annually.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the Company’s reports filed under the Securities Exchange Act of 1934, as amended,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70" w:lineRule="exact"/>
        <w:rPr>
          <w:sz w:val="20"/>
          <w:szCs w:val="20"/>
          <w:color w:val="auto"/>
        </w:rPr>
      </w:pPr>
    </w:p>
    <w:p>
      <w:pPr>
        <w:ind w:right="360" w:firstLine="215"/>
        <w:spacing w:after="0" w:line="257" w:lineRule="auto"/>
        <w:rPr>
          <w:sz w:val="20"/>
          <w:szCs w:val="20"/>
          <w:color w:val="auto"/>
        </w:rPr>
      </w:pPr>
      <w:r>
        <w:rPr>
          <w:rFonts w:ascii="Arial" w:cs="Arial" w:eastAsia="Arial" w:hAnsi="Arial"/>
          <w:sz w:val="18"/>
          <w:szCs w:val="18"/>
          <w:color w:val="auto"/>
        </w:rPr>
        <w:t>As required by SEC Rule 13a-15(b),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the end of the period covered by this report. Based on the foregoing, the Company’s Chief Executive Officer and Chief Financial Officer concluded that as of December 30, 2005, the Company’s disclosure controls and procedures were effective at the reasonable assurance level.</w:t>
      </w:r>
    </w:p>
    <w:p>
      <w:pPr>
        <w:spacing w:after="0" w:line="80"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On October 1, 2005, the Company implemented a planned upgrade to its enterprise resource planning (ERP) system. This upgrade resulted in a change to processes and controls in the following ERP system modules: general ledger, accounts payable, accounts receivable, fixed assets, inventory, purchasing and order management. The Company’s management, including the Company’s Chief Executive Officer and Chief Financial Officer, assessed the design and operating effectiveness of internal controls over financial reporting affected by the system upgrade. As a result of this assessment, the Company’s Chief Executive Officer and Chief Financial Officer believe that the Company maintained adequate internal controls over financial reporting during the most recent fiscal quarter.</w:t>
      </w:r>
    </w:p>
    <w:p>
      <w:pPr>
        <w:spacing w:after="0" w:line="85" w:lineRule="exact"/>
        <w:rPr>
          <w:sz w:val="20"/>
          <w:szCs w:val="20"/>
          <w:color w:val="auto"/>
        </w:rPr>
      </w:pPr>
    </w:p>
    <w:p>
      <w:pPr>
        <w:ind w:right="140" w:firstLine="225"/>
        <w:spacing w:after="0" w:line="308" w:lineRule="auto"/>
        <w:rPr>
          <w:sz w:val="20"/>
          <w:szCs w:val="20"/>
          <w:color w:val="auto"/>
        </w:rPr>
      </w:pPr>
      <w:r>
        <w:rPr>
          <w:rFonts w:ascii="Arial" w:cs="Arial" w:eastAsia="Arial" w:hAnsi="Arial"/>
          <w:sz w:val="17"/>
          <w:szCs w:val="17"/>
          <w:color w:val="auto"/>
        </w:rPr>
        <w:t>Except as described above, there has been no change in the Company’s internal controls over financial reporting during the Company’s most recent fiscal quarter that has materially affected, or is reasonably likely to materially affect, the Company’s internal controls over financial reporting.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right="220" w:firstLine="225"/>
        <w:spacing w:after="0" w:line="255" w:lineRule="auto"/>
        <w:rPr>
          <w:sz w:val="20"/>
          <w:szCs w:val="20"/>
          <w:color w:val="auto"/>
        </w:rPr>
      </w:pPr>
      <w:r>
        <w:rPr>
          <w:rFonts w:ascii="Arial" w:cs="Arial" w:eastAsia="Arial" w:hAnsi="Arial"/>
          <w:sz w:val="18"/>
          <w:szCs w:val="18"/>
          <w:color w:val="auto"/>
        </w:rPr>
        <w:t>In the normal course of business, the Company is subject to legal proceedings, lawsuits and other claims. Although the ultimate aggregate amount of monetary liability or financial impact with respect to these matters is subject to many uncertainties and is therefore not predictable with assurance, management believes that any monetary liability or financial impact to the Company from these matters, individually and in the aggregate, beyond that provided for at December 30, 2005, would not be material to the Company’s financial condition. However, there can be no assurance with respect to such result, and monetary liability or financial impact to the Company from these legal proceedings, lawsuits and other claims could differ materially from those projected.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UNREGISTERED SALES OF EQUITY SECURITIES AND USE OF PROCEEDS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 The following table provides information about repurchases by the Company of its common stock during the quarter ended December 30, 2005: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Maximum Value of</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64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Shares that May Yet</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w:t>
            </w:r>
          </w:p>
        </w:tc>
        <w:tc>
          <w:tcPr>
            <w:tcW w:w="14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58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Announced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58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Paid per Share</w:t>
            </w: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Program</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Program(1)</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Oct. 1, 2005 — Oct. 28, 2005</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25,185,277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Oct. 29, 2005 — Nov. 25, 2005</w:t>
            </w:r>
          </w:p>
        </w:tc>
        <w:tc>
          <w:tcPr>
            <w:tcW w:w="860" w:type="dxa"/>
            <w:vAlign w:val="bottom"/>
          </w:tcPr>
          <w:p>
            <w:pPr>
              <w:jc w:val="right"/>
              <w:spacing w:after="0"/>
              <w:rPr>
                <w:sz w:val="20"/>
                <w:szCs w:val="20"/>
                <w:color w:val="auto"/>
              </w:rPr>
            </w:pPr>
            <w:r>
              <w:rPr>
                <w:rFonts w:ascii="Arial" w:cs="Arial" w:eastAsia="Arial" w:hAnsi="Arial"/>
                <w:sz w:val="18"/>
                <w:szCs w:val="18"/>
                <w:color w:val="auto"/>
              </w:rPr>
              <w:t>1,000,000</w:t>
            </w:r>
          </w:p>
        </w:tc>
        <w:tc>
          <w:tcPr>
            <w:tcW w:w="8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12.0261</w:t>
            </w:r>
          </w:p>
        </w:tc>
        <w:tc>
          <w:tcPr>
            <w:tcW w:w="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1,000,000</w:t>
            </w:r>
          </w:p>
        </w:tc>
        <w:tc>
          <w:tcPr>
            <w:tcW w:w="30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163,159,179</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Nov. 25, 2005 — Dec. 30, 2005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163,159,179</w:t>
            </w:r>
          </w:p>
        </w:tc>
        <w:tc>
          <w:tcPr>
            <w:tcW w:w="0" w:type="dxa"/>
            <w:vAlign w:val="bottom"/>
          </w:tcPr>
          <w:p>
            <w:pPr>
              <w:spacing w:after="0"/>
              <w:rPr>
                <w:sz w:val="1"/>
                <w:szCs w:val="1"/>
                <w:color w:val="auto"/>
              </w:rPr>
            </w:pPr>
          </w:p>
        </w:tc>
      </w:tr>
      <w:tr>
        <w:trPr>
          <w:trHeight w:val="223"/>
        </w:trPr>
        <w:tc>
          <w:tcPr>
            <w:tcW w:w="5380" w:type="dxa"/>
            <w:vAlign w:val="bottom"/>
          </w:tcPr>
          <w:p>
            <w:pPr>
              <w:ind w:left="22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5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12.0261</w:t>
            </w:r>
          </w:p>
        </w:tc>
        <w:tc>
          <w:tcPr>
            <w:tcW w:w="5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163,159,179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8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November 21, 2005, the Company announced that its Board of Directors had authorized the Company to repurchase an additional $150 million of the Company’s common stock in open market transactions. The new $150 million authorization is in addition to the Company’s Board of Director’s original authorization to purchase $100 million of the Company’s common stock announced on May 5, 2004. The term of the program is a five year period from November 17, 2005 to November 17, 2010.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Company’s $125 million Senior Credit Facility prohibits the Company from paying cash dividends on its common stock.</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annual meeting of shareholders was held on November 17, 2005. The shareholders elected the following nine directors to hold office until the next annual meeting and until their successors are elected and qualified: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FOR</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WITHHELD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Peter D. Behrendt</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w w:val="99"/>
              </w:rPr>
              <w:t>192,092,723</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6,478,876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Kathleen A. Cote</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4"/>
          </w:tcPr>
          <w:p>
            <w:pPr>
              <w:jc w:val="right"/>
              <w:ind w:right="600"/>
              <w:spacing w:after="0"/>
              <w:rPr>
                <w:sz w:val="20"/>
                <w:szCs w:val="20"/>
                <w:color w:val="auto"/>
              </w:rPr>
            </w:pPr>
            <w:r>
              <w:rPr>
                <w:rFonts w:ascii="Arial" w:cs="Arial" w:eastAsia="Arial" w:hAnsi="Arial"/>
                <w:sz w:val="18"/>
                <w:szCs w:val="18"/>
                <w:color w:val="auto"/>
                <w:w w:val="99"/>
              </w:rPr>
              <w:t>197,874,911</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696,688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Henry T. DeNero</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w w:val="99"/>
              </w:rPr>
              <w:t>197,379,834</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1,191,765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William L. Kimsey</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4"/>
          </w:tcPr>
          <w:p>
            <w:pPr>
              <w:jc w:val="right"/>
              <w:ind w:right="600"/>
              <w:spacing w:after="0"/>
              <w:rPr>
                <w:sz w:val="20"/>
                <w:szCs w:val="20"/>
                <w:color w:val="auto"/>
              </w:rPr>
            </w:pPr>
            <w:r>
              <w:rPr>
                <w:rFonts w:ascii="Arial" w:cs="Arial" w:eastAsia="Arial" w:hAnsi="Arial"/>
                <w:sz w:val="18"/>
                <w:szCs w:val="18"/>
                <w:color w:val="auto"/>
                <w:w w:val="99"/>
              </w:rPr>
              <w:t>192,949,918</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5,621,681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Michael D. Lambert</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w w:val="99"/>
              </w:rPr>
              <w:t>197,133,248</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1,438,351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Matthew E. Massengill</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4"/>
          </w:tcPr>
          <w:p>
            <w:pPr>
              <w:jc w:val="right"/>
              <w:ind w:right="600"/>
              <w:spacing w:after="0"/>
              <w:rPr>
                <w:sz w:val="20"/>
                <w:szCs w:val="20"/>
                <w:color w:val="auto"/>
              </w:rPr>
            </w:pPr>
            <w:r>
              <w:rPr>
                <w:rFonts w:ascii="Arial" w:cs="Arial" w:eastAsia="Arial" w:hAnsi="Arial"/>
                <w:sz w:val="18"/>
                <w:szCs w:val="18"/>
                <w:color w:val="auto"/>
                <w:w w:val="99"/>
              </w:rPr>
              <w:t>192,806,928</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5,764,671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Roger H. Moore</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w w:val="99"/>
              </w:rPr>
              <w:t>197,080,897</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1,490,702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Thomas E. Pardun</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4"/>
          </w:tcPr>
          <w:p>
            <w:pPr>
              <w:jc w:val="right"/>
              <w:ind w:right="600"/>
              <w:spacing w:after="0"/>
              <w:rPr>
                <w:sz w:val="20"/>
                <w:szCs w:val="20"/>
                <w:color w:val="auto"/>
              </w:rPr>
            </w:pPr>
            <w:r>
              <w:rPr>
                <w:rFonts w:ascii="Arial" w:cs="Arial" w:eastAsia="Arial" w:hAnsi="Arial"/>
                <w:sz w:val="18"/>
                <w:szCs w:val="18"/>
                <w:color w:val="auto"/>
                <w:w w:val="99"/>
              </w:rPr>
              <w:t>192,821,421</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5,750,178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Arif Shakeel</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w w:val="99"/>
              </w:rPr>
              <w:t>192,750,922</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5,820,677</w:t>
            </w:r>
          </w:p>
        </w:tc>
        <w:tc>
          <w:tcPr>
            <w:tcW w:w="0" w:type="dxa"/>
            <w:vAlign w:val="bottom"/>
          </w:tcPr>
          <w:p>
            <w:pPr>
              <w:spacing w:after="0"/>
              <w:rPr>
                <w:sz w:val="1"/>
                <w:szCs w:val="1"/>
                <w:color w:val="auto"/>
              </w:rPr>
            </w:pP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In addition, the shareholders approved the following proposals:</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FOR</w:t>
            </w:r>
          </w:p>
        </w:tc>
        <w:tc>
          <w:tcPr>
            <w:tcW w:w="640" w:type="dxa"/>
            <w:vAlign w:val="bottom"/>
          </w:tcPr>
          <w:p>
            <w:pPr>
              <w:spacing w:after="0"/>
              <w:rPr>
                <w:sz w:val="24"/>
                <w:szCs w:val="24"/>
                <w:color w:val="auto"/>
              </w:rPr>
            </w:pPr>
          </w:p>
        </w:tc>
        <w:tc>
          <w:tcPr>
            <w:tcW w:w="12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AGAINST</w:t>
            </w:r>
          </w:p>
        </w:tc>
        <w:tc>
          <w:tcPr>
            <w:tcW w:w="300" w:type="dxa"/>
            <w:vAlign w:val="bottom"/>
          </w:tcPr>
          <w:p>
            <w:pPr>
              <w:spacing w:after="0"/>
              <w:rPr>
                <w:sz w:val="24"/>
                <w:szCs w:val="24"/>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ABSTAIN</w:t>
            </w:r>
          </w:p>
        </w:tc>
        <w:tc>
          <w:tcPr>
            <w:tcW w:w="40" w:type="dxa"/>
            <w:vAlign w:val="bottom"/>
          </w:tcPr>
          <w:p>
            <w:pPr>
              <w:spacing w:after="0"/>
              <w:rPr>
                <w:sz w:val="24"/>
                <w:szCs w:val="2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1. To approve the Western Digital Corporation 2005 Employee Stock</w:t>
            </w:r>
          </w:p>
        </w:tc>
        <w:tc>
          <w:tcPr>
            <w:tcW w:w="52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Plan</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141,134,948</w:t>
            </w:r>
          </w:p>
        </w:tc>
        <w:tc>
          <w:tcPr>
            <w:tcW w:w="1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21,768,471</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195,268</w:t>
            </w:r>
          </w:p>
        </w:tc>
        <w:tc>
          <w:tcPr>
            <w:tcW w:w="6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35,472,911</w:t>
            </w:r>
          </w:p>
        </w:tc>
        <w:tc>
          <w:tcPr>
            <w:tcW w:w="0" w:type="dxa"/>
            <w:vAlign w:val="bottom"/>
          </w:tcPr>
          <w:p>
            <w:pPr>
              <w:spacing w:after="0"/>
              <w:rPr>
                <w:sz w:val="1"/>
                <w:szCs w:val="1"/>
                <w:color w:val="auto"/>
              </w:rPr>
            </w:pPr>
          </w:p>
        </w:tc>
      </w:tr>
      <w:tr>
        <w:trPr>
          <w:trHeight w:val="418"/>
        </w:trPr>
        <w:tc>
          <w:tcPr>
            <w:tcW w:w="5380" w:type="dxa"/>
            <w:vAlign w:val="bottom"/>
            <w:gridSpan w:val="2"/>
          </w:tcPr>
          <w:p>
            <w:pPr>
              <w:spacing w:after="0"/>
              <w:rPr>
                <w:sz w:val="20"/>
                <w:szCs w:val="20"/>
                <w:color w:val="auto"/>
              </w:rPr>
            </w:pPr>
            <w:r>
              <w:rPr>
                <w:rFonts w:ascii="Arial" w:cs="Arial" w:eastAsia="Arial" w:hAnsi="Arial"/>
                <w:sz w:val="18"/>
                <w:szCs w:val="18"/>
                <w:color w:val="auto"/>
                <w:w w:val="96"/>
              </w:rPr>
              <w:t>2. To approve an amendment to the Western Digital Corporation 2004</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Performance Incentive Plan</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136,578,887</w:t>
            </w:r>
          </w:p>
        </w:tc>
        <w:tc>
          <w:tcPr>
            <w:tcW w:w="1880" w:type="dxa"/>
            <w:vAlign w:val="bottom"/>
            <w:gridSpan w:val="3"/>
          </w:tcPr>
          <w:p>
            <w:pPr>
              <w:jc w:val="right"/>
              <w:ind w:right="340"/>
              <w:spacing w:after="0"/>
              <w:rPr>
                <w:sz w:val="20"/>
                <w:szCs w:val="20"/>
                <w:color w:val="auto"/>
              </w:rPr>
            </w:pPr>
            <w:r>
              <w:rPr>
                <w:rFonts w:ascii="Arial" w:cs="Arial" w:eastAsia="Arial" w:hAnsi="Arial"/>
                <w:sz w:val="18"/>
                <w:szCs w:val="18"/>
                <w:color w:val="auto"/>
              </w:rPr>
              <w:t>26,324,377</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195,423</w:t>
            </w:r>
          </w:p>
        </w:tc>
        <w:tc>
          <w:tcPr>
            <w:tcW w:w="60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35,472,911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3. To ratify the selection of KPMG LLP as independent accountants for</w:t>
            </w: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Company for the fiscal year ending June 30, 2006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191,361,039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7,077,735</w:t>
            </w:r>
          </w:p>
        </w:tc>
        <w:tc>
          <w:tcPr>
            <w:tcW w:w="3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131,824</w:t>
            </w:r>
          </w:p>
        </w:tc>
        <w:tc>
          <w:tcPr>
            <w:tcW w:w="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4"/>
                <w:szCs w:val="14"/>
                <w:color w:val="auto"/>
              </w:rPr>
            </w:pPr>
          </w:p>
        </w:tc>
        <w:tc>
          <w:tcPr>
            <w:tcW w:w="10260" w:type="dxa"/>
            <w:vAlign w:val="bottom"/>
            <w:tcBorders>
              <w:bottom w:val="single" w:sz="8" w:color="auto"/>
            </w:tcBorders>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04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Amended and Restated Certificate of Incorporation of Western Digital Corporation, as amended to date†</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Amended and Restated Bylaws of Western Digital Corporation, as adopted September 20, 2005, Incorporated by reference to the Company’s</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Current Report on Form 8-K (File No. 1-08703), as filed with the Securities and Exchange Commission on September 26, 2005)</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Western Digital Corporation Amended and Restated 2004 Performance Incentive Plan, effective as of November 17, 2005 (Incorporated by</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reference to the Company’s Current Report on Form 8-K (File No. 1-08703), as filed with the Securities and Exchange Commission on</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November 23, 2005)*</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Western Digital Corporation Amended and Restated 2004 Performance Incentive Plan Non-Employee Director Option Grant Program,</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effective as of November 17, 2005, and Form of Notice of Grant of Stock Option and Option Agreement — Non-Employee Directors†*</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Western Digital Corporation 2005 Employee Stock Purchase Plan, effective as of November 17, 2005 (Incorporated by reference to the</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Company’s Current Report on Form 8-K (File No. 1-08703), as filed with the Securities and Exchange Commission on November 23, 2005)*</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Amended and Restated Western Digital Corporation Non-Employee Directors Stock-For-Fees Plan, effective as of November 17, 2005†*</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Western Digital Corporation Amended and Restated 2004 Performance Incentive Plan Non-Employee Director Restricted Stock Unit</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Program, effective as of November 17, 2005†*</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Western Digital Corporation Summary of Compensation Arrangements for Named Executive Officers and Directors (Incorporated by</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reference to the Company’s Current Report on Form 8-K (File No. 1-08703), as filed with the Securities and Exchange Commission on</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November 23, 2005)*</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10.27.3</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Fourth Amendment to Lease, dated as of December 21, 2005, between Trinet Essential Facilities XXVI, Inc. and Western Digital</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Technologies, Inc.†</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10.29.2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Amendment No. 2 to Volume Purchase Agreement, dated as of November 29, 2005, by and between Komag USA (Malaysia) Sdn., Komag,</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and Western Digital Technologies, Inc.†§</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10.29.3</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Amendment No. 3 to Volume Purchase Agreement, dated as of January 31, 2006, by and between Komag USA (Malaysia) Sdn., Komag,</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and Western Digital Technologies, Inc.†§</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Letter Agreement, dated May 25, 2005, between the Company and John F. Coyne (Incorporated by reference to the Company’s Current</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Report on Form 8-K (File No. 1-08703), as filed with the Securities and Exchange Commission on November 23, 2005)*</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10.35.1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Letter Agreement, dated November 17, 2005, between the Company and John F. Coyne†*</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 of</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 of</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2002†</w:t>
            </w:r>
          </w:p>
        </w:tc>
      </w:tr>
      <w:tr>
        <w:trPr>
          <w:trHeight w:val="405"/>
        </w:trPr>
        <w:tc>
          <w:tcPr>
            <w:tcW w:w="1040" w:type="dxa"/>
            <w:vAlign w:val="bottom"/>
          </w:tcPr>
          <w:p>
            <w:pPr>
              <w:spacing w:after="0"/>
              <w:rPr>
                <w:sz w:val="24"/>
                <w:szCs w:val="24"/>
                <w:color w:val="auto"/>
              </w:rPr>
            </w:pPr>
          </w:p>
        </w:tc>
        <w:tc>
          <w:tcPr>
            <w:tcW w:w="10380" w:type="dxa"/>
            <w:vAlign w:val="bottom"/>
            <w:gridSpan w:val="2"/>
          </w:tcPr>
          <w:p>
            <w:pPr>
              <w:jc w:val="right"/>
              <w:ind w:right="5531"/>
              <w:spacing w:after="0"/>
              <w:rPr>
                <w:sz w:val="20"/>
                <w:szCs w:val="20"/>
                <w:color w:val="auto"/>
              </w:rPr>
            </w:pPr>
            <w:r>
              <w:rPr>
                <w:rFonts w:ascii="Arial" w:cs="Arial" w:eastAsia="Arial" w:hAnsi="Arial"/>
                <w:sz w:val="18"/>
                <w:szCs w:val="18"/>
                <w:color w:val="auto"/>
              </w:rPr>
              <w:t>37</w:t>
            </w:r>
          </w:p>
        </w:tc>
      </w:tr>
      <w:tr>
        <w:trPr>
          <w:trHeight w:val="226"/>
        </w:trPr>
        <w:tc>
          <w:tcPr>
            <w:tcW w:w="10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036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Exhibit filed with this Report.</w:t>
      </w:r>
    </w:p>
    <w:p>
      <w:pPr>
        <w:spacing w:after="0" w:line="7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Compensation plan, contract or arrangement required to be filed as an exhibit pursuant to applicable rules of the Securities and Exchange Commission.</w:t>
      </w:r>
    </w:p>
    <w:p>
      <w:pPr>
        <w:spacing w:after="0" w:line="100" w:lineRule="exact"/>
        <w:rPr>
          <w:sz w:val="20"/>
          <w:szCs w:val="20"/>
          <w:color w:val="auto"/>
        </w:rPr>
      </w:pPr>
    </w:p>
    <w:p>
      <w:pPr>
        <w:ind w:left="460" w:right="540" w:hanging="452"/>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pursuant to a confidential treatment request filed separately with the Securities and Exchange Commission.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WESTERN DIGITAL CORPORATION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D. Milligan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R. Carrillo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R. Carrillo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and Corporate Controller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2006</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24"/>
                <w:szCs w:val="24"/>
                <w:color w:val="auto"/>
              </w:rPr>
            </w:pPr>
          </w:p>
        </w:tc>
        <w:tc>
          <w:tcPr>
            <w:tcW w:w="10260" w:type="dxa"/>
            <w:vAlign w:val="bottom"/>
            <w:tcBorders>
              <w:bottom w:val="single" w:sz="8" w:color="auto"/>
            </w:tcBorders>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04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Amended and Restated Certificate of Incorporation of Western Digital Corporation, as amended to date†</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Amended and Restated Bylaws of Western Digital Corporation, as adopted September 20, 2005, Incorporated by reference to the Company’s</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Current Report on Form 8-K (File No. 1-08703), as filed with the Securities and Exchange Commission on September 26, 2005)</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Western Digital Corporation Amended and Restated 2004 Performance Incentive Plan, effective as of November 17, 2005 (Incorporated by</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reference to the Company’s Current Report on Form 8-K (File No. 1-08703), as filed with the Securities and Exchange Commission on</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November 23, 2005)*</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Western Digital Corporation Amended and Restated 2004 Performance Incentive Plan Non-Employee Director Option Grant Program,</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effective as of November 17, 2005, and Form of Notice of Grant of Stock Option and Option Agreement — Non-Employee Directors†*</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Western Digital Corporation 2005 Employee Stock Purchase Plan, effective as of November 17, 2005 (Incorporated by reference to the</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Company’s Current Report on Form 8-K (File No. 1-08703), as filed with the Securities and Exchange Commission on November 23, 2005)*</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Amended and Restated Western Digital Corporation Non-Employee Directors Stock-For-Fees Plan, effective as of November 17, 2005†*</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Western Digital Corporation Amended and Restated 2004 Performance Incentive Plan Non-Employee Director Restricted Stock Unit</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Program, effective as of November 17, 2005†*</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Western Digital Corporation Summary of Compensation Arrangements for Named Executive Officers and Directors (Incorporated by</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reference to the Company’s Current Report on Form 8-K (File No. 1-08703), as filed with the Securities and Exchange Commission on</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November 23, 2005)*</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10.27.3</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Fourth Amendment to Lease, dated as of December 21, 2005, between Trinet Essential Facilities XXVI, Inc. and Western Digital</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Technologies, Inc.†</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10.29.2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Amendment No. 2 to Volume Purchase Agreement, dated as of November 29, 2005, by and between Komag USA (Malaysia) Sdn., Komag,</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and Western Digital Technologies, Inc.†§</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10.29.3</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Amendment No. 3 to Volume Purchase Agreement, dated as of January 31, 2006, by and between Komag USA (Malaysia) Sdn., Komag,</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and Western Digital Technologies, Inc.†§</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Letter Agreement, dated May 25, 2005, between the Company and John F. Coyne (Incorporated by reference to the Company’s Current</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Report on Form 8-K (File No. 1-08703), as filed with the Securities and Exchange Commission on November 23, 2005)*</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10.35.1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Letter Agreement, dated November 17, 2005, between the Company and John F. Coyne†*</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 of</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 of</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2002†</w:t>
            </w:r>
          </w:p>
        </w:tc>
      </w:tr>
      <w:tr>
        <w:trPr>
          <w:trHeight w:val="632"/>
        </w:trPr>
        <w:tc>
          <w:tcPr>
            <w:tcW w:w="10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036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Exhibit filed with this Report.</w:t>
      </w:r>
    </w:p>
    <w:p>
      <w:pPr>
        <w:spacing w:after="0" w:line="7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Compensation plan, contract or arrangement required to be filed as an exhibit pursuant to applicable rules of the Securities and Exchange Commission.</w:t>
      </w:r>
    </w:p>
    <w:p>
      <w:pPr>
        <w:spacing w:after="0" w:line="100" w:lineRule="exact"/>
        <w:rPr>
          <w:sz w:val="20"/>
          <w:szCs w:val="20"/>
          <w:color w:val="auto"/>
        </w:rPr>
      </w:pPr>
    </w:p>
    <w:p>
      <w:pPr>
        <w:ind w:left="460" w:right="540" w:hanging="452"/>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pursuant to a confidential treatment request filed separately with the Securities and Exchange Commission.</w:t>
      </w:r>
    </w:p>
    <w:p>
      <w:pPr>
        <w:sectPr>
          <w:pgSz w:w="11900" w:h="16838" w:orient="portrait"/>
          <w:cols w:equalWidth="0" w:num="1">
            <w:col w:w="11340"/>
          </w:cols>
          <w:pgMar w:left="240" w:top="419" w:right="319" w:bottom="1440" w:gutter="0" w:footer="0" w:header="0"/>
        </w:sectPr>
      </w:pPr>
    </w:p>
    <w:bookmarkStart w:id="42" w:name="page43"/>
    <w:bookmarkEnd w:id="42"/>
    <w:p>
      <w:pPr>
        <w:ind w:left="10380"/>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ind w:left="8000"/>
        <w:spacing w:after="0"/>
        <w:rPr>
          <w:sz w:val="20"/>
          <w:szCs w:val="20"/>
          <w:color w:val="auto"/>
        </w:rPr>
      </w:pPr>
      <w:r>
        <w:rPr>
          <w:rFonts w:ascii="Arial" w:cs="Arial" w:eastAsia="Arial" w:hAnsi="Arial"/>
          <w:sz w:val="18"/>
          <w:szCs w:val="18"/>
          <w:i w:val="1"/>
          <w:iCs w:val="1"/>
          <w:color w:val="auto"/>
        </w:rPr>
        <w:t>STATE OF DELAWARE</w:t>
      </w:r>
    </w:p>
    <w:p>
      <w:pPr>
        <w:spacing w:after="0" w:line="23" w:lineRule="exact"/>
        <w:rPr>
          <w:sz w:val="20"/>
          <w:szCs w:val="20"/>
          <w:color w:val="auto"/>
        </w:rPr>
      </w:pPr>
    </w:p>
    <w:p>
      <w:pPr>
        <w:jc w:val="center"/>
        <w:ind w:left="8000"/>
        <w:spacing w:after="0"/>
        <w:rPr>
          <w:sz w:val="20"/>
          <w:szCs w:val="20"/>
          <w:color w:val="auto"/>
        </w:rPr>
      </w:pPr>
      <w:r>
        <w:rPr>
          <w:rFonts w:ascii="Arial" w:cs="Arial" w:eastAsia="Arial" w:hAnsi="Arial"/>
          <w:sz w:val="18"/>
          <w:szCs w:val="18"/>
          <w:i w:val="1"/>
          <w:iCs w:val="1"/>
          <w:color w:val="auto"/>
        </w:rPr>
        <w:t>SECRETARY OF STATE</w:t>
      </w:r>
    </w:p>
    <w:p>
      <w:pPr>
        <w:spacing w:after="0" w:line="9" w:lineRule="exact"/>
        <w:rPr>
          <w:sz w:val="20"/>
          <w:szCs w:val="20"/>
          <w:color w:val="auto"/>
        </w:rPr>
      </w:pPr>
    </w:p>
    <w:p>
      <w:pPr>
        <w:jc w:val="center"/>
        <w:ind w:left="8000"/>
        <w:spacing w:after="0"/>
        <w:rPr>
          <w:sz w:val="20"/>
          <w:szCs w:val="20"/>
          <w:color w:val="auto"/>
        </w:rPr>
      </w:pPr>
      <w:r>
        <w:rPr>
          <w:rFonts w:ascii="Arial" w:cs="Arial" w:eastAsia="Arial" w:hAnsi="Arial"/>
          <w:sz w:val="18"/>
          <w:szCs w:val="18"/>
          <w:i w:val="1"/>
          <w:iCs w:val="1"/>
          <w:color w:val="auto"/>
        </w:rPr>
        <w:t>DIVISION OF CORPORATIONS</w:t>
      </w:r>
    </w:p>
    <w:p>
      <w:pPr>
        <w:spacing w:after="0" w:line="9" w:lineRule="exact"/>
        <w:rPr>
          <w:sz w:val="20"/>
          <w:szCs w:val="20"/>
          <w:color w:val="auto"/>
        </w:rPr>
      </w:pPr>
    </w:p>
    <w:p>
      <w:pPr>
        <w:jc w:val="center"/>
        <w:ind w:left="8000"/>
        <w:spacing w:after="0"/>
        <w:rPr>
          <w:sz w:val="20"/>
          <w:szCs w:val="20"/>
          <w:color w:val="auto"/>
        </w:rPr>
      </w:pPr>
      <w:r>
        <w:rPr>
          <w:rFonts w:ascii="Arial" w:cs="Arial" w:eastAsia="Arial" w:hAnsi="Arial"/>
          <w:sz w:val="18"/>
          <w:szCs w:val="18"/>
          <w:i w:val="1"/>
          <w:iCs w:val="1"/>
          <w:color w:val="auto"/>
        </w:rPr>
        <w:t>FILED 09:00 AM 01/08/2002</w:t>
      </w:r>
    </w:p>
    <w:p>
      <w:pPr>
        <w:spacing w:after="0" w:line="9" w:lineRule="exact"/>
        <w:rPr>
          <w:sz w:val="20"/>
          <w:szCs w:val="20"/>
          <w:color w:val="auto"/>
        </w:rPr>
      </w:pPr>
    </w:p>
    <w:p>
      <w:pPr>
        <w:jc w:val="center"/>
        <w:ind w:left="8000"/>
        <w:spacing w:after="0"/>
        <w:rPr>
          <w:sz w:val="20"/>
          <w:szCs w:val="20"/>
          <w:color w:val="auto"/>
        </w:rPr>
      </w:pPr>
      <w:r>
        <w:rPr>
          <w:rFonts w:ascii="Arial" w:cs="Arial" w:eastAsia="Arial" w:hAnsi="Arial"/>
          <w:sz w:val="18"/>
          <w:szCs w:val="18"/>
          <w:i w:val="1"/>
          <w:iCs w:val="1"/>
          <w:color w:val="auto"/>
        </w:rPr>
        <w:t>020011892 - 3308006</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Western Digital Corporation, a corporation organized and existing under the laws of the State of Delaware (the “Corporation”), hereby certifies as follows:</w:t>
      </w:r>
    </w:p>
    <w:p>
      <w:pPr>
        <w:spacing w:after="0" w:line="140" w:lineRule="exact"/>
        <w:rPr>
          <w:sz w:val="20"/>
          <w:szCs w:val="20"/>
          <w:color w:val="auto"/>
        </w:rPr>
      </w:pPr>
    </w:p>
    <w:p>
      <w:pPr>
        <w:ind w:left="400" w:hanging="167"/>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name of the Corporation is Western Digital Corporation.</w:t>
      </w:r>
    </w:p>
    <w:p>
      <w:pPr>
        <w:spacing w:after="0" w:line="117" w:lineRule="exact"/>
        <w:rPr>
          <w:rFonts w:ascii="Arial" w:cs="Arial" w:eastAsia="Arial" w:hAnsi="Arial"/>
          <w:sz w:val="18"/>
          <w:szCs w:val="18"/>
          <w:color w:val="auto"/>
        </w:rPr>
      </w:pPr>
    </w:p>
    <w:p>
      <w:pPr>
        <w:ind w:right="260" w:firstLine="233"/>
        <w:spacing w:after="0" w:line="277" w:lineRule="auto"/>
        <w:tabs>
          <w:tab w:leader="none" w:pos="40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Amended and Restated Certificate of Incorporation of the Corporation is hereby amended by striking out Article IV thereof in its entirety and by substituting in lieu of said Article the following new Article: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AUTHORIZED CAPITAL STOCK</w:t>
      </w:r>
    </w:p>
    <w:p>
      <w:pPr>
        <w:spacing w:after="0" w:line="117" w:lineRule="exact"/>
        <w:rPr>
          <w:sz w:val="20"/>
          <w:szCs w:val="20"/>
          <w:color w:val="auto"/>
        </w:rPr>
      </w:pPr>
    </w:p>
    <w:p>
      <w:pPr>
        <w:ind w:left="360" w:firstLine="222"/>
        <w:spacing w:after="0" w:line="302" w:lineRule="auto"/>
        <w:rPr>
          <w:sz w:val="20"/>
          <w:szCs w:val="20"/>
          <w:color w:val="auto"/>
        </w:rPr>
      </w:pPr>
      <w:r>
        <w:rPr>
          <w:rFonts w:ascii="Arial" w:cs="Arial" w:eastAsia="Arial" w:hAnsi="Arial"/>
          <w:sz w:val="16"/>
          <w:szCs w:val="16"/>
          <w:color w:val="auto"/>
        </w:rPr>
        <w:t>This corporation shall be authorized to issue two classes of shares of stock to be designated, respectively, “Preferred Stock” and “Common Stock”; the total number of shares which this corporation shall have authority to issue is Four Hundred Fifty-Five Million (455,000,000); the total number of shares of Preferred Stock shall be Five Million (5,000,000) and each such share shall have a par value of one cent ($0.01); and the total number of shares of Common Stock shall be Four Hundred Fifty Million (450,000,000) and each such share shall have a par value of one cent ($0.01).</w:t>
      </w:r>
    </w:p>
    <w:p>
      <w:pPr>
        <w:spacing w:after="0" w:line="46" w:lineRule="exact"/>
        <w:rPr>
          <w:sz w:val="20"/>
          <w:szCs w:val="20"/>
          <w:color w:val="auto"/>
        </w:rPr>
      </w:pPr>
    </w:p>
    <w:p>
      <w:pPr>
        <w:ind w:left="360" w:right="20" w:firstLine="222"/>
        <w:spacing w:after="0" w:line="255" w:lineRule="auto"/>
        <w:rPr>
          <w:sz w:val="20"/>
          <w:szCs w:val="20"/>
          <w:color w:val="auto"/>
        </w:rPr>
      </w:pPr>
      <w:r>
        <w:rPr>
          <w:rFonts w:ascii="Arial" w:cs="Arial" w:eastAsia="Arial" w:hAnsi="Arial"/>
          <w:sz w:val="18"/>
          <w:szCs w:val="18"/>
          <w:color w:val="auto"/>
        </w:rPr>
        <w:t>The shares of Preferred Stock may be issued from time to time in one or more series. The Board of Directors is hereby vested with authority to fix by resolution or resolutions the designations and the powers, preferences and relative, participating, optional or other special rights, and qualifications, limitations or restrictions thereof, including without limitation the dividend rate, conversion rights, redemption price and liquidation preference, of any series of shares of Preferred Stock, and to fix the number of shares constituting any such series, and to increase or decrease the number of shares of any such series (but not below the number of shares thereof then outstanding). In case the number of shares of any such series shall be so decreased, the shares constituting such decrease shall resume the status which they had prior to the adoption of the resolution or resolutions originally fixing the number of shares of such series.”</w:t>
      </w:r>
    </w:p>
    <w:p>
      <w:pPr>
        <w:spacing w:after="0" w:line="81" w:lineRule="exact"/>
        <w:rPr>
          <w:sz w:val="20"/>
          <w:szCs w:val="20"/>
          <w:color w:val="auto"/>
        </w:rPr>
      </w:pPr>
    </w:p>
    <w:p>
      <w:pPr>
        <w:ind w:right="380" w:firstLine="233"/>
        <w:spacing w:after="0" w:line="264" w:lineRule="auto"/>
        <w:tabs>
          <w:tab w:leader="none" w:pos="4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Pursuant to resolutions adopted at a meeting of the Board of Directors of the Corporation approving the proposed amendment to the Certificate of Incorporation of the Corporation, declaring the amendment to be advisable and calling a meeting of the stockholders of the Corporation for consideration thereof, the annual meeting of the stockholders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3" w:name="page44"/>
    <w:bookmarkEnd w:id="43"/>
    <w:p>
      <w:pPr>
        <w:spacing w:after="0" w:line="277" w:lineRule="auto"/>
        <w:rPr>
          <w:sz w:val="20"/>
          <w:szCs w:val="20"/>
          <w:color w:val="auto"/>
        </w:rPr>
      </w:pPr>
      <w:r>
        <w:rPr>
          <w:rFonts w:ascii="Arial" w:cs="Arial" w:eastAsia="Arial" w:hAnsi="Arial"/>
          <w:sz w:val="18"/>
          <w:szCs w:val="18"/>
          <w:color w:val="auto"/>
        </w:rPr>
        <w:t>Corporation was duly called and held, upon notice in accordance with Section 222 of the General Corporation Law of the State of Delaware, at which meeting the necessary number of shares as required by statute were voted in favor of the amendment.</w:t>
      </w:r>
    </w:p>
    <w:p>
      <w:pPr>
        <w:spacing w:after="0" w:line="62" w:lineRule="exact"/>
        <w:rPr>
          <w:sz w:val="20"/>
          <w:szCs w:val="20"/>
          <w:color w:val="auto"/>
        </w:rPr>
      </w:pPr>
    </w:p>
    <w:p>
      <w:pPr>
        <w:ind w:right="80" w:firstLine="233"/>
        <w:spacing w:after="0" w:line="277" w:lineRule="auto"/>
        <w:tabs>
          <w:tab w:leader="none" w:pos="40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amendment of the Amended and Restated Certificate of Incorporation of the Corporation herein certified has been duly adopted in accordance with the provisions of Section 242 of the General Corporation Law of the State of Delaware.</w:t>
      </w:r>
    </w:p>
    <w:p>
      <w:pPr>
        <w:spacing w:after="0" w:line="62"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IN WITNESS WHEREOF, the Corporation has caused this Certificate of Amendment to be executed by its authorized officer on the 7th day of January, 2002.</w:t>
      </w:r>
    </w:p>
    <w:p>
      <w:pPr>
        <w:spacing w:after="0" w:line="1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WESTERN DIGITAL CORPORATION,</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Michael A.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14605</wp:posOffset>
            </wp:positionV>
            <wp:extent cx="31984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Michael A. Cornelius</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Vice President, Law and Administration</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and Secretary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4" w:name="page45"/>
    <w:bookmarkEnd w:id="44"/>
    <w:p>
      <w:pPr>
        <w:jc w:val="center"/>
        <w:ind w:left="8020"/>
        <w:spacing w:after="0"/>
        <w:rPr>
          <w:sz w:val="20"/>
          <w:szCs w:val="20"/>
          <w:color w:val="auto"/>
        </w:rPr>
      </w:pPr>
      <w:r>
        <w:rPr>
          <w:rFonts w:ascii="Arial" w:cs="Arial" w:eastAsia="Arial" w:hAnsi="Arial"/>
          <w:sz w:val="18"/>
          <w:szCs w:val="18"/>
          <w:i w:val="1"/>
          <w:iCs w:val="1"/>
          <w:color w:val="auto"/>
        </w:rPr>
        <w:t>STATE OF DELAWARE</w:t>
      </w:r>
    </w:p>
    <w:p>
      <w:pPr>
        <w:spacing w:after="0" w:line="23" w:lineRule="exact"/>
        <w:rPr>
          <w:sz w:val="20"/>
          <w:szCs w:val="20"/>
          <w:color w:val="auto"/>
        </w:rPr>
      </w:pPr>
    </w:p>
    <w:p>
      <w:pPr>
        <w:jc w:val="center"/>
        <w:ind w:left="8020"/>
        <w:spacing w:after="0"/>
        <w:rPr>
          <w:sz w:val="20"/>
          <w:szCs w:val="20"/>
          <w:color w:val="auto"/>
        </w:rPr>
      </w:pPr>
      <w:r>
        <w:rPr>
          <w:rFonts w:ascii="Arial" w:cs="Arial" w:eastAsia="Arial" w:hAnsi="Arial"/>
          <w:sz w:val="18"/>
          <w:szCs w:val="18"/>
          <w:i w:val="1"/>
          <w:iCs w:val="1"/>
          <w:color w:val="auto"/>
        </w:rPr>
        <w:t>SECRETARY OF STATE</w:t>
      </w:r>
    </w:p>
    <w:p>
      <w:pPr>
        <w:spacing w:after="0" w:line="9" w:lineRule="exact"/>
        <w:rPr>
          <w:sz w:val="20"/>
          <w:szCs w:val="20"/>
          <w:color w:val="auto"/>
        </w:rPr>
      </w:pPr>
    </w:p>
    <w:p>
      <w:pPr>
        <w:jc w:val="center"/>
        <w:ind w:left="8020"/>
        <w:spacing w:after="0"/>
        <w:rPr>
          <w:sz w:val="20"/>
          <w:szCs w:val="20"/>
          <w:color w:val="auto"/>
        </w:rPr>
      </w:pPr>
      <w:r>
        <w:rPr>
          <w:rFonts w:ascii="Arial" w:cs="Arial" w:eastAsia="Arial" w:hAnsi="Arial"/>
          <w:sz w:val="18"/>
          <w:szCs w:val="18"/>
          <w:i w:val="1"/>
          <w:iCs w:val="1"/>
          <w:color w:val="auto"/>
        </w:rPr>
        <w:t>DIVISION OF CORPORATIONS</w:t>
      </w:r>
    </w:p>
    <w:p>
      <w:pPr>
        <w:spacing w:after="0" w:line="9" w:lineRule="exact"/>
        <w:rPr>
          <w:sz w:val="20"/>
          <w:szCs w:val="20"/>
          <w:color w:val="auto"/>
        </w:rPr>
      </w:pPr>
    </w:p>
    <w:p>
      <w:pPr>
        <w:jc w:val="center"/>
        <w:ind w:left="8020"/>
        <w:spacing w:after="0"/>
        <w:rPr>
          <w:sz w:val="20"/>
          <w:szCs w:val="20"/>
          <w:color w:val="auto"/>
        </w:rPr>
      </w:pPr>
      <w:r>
        <w:rPr>
          <w:rFonts w:ascii="Arial" w:cs="Arial" w:eastAsia="Arial" w:hAnsi="Arial"/>
          <w:sz w:val="18"/>
          <w:szCs w:val="18"/>
          <w:i w:val="1"/>
          <w:iCs w:val="1"/>
          <w:color w:val="auto"/>
        </w:rPr>
        <w:t>FILED 02:01 PM 04/06/2001</w:t>
      </w:r>
    </w:p>
    <w:p>
      <w:pPr>
        <w:spacing w:after="0" w:line="9" w:lineRule="exact"/>
        <w:rPr>
          <w:sz w:val="20"/>
          <w:szCs w:val="20"/>
          <w:color w:val="auto"/>
        </w:rPr>
      </w:pPr>
    </w:p>
    <w:p>
      <w:pPr>
        <w:jc w:val="center"/>
        <w:ind w:left="8020"/>
        <w:spacing w:after="0"/>
        <w:rPr>
          <w:sz w:val="20"/>
          <w:szCs w:val="20"/>
          <w:color w:val="auto"/>
        </w:rPr>
      </w:pPr>
      <w:r>
        <w:rPr>
          <w:rFonts w:ascii="Arial" w:cs="Arial" w:eastAsia="Arial" w:hAnsi="Arial"/>
          <w:sz w:val="18"/>
          <w:szCs w:val="18"/>
          <w:i w:val="1"/>
          <w:iCs w:val="1"/>
          <w:color w:val="auto"/>
        </w:rPr>
        <w:t>010169982 - 3308006</w:t>
      </w:r>
    </w:p>
    <w:p>
      <w:pPr>
        <w:spacing w:after="0" w:line="31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CERTIFICATE OF INCORPORATION OF</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WESTERN DIGITAL HOLDINGS, INC.</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Western Digital Holdings, Inc., a corporation organized and existing under the laws of the State of Delaware, hereby certifies as follows:</w:t>
      </w:r>
    </w:p>
    <w:p>
      <w:pPr>
        <w:spacing w:after="0" w:line="117" w:lineRule="exact"/>
        <w:rPr>
          <w:sz w:val="20"/>
          <w:szCs w:val="20"/>
          <w:color w:val="auto"/>
        </w:rPr>
      </w:pPr>
    </w:p>
    <w:p>
      <w:pPr>
        <w:ind w:firstLine="233"/>
        <w:spacing w:after="0" w:line="264" w:lineRule="auto"/>
        <w:tabs>
          <w:tab w:leader="none" w:pos="40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name of this corporation is Western Digital Holdings, Inc. The original Certificate of Incorporation of this corporation was filed with the Secretary of State of the State of Delaware on the 26th day of October, 2000, under the name The Western Digital Group, Inc., and a Certificate of Amendment to the Certificate of Incorporation was filed with the Secretary of State of the State of Delaware on March 22, 2001.</w:t>
      </w:r>
    </w:p>
    <w:p>
      <w:pPr>
        <w:spacing w:after="0" w:line="73" w:lineRule="exact"/>
        <w:rPr>
          <w:rFonts w:ascii="Arial" w:cs="Arial" w:eastAsia="Arial" w:hAnsi="Arial"/>
          <w:sz w:val="18"/>
          <w:szCs w:val="18"/>
          <w:color w:val="auto"/>
        </w:rPr>
      </w:pPr>
    </w:p>
    <w:p>
      <w:pPr>
        <w:ind w:right="140" w:firstLine="233"/>
        <w:spacing w:after="0" w:line="264" w:lineRule="auto"/>
        <w:tabs>
          <w:tab w:leader="none" w:pos="402"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This corporation’s Amended and Restated Certificate of Incorporation,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has been duly adopted in accordance with the provisions of Sections 242 and 245 of the General Corporation Law of the State of Delaware by the directors and sole stockholder of this corporation.</w:t>
      </w:r>
    </w:p>
    <w:p>
      <w:pPr>
        <w:spacing w:after="0" w:line="73" w:lineRule="exact"/>
        <w:rPr>
          <w:rFonts w:ascii="Arial" w:cs="Arial" w:eastAsia="Arial" w:hAnsi="Arial"/>
          <w:sz w:val="18"/>
          <w:szCs w:val="18"/>
          <w:color w:val="auto"/>
        </w:rPr>
      </w:pPr>
    </w:p>
    <w:p>
      <w:pPr>
        <w:ind w:right="100" w:firstLine="233"/>
        <w:spacing w:after="0" w:line="277" w:lineRule="auto"/>
        <w:tabs>
          <w:tab w:leader="none" w:pos="402"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Amended and Restated Certificate of Incorporation so adopted reads in full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is incorporated herein by reference.</w:t>
      </w:r>
    </w:p>
    <w:p>
      <w:pPr>
        <w:spacing w:after="0" w:line="62"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IN WITNESS WHEREOF, Western Digital Holdings, Inc. has caused this Certificate to be executed by its authorized officer as of the 6th day of April, 2001.</w:t>
      </w:r>
    </w:p>
    <w:p>
      <w:pPr>
        <w:spacing w:after="0" w:line="1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WESTERN DIGITAL HOLDINGS, INC.,</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Michael A.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14605</wp:posOffset>
            </wp:positionV>
            <wp:extent cx="31984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Michael A. Cornelius</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Vice President, Law and Administration</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152" w:right="359" w:bottom="1440" w:gutter="0" w:footer="0" w:header="0"/>
        </w:sectPr>
      </w:pPr>
    </w:p>
    <w:bookmarkStart w:id="45" w:name="page46"/>
    <w:bookmarkEnd w:id="45"/>
    <w:p>
      <w:pPr>
        <w:ind w:left="5340"/>
        <w:spacing w:after="0"/>
        <w:rPr>
          <w:sz w:val="20"/>
          <w:szCs w:val="20"/>
          <w:color w:val="auto"/>
        </w:rPr>
      </w:pPr>
      <w:r>
        <w:rPr>
          <w:rFonts w:ascii="Arial" w:cs="Arial" w:eastAsia="Arial" w:hAnsi="Arial"/>
          <w:sz w:val="18"/>
          <w:szCs w:val="18"/>
          <w:b w:val="1"/>
          <w:bCs w:val="1"/>
          <w:u w:val="single" w:color="auto"/>
          <w:color w:val="auto"/>
        </w:rPr>
        <w:t>Exhibit A</w:t>
      </w:r>
    </w:p>
    <w:p>
      <w:pPr>
        <w:spacing w:after="0" w:line="11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CERTIFICATE OF INCORPORATION OF</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WESTERN DIGITAL HOLDINGS, INC.</w:t>
      </w: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NAME OF CORPORATION</w:t>
      </w: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name of this corporation is:</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WESTERN DIGITAL CORPORATION</w:t>
      </w: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REGISTERED OFFICE</w:t>
      </w:r>
    </w:p>
    <w:p>
      <w:pPr>
        <w:spacing w:after="0" w:line="103" w:lineRule="exact"/>
        <w:rPr>
          <w:sz w:val="20"/>
          <w:szCs w:val="20"/>
          <w:color w:val="auto"/>
        </w:rPr>
      </w:pPr>
    </w:p>
    <w:p>
      <w:pPr>
        <w:ind w:right="120" w:firstLine="222"/>
        <w:spacing w:after="0" w:line="308" w:lineRule="auto"/>
        <w:rPr>
          <w:sz w:val="20"/>
          <w:szCs w:val="20"/>
          <w:color w:val="auto"/>
        </w:rPr>
      </w:pPr>
      <w:r>
        <w:rPr>
          <w:rFonts w:ascii="Arial" w:cs="Arial" w:eastAsia="Arial" w:hAnsi="Arial"/>
          <w:sz w:val="17"/>
          <w:szCs w:val="17"/>
          <w:color w:val="auto"/>
        </w:rPr>
        <w:t>The address of the registered office of this corporation in the State of Delaware is c/o National Registered Agents, Inc., 9 East Loockerman Street, in the City of Dover, County of Kent, and the name of its registered agent at that address is National Registered Agents, Inc.</w:t>
      </w: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PURPOSE</w:t>
      </w:r>
    </w:p>
    <w:p>
      <w:pPr>
        <w:spacing w:after="0" w:line="103"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purpose of this corporation is to engage in any lawful act or activity for which corporations may be organized under the General Corporation Law of the State of Delaware.</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AUTHORIZED CAPITAL STOCK</w:t>
      </w:r>
    </w:p>
    <w:p>
      <w:pPr>
        <w:spacing w:after="0" w:line="103" w:lineRule="exact"/>
        <w:rPr>
          <w:sz w:val="20"/>
          <w:szCs w:val="20"/>
          <w:color w:val="auto"/>
        </w:rPr>
      </w:pPr>
    </w:p>
    <w:p>
      <w:pPr>
        <w:ind w:right="80" w:firstLine="222"/>
        <w:spacing w:after="0" w:line="279" w:lineRule="auto"/>
        <w:rPr>
          <w:sz w:val="20"/>
          <w:szCs w:val="20"/>
          <w:color w:val="auto"/>
        </w:rPr>
      </w:pPr>
      <w:r>
        <w:rPr>
          <w:rFonts w:ascii="Arial" w:cs="Arial" w:eastAsia="Arial" w:hAnsi="Arial"/>
          <w:sz w:val="17"/>
          <w:szCs w:val="17"/>
          <w:color w:val="auto"/>
        </w:rPr>
        <w:t>This corporation shall be authorized to issue two classes of shares of stock to be designated, respectively, “Preferred Stock” and “Common Stock”; the total number of shares which this corporation shall have authority to issue is Two Hundred Thirty Million (230,000,000); the total number of shares of Preferred Stock shall be Five Million (5,000,000) and each such share shall have a par value of one cent ($0.01); and the total number of shares of Common Stock shall be Two Hundred Twenty-Five Million (225,000,000) and each such share shall have a par value of one cent ($0.01).</w:t>
      </w:r>
    </w:p>
    <w:p>
      <w:pPr>
        <w:spacing w:after="0" w:line="63"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shares of Preferred Stock may be issued from time to time in one or more series. The Board of Directors is hereby vested with authority to fix by resolution or resolutions the designations and the powers, preferences and relative, participating, optional or other special rights, and qualifications, limitations or restrictions thereof, including without limitation the dividend rate, conversion rights, redemption price and liquidation preference, of any series of shares of Preferred Stock, and to fix the number of shares constituting any such series, and to increase or decrease the number of shares of any such series (but not below the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46" w:name="page47"/>
    <w:bookmarkEnd w:id="46"/>
    <w:p>
      <w:pPr>
        <w:ind w:right="140"/>
        <w:spacing w:after="0" w:line="308" w:lineRule="auto"/>
        <w:rPr>
          <w:sz w:val="20"/>
          <w:szCs w:val="20"/>
          <w:color w:val="auto"/>
        </w:rPr>
      </w:pPr>
      <w:r>
        <w:rPr>
          <w:rFonts w:ascii="Arial" w:cs="Arial" w:eastAsia="Arial" w:hAnsi="Arial"/>
          <w:sz w:val="17"/>
          <w:szCs w:val="17"/>
          <w:color w:val="auto"/>
        </w:rPr>
        <w:t>thereof then outstanding). In case the number of shares of any such series shall be so decreased, the shares constituting such decrease shall resume the status which they had prior to the adoption of the resolution or resolutions originally fixing the number of shares of such series.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POWER REGARDING BYLAWS</w:t>
      </w:r>
    </w:p>
    <w:p>
      <w:pPr>
        <w:spacing w:after="0" w:line="103"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In furtherance and not in limitation of the powers conferred by statute, the Board of Directors is expressly authorized to make, repeal, alter, amend and rescind the Bylaws of this corporation.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Elections of directors need not be by written ballot unless the Bylaws of this corporation shall so provide.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LIMITATION OF DIRECTOR LIABILITY</w:t>
      </w:r>
    </w:p>
    <w:p>
      <w:pPr>
        <w:spacing w:after="0" w:line="103" w:lineRule="exact"/>
        <w:rPr>
          <w:sz w:val="20"/>
          <w:szCs w:val="20"/>
          <w:color w:val="auto"/>
        </w:rPr>
      </w:pPr>
    </w:p>
    <w:p>
      <w:pPr>
        <w:ind w:right="80" w:firstLine="222"/>
        <w:spacing w:after="0" w:line="308" w:lineRule="auto"/>
        <w:rPr>
          <w:sz w:val="20"/>
          <w:szCs w:val="20"/>
          <w:color w:val="auto"/>
        </w:rPr>
      </w:pPr>
      <w:r>
        <w:rPr>
          <w:rFonts w:ascii="Arial" w:cs="Arial" w:eastAsia="Arial" w:hAnsi="Arial"/>
          <w:sz w:val="17"/>
          <w:szCs w:val="17"/>
          <w:color w:val="auto"/>
        </w:rPr>
        <w:t>To the fullest extent permitted by the General Corporation Law of the State of Delaware as the same exists or may hereafter be amended, a director of this corporation shall not be liable to this corporation or its stockholders for monetary damages for breach of fiduciary duty as a director.</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 ACTIONS BY WRITTEN CONSENT OF STOCKHOLDERS</w:t>
      </w:r>
    </w:p>
    <w:p>
      <w:pPr>
        <w:spacing w:after="0" w:line="103"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No action required to be taken or which may be taken at any annual or special meeting of stockholders of this corporation may be taken without a meeting, and the power of stockholders to consent in writing without a meeting to the taking of any action is specifically denied.</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POWER</w:t>
      </w:r>
    </w:p>
    <w:p>
      <w:pPr>
        <w:spacing w:after="0" w:line="103" w:lineRule="exact"/>
        <w:rPr>
          <w:sz w:val="20"/>
          <w:szCs w:val="20"/>
          <w:color w:val="auto"/>
        </w:rPr>
      </w:pPr>
    </w:p>
    <w:p>
      <w:pPr>
        <w:ind w:right="60" w:firstLine="222"/>
        <w:spacing w:after="0" w:line="342" w:lineRule="auto"/>
        <w:rPr>
          <w:sz w:val="20"/>
          <w:szCs w:val="20"/>
          <w:color w:val="auto"/>
        </w:rPr>
      </w:pPr>
      <w:r>
        <w:rPr>
          <w:rFonts w:ascii="Arial" w:cs="Arial" w:eastAsia="Arial" w:hAnsi="Arial"/>
          <w:sz w:val="16"/>
          <w:szCs w:val="16"/>
          <w:color w:val="auto"/>
        </w:rPr>
        <w:t>This corporation reserves the right to amend, alter, change or repeal any provision contained in this Amended and Restated Certificate of Incorporation, in the manner now or hereafter prescribed by statute, and all rights conferred on stockholders herein are granted subject to this reservation.</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CREDITOR COMPROMISE OR ARRANGEMENT</w:t>
      </w:r>
    </w:p>
    <w:p>
      <w:pPr>
        <w:spacing w:after="0" w:line="103"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7" w:name="page48"/>
    <w:bookmarkEnd w:id="47"/>
    <w:p>
      <w:pPr>
        <w:spacing w:after="0" w:line="291" w:lineRule="auto"/>
        <w:rPr>
          <w:sz w:val="20"/>
          <w:szCs w:val="20"/>
          <w:color w:val="auto"/>
        </w:rPr>
      </w:pPr>
      <w:r>
        <w:rPr>
          <w:rFonts w:ascii="Arial" w:cs="Arial" w:eastAsia="Arial" w:hAnsi="Arial"/>
          <w:sz w:val="16"/>
          <w:szCs w:val="16"/>
          <w:color w:val="auto"/>
        </w:rPr>
        <w:t>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936" w:right="27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10.1.3</w:t>
      </w:r>
    </w:p>
    <w:p>
      <w:pPr>
        <w:spacing w:after="0" w:line="33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WESTERN DIGITAL CORPORATION AMENDED AND RESTATED 2004 PERFORMANCE INCENTIVE PLAN NON-EMPLOYEE DIRECTOR OPTION GRANT PROGRAM</w:t>
      </w:r>
    </w:p>
    <w:p>
      <w:pPr>
        <w:spacing w:after="0" w:line="68" w:lineRule="exact"/>
        <w:rPr>
          <w:sz w:val="20"/>
          <w:szCs w:val="20"/>
          <w:color w:val="auto"/>
        </w:rPr>
      </w:pPr>
    </w:p>
    <w:p>
      <w:pPr>
        <w:ind w:right="60" w:firstLine="8"/>
        <w:spacing w:after="0" w:line="256" w:lineRule="auto"/>
        <w:tabs>
          <w:tab w:leader="none" w:pos="1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Establishment; Purpose</w:t>
      </w:r>
      <w:r>
        <w:rPr>
          <w:rFonts w:ascii="Arial" w:cs="Arial" w:eastAsia="Arial" w:hAnsi="Arial"/>
          <w:sz w:val="18"/>
          <w:szCs w:val="18"/>
          <w:color w:val="auto"/>
        </w:rPr>
        <w:t>. This Non-Employee Director Option Grant Program (this “</w:t>
      </w:r>
      <w:r>
        <w:rPr>
          <w:rFonts w:ascii="Arial" w:cs="Arial" w:eastAsia="Arial" w:hAnsi="Arial"/>
          <w:sz w:val="18"/>
          <w:szCs w:val="18"/>
          <w:b w:val="1"/>
          <w:bCs w:val="1"/>
          <w:color w:val="auto"/>
        </w:rPr>
        <w:t>Program</w:t>
      </w:r>
      <w:r>
        <w:rPr>
          <w:rFonts w:ascii="Arial" w:cs="Arial" w:eastAsia="Arial" w:hAnsi="Arial"/>
          <w:sz w:val="18"/>
          <w:szCs w:val="18"/>
          <w:color w:val="auto"/>
        </w:rPr>
        <w:t>”) is adopted under the Western Digital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2004 Performance Incentive Plan (the “</w:t>
      </w:r>
      <w:r>
        <w:rPr>
          <w:rFonts w:ascii="Arial" w:cs="Arial" w:eastAsia="Arial" w:hAnsi="Arial"/>
          <w:sz w:val="18"/>
          <w:szCs w:val="18"/>
          <w:b w:val="1"/>
          <w:bCs w:val="1"/>
          <w:color w:val="auto"/>
        </w:rPr>
        <w:t>Plan</w:t>
      </w:r>
      <w:r>
        <w:rPr>
          <w:rFonts w:ascii="Arial" w:cs="Arial" w:eastAsia="Arial" w:hAnsi="Arial"/>
          <w:sz w:val="18"/>
          <w:szCs w:val="18"/>
          <w:color w:val="auto"/>
        </w:rPr>
        <w:t>”). The purpose of this Program is to promote the success of the Corporation and the interests of its stockholders by providing members of the Board who are not officers or employees of the Corporation or one of its Subsidiaries (“</w:t>
      </w:r>
      <w:r>
        <w:rPr>
          <w:rFonts w:ascii="Arial" w:cs="Arial" w:eastAsia="Arial" w:hAnsi="Arial"/>
          <w:sz w:val="18"/>
          <w:szCs w:val="18"/>
          <w:b w:val="1"/>
          <w:bCs w:val="1"/>
          <w:color w:val="auto"/>
        </w:rPr>
        <w:t>Non-Employee Directors</w:t>
      </w:r>
      <w:r>
        <w:rPr>
          <w:rFonts w:ascii="Arial" w:cs="Arial" w:eastAsia="Arial" w:hAnsi="Arial"/>
          <w:sz w:val="18"/>
          <w:szCs w:val="18"/>
          <w:color w:val="auto"/>
        </w:rPr>
        <w:t>”) an opportunity to acquire an ownership interest in the Corporation and more closely aligning the interests of Non-Employee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and stockholders. Except as otherwise expressly provided herein, the provisions of the Plan shall govern all awards made pursuant to this Program. Capitalized terms are defined in the Plan if not defined herein.</w:t>
      </w:r>
    </w:p>
    <w:p>
      <w:pPr>
        <w:spacing w:after="0" w:line="79" w:lineRule="exact"/>
        <w:rPr>
          <w:rFonts w:ascii="Arial" w:cs="Arial" w:eastAsia="Arial" w:hAnsi="Arial"/>
          <w:sz w:val="18"/>
          <w:szCs w:val="18"/>
          <w:b w:val="1"/>
          <w:bCs w:val="1"/>
          <w:color w:val="auto"/>
        </w:rPr>
      </w:pPr>
    </w:p>
    <w:p>
      <w:pPr>
        <w:ind w:right="320" w:firstLine="8"/>
        <w:spacing w:after="0" w:line="282" w:lineRule="auto"/>
        <w:tabs>
          <w:tab w:leader="none" w:pos="1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Participation</w:t>
      </w:r>
      <w:r>
        <w:rPr>
          <w:rFonts w:ascii="Arial" w:cs="Arial" w:eastAsia="Arial" w:hAnsi="Arial"/>
          <w:sz w:val="18"/>
          <w:szCs w:val="18"/>
          <w:color w:val="auto"/>
        </w:rPr>
        <w:t>. Awards under this Program shall be made only to Non-Employee Directors, shall be evidenced by award agreements substantially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form of Exhibit 1 hereto and shall be further subject to such other terms and conditions set forth therein.</w:t>
      </w:r>
    </w:p>
    <w:p>
      <w:pPr>
        <w:spacing w:after="0" w:line="53" w:lineRule="exact"/>
        <w:rPr>
          <w:rFonts w:ascii="Arial" w:cs="Arial" w:eastAsia="Arial" w:hAnsi="Arial"/>
          <w:sz w:val="18"/>
          <w:szCs w:val="18"/>
          <w:b w:val="1"/>
          <w:bCs w:val="1"/>
          <w:color w:val="auto"/>
        </w:rPr>
      </w:pPr>
    </w:p>
    <w:p>
      <w:pPr>
        <w:ind w:left="180" w:hanging="172"/>
        <w:spacing w:after="0"/>
        <w:tabs>
          <w:tab w:leader="none" w:pos="1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Grants</w:t>
      </w:r>
      <w:r>
        <w:rPr>
          <w:rFonts w:ascii="Arial" w:cs="Arial" w:eastAsia="Arial" w:hAnsi="Arial"/>
          <w:sz w:val="18"/>
          <w:szCs w:val="18"/>
          <w:color w:val="auto"/>
        </w:rPr>
        <w:t>.</w:t>
      </w:r>
    </w:p>
    <w:p>
      <w:pPr>
        <w:spacing w:after="0" w:line="117" w:lineRule="exact"/>
        <w:rPr>
          <w:sz w:val="20"/>
          <w:szCs w:val="20"/>
          <w:color w:val="auto"/>
        </w:rPr>
      </w:pPr>
    </w:p>
    <w:p>
      <w:pPr>
        <w:ind w:left="360" w:right="20"/>
        <w:spacing w:after="0" w:line="295"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i w:val="1"/>
          <w:iCs w:val="1"/>
          <w:color w:val="auto"/>
        </w:rPr>
        <w:t>Initial Award for New Directors</w:t>
      </w:r>
      <w:r>
        <w:rPr>
          <w:rFonts w:ascii="Arial" w:cs="Arial" w:eastAsia="Arial" w:hAnsi="Arial"/>
          <w:sz w:val="16"/>
          <w:szCs w:val="16"/>
          <w:color w:val="auto"/>
        </w:rPr>
        <w:t>. Upon first being appointed or elected to the Board and subject to approval by the Board, a Non-Employee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who has not previously served on the Board shall be granted a nonqualified stock option to purchase a number of shares of Common Stock that produces an approximate value for the option grant equal to $300,000 (using a Black-Scholes valuation as of the time of grant as determined in consultation with Company Management); provided, however, that the Board, in its discretion, may increase or decrease the number of shares of Common Stock subject to the stock option. The date of grant of each such stock option will be the date on which such stock option is approved by the Board, which date shall coincide to the extent practicable with the date such Non-Employee Director is first appointed or elected to the Board.</w:t>
      </w:r>
    </w:p>
    <w:p>
      <w:pPr>
        <w:spacing w:after="0" w:line="48" w:lineRule="exact"/>
        <w:rPr>
          <w:sz w:val="20"/>
          <w:szCs w:val="20"/>
          <w:color w:val="auto"/>
        </w:rPr>
      </w:pPr>
    </w:p>
    <w:p>
      <w:pPr>
        <w:ind w:left="360"/>
        <w:spacing w:after="0" w:line="291"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i w:val="1"/>
          <w:iCs w:val="1"/>
          <w:color w:val="auto"/>
        </w:rPr>
        <w:t>Subsequent Awards</w:t>
      </w:r>
      <w:r>
        <w:rPr>
          <w:rFonts w:ascii="Arial" w:cs="Arial" w:eastAsia="Arial" w:hAnsi="Arial"/>
          <w:sz w:val="16"/>
          <w:szCs w:val="16"/>
          <w:color w:val="auto"/>
        </w:rPr>
        <w:t>. Immediately following the Corporation’s regular annual meeting of stockholders in each year during the term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commencing in 2005 and subject to approval by the Board, each Non-Employee Director then in office shall be granted a nonqualified stock option to purchase a number of shares of Common Stock that produces an approximate value for the option grant equal to $100,000 (using a Black-Scholes valuation as of the time of grant as determined in consultation with Company Management); provided, however, that the Board, in its discretion, may increase or decrease the number of shares of Common Stock subject to the stock option. The date of grant of each such stock option will be the date on which such stock option is approved by the Board, which date shall coincide to the extent practicable with the date of the annual meeting of stockholders. An individual who was previously a member of the Board, who then ceased to be a member of the Board for any reason, and who then again becomes a Non-Employee Director shall thereupon again become eligible to be granted stock options under this Section 3.2.</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9" w:name="page50"/>
    <w:bookmarkEnd w:id="49"/>
    <w:p>
      <w:pPr>
        <w:ind w:left="352"/>
        <w:spacing w:after="0" w:line="256"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i w:val="1"/>
          <w:iCs w:val="1"/>
          <w:color w:val="auto"/>
        </w:rPr>
        <w:t>Option Price</w:t>
      </w:r>
      <w:r>
        <w:rPr>
          <w:rFonts w:ascii="Arial" w:cs="Arial" w:eastAsia="Arial" w:hAnsi="Arial"/>
          <w:sz w:val="18"/>
          <w:szCs w:val="18"/>
          <w:color w:val="auto"/>
        </w:rPr>
        <w:t>. The purchase price per share of the Common Stock covered by each option granted pursuant to this Section 3 shall be 100 percent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Fair Market Value of a share of Common Stock on the date of grant of the option (the “</w:t>
      </w:r>
      <w:r>
        <w:rPr>
          <w:rFonts w:ascii="Arial" w:cs="Arial" w:eastAsia="Arial" w:hAnsi="Arial"/>
          <w:sz w:val="18"/>
          <w:szCs w:val="18"/>
          <w:b w:val="1"/>
          <w:bCs w:val="1"/>
          <w:color w:val="auto"/>
        </w:rPr>
        <w:t>Award Date</w:t>
      </w:r>
      <w:r>
        <w:rPr>
          <w:rFonts w:ascii="Arial" w:cs="Arial" w:eastAsia="Arial" w:hAnsi="Arial"/>
          <w:sz w:val="18"/>
          <w:szCs w:val="18"/>
          <w:color w:val="auto"/>
        </w:rPr>
        <w:t>”). The exercise price of any option granted under this Section 3 shall be paid in full at the time of each purchase in cash or by check, in shares of Common Stock valued at their fair market value on the date of exercise of the option, or partly in such shares and partly in cash, or in any other manner authorized by the Administrator pursuant to Section 5.5 of the Plan; provided that any shares used in payment shall have been owned by the Non-Employee Director for at least six months prior to the date of exercise.</w:t>
      </w:r>
    </w:p>
    <w:p>
      <w:pPr>
        <w:spacing w:after="0" w:line="80" w:lineRule="exact"/>
        <w:rPr>
          <w:sz w:val="20"/>
          <w:szCs w:val="20"/>
          <w:color w:val="auto"/>
        </w:rPr>
      </w:pPr>
    </w:p>
    <w:p>
      <w:pPr>
        <w:jc w:val="both"/>
        <w:ind w:left="352" w:right="160"/>
        <w:spacing w:after="0" w:line="347" w:lineRule="auto"/>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b w:val="1"/>
          <w:bCs w:val="1"/>
          <w:i w:val="1"/>
          <w:iCs w:val="1"/>
          <w:color w:val="auto"/>
        </w:rPr>
        <w:t>Transfer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granted pursuant to this Section 3 shall be subject to the transfer restrictions set forth in Section 5.7 of the Plan. For</w:t>
      </w:r>
      <w:r>
        <w:rPr>
          <w:rFonts w:ascii="Arial" w:cs="Arial" w:eastAsia="Arial" w:hAnsi="Arial"/>
          <w:sz w:val="16"/>
          <w:szCs w:val="16"/>
          <w:b w:val="1"/>
          <w:bCs w:val="1"/>
          <w:color w:val="auto"/>
        </w:rPr>
        <w:t xml:space="preserve"> </w:t>
      </w:r>
      <w:r>
        <w:rPr>
          <w:rFonts w:ascii="Arial" w:cs="Arial" w:eastAsia="Arial" w:hAnsi="Arial"/>
          <w:sz w:val="16"/>
          <w:szCs w:val="16"/>
          <w:color w:val="auto"/>
        </w:rPr>
        <w:t>purposes of clarity, the Administrator has not approved any transfer exceptions with respect to the options in accordance with Section 5.7.2 of the Plan.</w:t>
      </w:r>
    </w:p>
    <w:p>
      <w:pPr>
        <w:spacing w:after="0" w:line="8" w:lineRule="exact"/>
        <w:rPr>
          <w:sz w:val="20"/>
          <w:szCs w:val="20"/>
          <w:color w:val="auto"/>
        </w:rPr>
      </w:pPr>
    </w:p>
    <w:p>
      <w:pPr>
        <w:jc w:val="both"/>
        <w:ind w:left="-8" w:right="80" w:firstLine="8"/>
        <w:spacing w:after="0" w:line="258" w:lineRule="auto"/>
        <w:tabs>
          <w:tab w:leader="none" w:pos="17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Period and Exercisability</w:t>
      </w:r>
      <w:r>
        <w:rPr>
          <w:rFonts w:ascii="Arial" w:cs="Arial" w:eastAsia="Arial" w:hAnsi="Arial"/>
          <w:sz w:val="18"/>
          <w:szCs w:val="18"/>
          <w:color w:val="auto"/>
        </w:rPr>
        <w:t>. Each option granted under Section 3 above and all rights or obligations under this Program with respect to a particular</w:t>
      </w:r>
      <w:r>
        <w:rPr>
          <w:rFonts w:ascii="Arial" w:cs="Arial" w:eastAsia="Arial" w:hAnsi="Arial"/>
          <w:sz w:val="18"/>
          <w:szCs w:val="18"/>
          <w:b w:val="1"/>
          <w:bCs w:val="1"/>
          <w:color w:val="auto"/>
        </w:rPr>
        <w:t xml:space="preserve"> </w:t>
      </w:r>
      <w:r>
        <w:rPr>
          <w:rFonts w:ascii="Arial" w:cs="Arial" w:eastAsia="Arial" w:hAnsi="Arial"/>
          <w:sz w:val="18"/>
          <w:szCs w:val="18"/>
          <w:color w:val="auto"/>
        </w:rPr>
        <w:t>option shall expire ten years after the date of grant of such option and shall be subject to earlier termination as provided below. Subject to Sections 5, 6 and 7 hereof, each option granted under Section 3 shall become exercisable as to 25% of the total number of shares subject thereto on the first anniversary of the date of grant of the option and as to an additional 6.25% of the total number of shares subject thereto at the end of each of the next 12 three-month periods thereafter.</w:t>
      </w:r>
    </w:p>
    <w:p>
      <w:pPr>
        <w:spacing w:after="0" w:line="75" w:lineRule="exact"/>
        <w:rPr>
          <w:rFonts w:ascii="Arial" w:cs="Arial" w:eastAsia="Arial" w:hAnsi="Arial"/>
          <w:sz w:val="18"/>
          <w:szCs w:val="18"/>
          <w:b w:val="1"/>
          <w:bCs w:val="1"/>
          <w:color w:val="auto"/>
        </w:rPr>
      </w:pPr>
    </w:p>
    <w:p>
      <w:pPr>
        <w:ind w:left="-8" w:right="20" w:firstLine="8"/>
        <w:spacing w:after="0" w:line="261" w:lineRule="auto"/>
        <w:tabs>
          <w:tab w:leader="none" w:pos="17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Directorship</w:t>
      </w:r>
      <w:r>
        <w:rPr>
          <w:rFonts w:ascii="Arial" w:cs="Arial" w:eastAsia="Arial" w:hAnsi="Arial"/>
          <w:sz w:val="18"/>
          <w:szCs w:val="18"/>
          <w:color w:val="auto"/>
        </w:rPr>
        <w:t>. Subject to the maximum ten-year term of the option and subject to earlier termination pursuant to Section 7 below, if a Non-Employee Director ceases to be a member of the Board for any reason, the following rules shall apply with respect to any option granted to the Non-Employee Director pursuant to Section 3 above (the last day that the Director is a member of the Board is, except as otherwise provided below, referred to as the Director’s “</w:t>
      </w:r>
      <w:r>
        <w:rPr>
          <w:rFonts w:ascii="Arial" w:cs="Arial" w:eastAsia="Arial" w:hAnsi="Arial"/>
          <w:sz w:val="18"/>
          <w:szCs w:val="18"/>
          <w:b w:val="1"/>
          <w:bCs w:val="1"/>
          <w:color w:val="auto"/>
        </w:rPr>
        <w:t>Severance Date</w:t>
      </w:r>
      <w:r>
        <w:rPr>
          <w:rFonts w:ascii="Arial" w:cs="Arial" w:eastAsia="Arial" w:hAnsi="Arial"/>
          <w:sz w:val="18"/>
          <w:szCs w:val="18"/>
          <w:color w:val="auto"/>
        </w:rPr>
        <w:t>”):</w:t>
      </w:r>
    </w:p>
    <w:p>
      <w:pPr>
        <w:spacing w:after="0" w:line="75" w:lineRule="exact"/>
        <w:rPr>
          <w:rFonts w:ascii="Arial" w:cs="Arial" w:eastAsia="Arial" w:hAnsi="Arial"/>
          <w:sz w:val="18"/>
          <w:szCs w:val="18"/>
          <w:b w:val="1"/>
          <w:bCs w:val="1"/>
          <w:color w:val="auto"/>
        </w:rPr>
      </w:pPr>
    </w:p>
    <w:p>
      <w:pPr>
        <w:ind w:left="652" w:right="40" w:hanging="436"/>
        <w:spacing w:after="0" w:line="302" w:lineRule="auto"/>
        <w:tabs>
          <w:tab w:leader="none" w:pos="652" w:val="left"/>
        </w:tabs>
        <w:numPr>
          <w:ilvl w:val="1"/>
          <w:numId w:val="28"/>
        </w:numPr>
        <w:rPr>
          <w:rFonts w:ascii="Arial" w:cs="Arial" w:eastAsia="Arial" w:hAnsi="Arial"/>
          <w:sz w:val="16"/>
          <w:szCs w:val="16"/>
          <w:b w:val="1"/>
          <w:bCs w:val="1"/>
          <w:color w:val="auto"/>
        </w:rPr>
      </w:pPr>
      <w:r>
        <w:rPr>
          <w:rFonts w:ascii="Arial" w:cs="Arial" w:eastAsia="Arial" w:hAnsi="Arial"/>
          <w:sz w:val="16"/>
          <w:szCs w:val="16"/>
          <w:color w:val="auto"/>
        </w:rPr>
        <w:t>other than as expressly provided below in this Section 5, (a) the Non-Employee Director will have until the date that is one (1) year after his or her Severance Date to exercise such option (or portion thereof) to the extent that it was vested on the Severance Date, (b) such option, to the extent not vested on the Severance Date, shall terminate on the Severance Date, and (c) such option, to the extent exercisable for the one-year period following the Severance Date and not exercised during such period, shall terminate at the close of business on the last day of the one-year period;</w:t>
      </w:r>
    </w:p>
    <w:p>
      <w:pPr>
        <w:spacing w:after="0" w:line="59" w:lineRule="exact"/>
        <w:rPr>
          <w:rFonts w:ascii="Arial" w:cs="Arial" w:eastAsia="Arial" w:hAnsi="Arial"/>
          <w:sz w:val="16"/>
          <w:szCs w:val="16"/>
          <w:b w:val="1"/>
          <w:bCs w:val="1"/>
          <w:color w:val="auto"/>
        </w:rPr>
      </w:pPr>
    </w:p>
    <w:p>
      <w:pPr>
        <w:ind w:left="652" w:hanging="436"/>
        <w:spacing w:after="0" w:line="257" w:lineRule="auto"/>
        <w:tabs>
          <w:tab w:leader="none" w:pos="652" w:val="left"/>
        </w:tabs>
        <w:numPr>
          <w:ilvl w:val="1"/>
          <w:numId w:val="28"/>
        </w:numPr>
        <w:rPr>
          <w:rFonts w:ascii="Arial" w:cs="Arial" w:eastAsia="Arial" w:hAnsi="Arial"/>
          <w:sz w:val="18"/>
          <w:szCs w:val="18"/>
          <w:b w:val="1"/>
          <w:bCs w:val="1"/>
          <w:color w:val="auto"/>
        </w:rPr>
      </w:pPr>
      <w:r>
        <w:rPr>
          <w:rFonts w:ascii="Arial" w:cs="Arial" w:eastAsia="Arial" w:hAnsi="Arial"/>
          <w:sz w:val="18"/>
          <w:szCs w:val="18"/>
          <w:color w:val="auto"/>
        </w:rPr>
        <w:t>if the Non-Employee Director ceases to be a member of the Board due to his or her Retirement (as defined below), (a) the Non-Employee Director will have until the date that is three (3) years after his or her Severance Date to exercise such option, (b) such option, to the extent not otherwise vested on the Severance Date, shall automatically become fully vested as of the Severance Date, and (c) such option, to the extent exercisable for the three-year period following the Severance Date and not exercised during such period, shall terminate at the close of business on the last day of the three-year period;</w:t>
      </w:r>
    </w:p>
    <w:p>
      <w:pPr>
        <w:spacing w:after="0" w:line="16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1" w:right="259" w:bottom="1440" w:gutter="0" w:footer="0" w:header="0"/>
        </w:sectPr>
      </w:pPr>
    </w:p>
    <w:bookmarkStart w:id="50" w:name="page51"/>
    <w:bookmarkEnd w:id="50"/>
    <w:p>
      <w:pPr>
        <w:ind w:right="20"/>
        <w:spacing w:after="0" w:line="276" w:lineRule="auto"/>
        <w:rPr>
          <w:sz w:val="20"/>
          <w:szCs w:val="20"/>
          <w:color w:val="auto"/>
        </w:rPr>
      </w:pPr>
      <w:r>
        <w:rPr>
          <w:rFonts w:ascii="Arial" w:cs="Arial" w:eastAsia="Arial" w:hAnsi="Arial"/>
          <w:sz w:val="17"/>
          <w:szCs w:val="17"/>
          <w:color w:val="auto"/>
        </w:rPr>
        <w:t>provided, however, that if the Board determines that any such Non-Employee Director who has Retired renders services as an employee, director, consultant, contractor or otherwise to a competitor of the Corporation or one of its Subsidiaries at any time during such three-year period, then any such option shall immediately terminate to the extent not exercised as of the date the Board makes such determination. In addition, in such event the Corporation shall have the right to recover any profits realized by such Retired Non-Employee Director as a result of any exercise of such option during the six-month period prior to the date such Non-Employee Director commenced providing such services to a competitor.</w:t>
      </w:r>
    </w:p>
    <w:p>
      <w:pPr>
        <w:spacing w:after="0" w:line="60" w:lineRule="exact"/>
        <w:rPr>
          <w:sz w:val="20"/>
          <w:szCs w:val="20"/>
          <w:color w:val="auto"/>
        </w:rPr>
      </w:pPr>
    </w:p>
    <w:p>
      <w:pPr>
        <w:ind w:right="180" w:firstLine="225"/>
        <w:spacing w:after="0" w:line="266" w:lineRule="auto"/>
        <w:rPr>
          <w:sz w:val="20"/>
          <w:szCs w:val="20"/>
          <w:color w:val="auto"/>
        </w:rPr>
      </w:pPr>
      <w:r>
        <w:rPr>
          <w:rFonts w:ascii="Arial" w:cs="Arial" w:eastAsia="Arial" w:hAnsi="Arial"/>
          <w:sz w:val="18"/>
          <w:szCs w:val="18"/>
          <w:color w:val="auto"/>
        </w:rPr>
        <w:t>For purposes of this Section 5, the term “</w:t>
      </w:r>
      <w:r>
        <w:rPr>
          <w:rFonts w:ascii="Arial" w:cs="Arial" w:eastAsia="Arial" w:hAnsi="Arial"/>
          <w:sz w:val="18"/>
          <w:szCs w:val="18"/>
          <w:b w:val="1"/>
          <w:bCs w:val="1"/>
          <w:color w:val="auto"/>
        </w:rPr>
        <w:t>Retirement</w:t>
      </w:r>
      <w:r>
        <w:rPr>
          <w:rFonts w:ascii="Arial" w:cs="Arial" w:eastAsia="Arial" w:hAnsi="Arial"/>
          <w:sz w:val="18"/>
          <w:szCs w:val="18"/>
          <w:color w:val="auto"/>
        </w:rPr>
        <w:t>” (which term shall include “Retired”) shall mean the cessation of a director’s services as a member of the Board due to his or her voluntary resignation at any time after such director has served as a member of the Board for at least forty-eight (48) months and has attained at least age 55.</w:t>
      </w:r>
    </w:p>
    <w:p>
      <w:pPr>
        <w:spacing w:after="0" w:line="7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Notwithstanding any other provision of this Section 5, if a Non-Employee Director ceases to be a member of the Board (regardless of the reason) but, immediately thereafter, is employed by the Corporation or one of its Subsidiaries, such director’s Severance Date shall not be the date the director ceases to be a member of the Board but instead shall be the last day that the director is either or both (1) a member of the Board and/or (2) employed by the Corporation or a Subsidiary.</w:t>
      </w:r>
    </w:p>
    <w:p>
      <w:pPr>
        <w:spacing w:after="0" w:line="75" w:lineRule="exact"/>
        <w:rPr>
          <w:sz w:val="20"/>
          <w:szCs w:val="20"/>
          <w:color w:val="auto"/>
        </w:rPr>
      </w:pPr>
    </w:p>
    <w:p>
      <w:pPr>
        <w:ind w:right="140" w:firstLine="8"/>
        <w:spacing w:after="0" w:line="298" w:lineRule="auto"/>
        <w:tabs>
          <w:tab w:leader="none" w:pos="18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Adjustments</w:t>
      </w:r>
      <w:r>
        <w:rPr>
          <w:rFonts w:ascii="Arial" w:cs="Arial" w:eastAsia="Arial" w:hAnsi="Arial"/>
          <w:sz w:val="16"/>
          <w:szCs w:val="16"/>
          <w:color w:val="auto"/>
        </w:rPr>
        <w:t>. Options granted under this Program shall be subject to adjustment as provided in Section 7.1 of the Plan, but only to the extent that such</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 is consistent with adjustments to options held by persons other than executive officers or directors of the Corporation (to the extent that persons other than executive officers or directors of the Corporation then hold options). The grant levels reflected in Section 3 above shall be automatically adjusted upon the record date for any stock split, reverse stock split, or stock dividend to give effect to such change in capitalization unless otherwise provided by the Board in the circumstances, and may be adjusted in the discretion of the Board in any other circumstances contemplated by Section 7.1.</w:t>
      </w:r>
    </w:p>
    <w:p>
      <w:pPr>
        <w:spacing w:after="0" w:line="46" w:lineRule="exact"/>
        <w:rPr>
          <w:rFonts w:ascii="Arial" w:cs="Arial" w:eastAsia="Arial" w:hAnsi="Arial"/>
          <w:sz w:val="16"/>
          <w:szCs w:val="16"/>
          <w:b w:val="1"/>
          <w:bCs w:val="1"/>
          <w:color w:val="auto"/>
        </w:rPr>
      </w:pPr>
    </w:p>
    <w:p>
      <w:pPr>
        <w:ind w:right="20" w:firstLine="8"/>
        <w:spacing w:after="0" w:line="272" w:lineRule="auto"/>
        <w:tabs>
          <w:tab w:leader="none" w:pos="18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Acceleration and Possible Early Termination</w:t>
      </w:r>
      <w:r>
        <w:rPr>
          <w:rFonts w:ascii="Arial" w:cs="Arial" w:eastAsia="Arial" w:hAnsi="Arial"/>
          <w:sz w:val="17"/>
          <w:szCs w:val="17"/>
          <w:color w:val="auto"/>
        </w:rPr>
        <w:t>. If a Change in Control Event (as such term is defined in the Plan) occurs and in connection with such</w:t>
      </w:r>
      <w:r>
        <w:rPr>
          <w:rFonts w:ascii="Arial" w:cs="Arial" w:eastAsia="Arial" w:hAnsi="Arial"/>
          <w:sz w:val="17"/>
          <w:szCs w:val="17"/>
          <w:b w:val="1"/>
          <w:bCs w:val="1"/>
          <w:color w:val="auto"/>
        </w:rPr>
        <w:t xml:space="preserve"> </w:t>
      </w:r>
      <w:r>
        <w:rPr>
          <w:rFonts w:ascii="Arial" w:cs="Arial" w:eastAsia="Arial" w:hAnsi="Arial"/>
          <w:sz w:val="17"/>
          <w:szCs w:val="17"/>
          <w:color w:val="auto"/>
        </w:rPr>
        <w:t>Change in Control Event a Non-Employee Director ceases to be a member of the Board, each option granted under Section 3 above to such Non-Employee Director, to the extent such option is then outstanding, shall become immediately exercisable and vested in full. For purposes of this Section 7, but without limitation, a director will be deemed to have ceased to be a member of the Board in connection with a Change in Control Event if such director (a) is removed by or resigns upon the request of any Person exercising practical voting control over the Corporation following such Change in Control Event or a person acting upon authority or at the instruction of such Person, or (b) is willing or able to continue as a member of the Board but is not re-elected to or retained as a member of the Board by the Corporation’s stockholders at the stockholder vote or consent action for the election of directors that precedes and is taken in connection with, or next follows, such Change in Control Event.</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Each option granted under this Program shall be subject to adjustment and termination pursuant to Section 7 of the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51" w:name="page52"/>
    <w:bookmarkEnd w:id="51"/>
    <w:p>
      <w:pPr>
        <w:ind w:firstLine="8"/>
        <w:spacing w:after="0" w:line="272" w:lineRule="auto"/>
        <w:tabs>
          <w:tab w:leader="none" w:pos="18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Maximum Number of Shares; Amendment; Administration</w:t>
      </w:r>
      <w:r>
        <w:rPr>
          <w:rFonts w:ascii="Arial" w:cs="Arial" w:eastAsia="Arial" w:hAnsi="Arial"/>
          <w:sz w:val="17"/>
          <w:szCs w:val="17"/>
          <w:color w:val="auto"/>
        </w:rPr>
        <w:t>. If option grants otherwise required pursuant to this Program would otherwise exceed any</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share limit under Section 4.2 of the Plan, such grants shall be made pro-rata to directors entitled to such grants. The Board may from time to time amend this Program without stockholder approval; provided that no such amendment shall materially and adversely affect the rights of a Non-Employee Director as to an option granted under this Program before the adoption of such amendment. This Program does not limit the Board’s authority to make other, discretionary award grants to Non-Employee Directors pursuant to the Plan. The Plan Administrator’s power and authority to construe and interpret the Plan and awards thereunder pursuant to Section 3.1 of the Plan shall extend to this Program and awards granted hereunder. As provided in Section 3.2 of the Plan, any action taken by, or inaction of, the Administrator relating or pursuant to this Program and within its authority or under applicable law shall be within the absolute discretion of that entity or body and shall be conclusive and binding upon all persons.</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amended (Sections 3.1 and 3.2) and restated November 17, 2005</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52" w:name="page53"/>
    <w:bookmarkEnd w:id="52"/>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875030" cy="2489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875030" cy="24892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Corporation 20511 Lake Forest Drive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Lake Forest, California 92630 Telephone 949-672-7000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Grant Of Stock Option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Option Agreement — Non-Employee Directors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«fn» «mn» «ln»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«cty», «st» «z»</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Western Digital Corporation (the “Corporation”) has granted to you (the “Participant”), effective on the Date of Grant set forth below, a nonqualified option to purchase shares of the Corporation’s Common Stock (the “Option”) as follows:</w:t>
      </w:r>
    </w:p>
    <w:p>
      <w:pPr>
        <w:spacing w:after="0" w:line="170" w:lineRule="exact"/>
        <w:rPr>
          <w:sz w:val="20"/>
          <w:szCs w:val="20"/>
          <w:color w:val="auto"/>
        </w:rPr>
      </w:pPr>
    </w:p>
    <w:tbl>
      <w:tblPr>
        <w:tblLayout w:type="fixed"/>
        <w:tblInd w:w="232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Grant Number</w:t>
            </w:r>
          </w:p>
        </w:tc>
        <w:tc>
          <w:tcPr>
            <w:tcW w:w="2580" w:type="dxa"/>
            <w:vAlign w:val="bottom"/>
          </w:tcPr>
          <w:p>
            <w:pPr>
              <w:ind w:left="1840"/>
              <w:spacing w:after="0"/>
              <w:rPr>
                <w:sz w:val="20"/>
                <w:szCs w:val="20"/>
                <w:color w:val="auto"/>
              </w:rPr>
            </w:pPr>
            <w:r>
              <w:rPr>
                <w:rFonts w:ascii="Arial" w:cs="Arial" w:eastAsia="Arial" w:hAnsi="Arial"/>
                <w:sz w:val="18"/>
                <w:szCs w:val="18"/>
                <w:color w:val="auto"/>
              </w:rPr>
              <w:t>«nbr»</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Date of Grant</w:t>
            </w:r>
          </w:p>
        </w:tc>
        <w:tc>
          <w:tcPr>
            <w:tcW w:w="2580" w:type="dxa"/>
            <w:vAlign w:val="bottom"/>
          </w:tcPr>
          <w:p>
            <w:pPr>
              <w:ind w:left="1840"/>
              <w:spacing w:after="0"/>
              <w:rPr>
                <w:sz w:val="20"/>
                <w:szCs w:val="20"/>
                <w:color w:val="auto"/>
              </w:rPr>
            </w:pPr>
            <w:r>
              <w:rPr>
                <w:rFonts w:ascii="Arial" w:cs="Arial" w:eastAsia="Arial" w:hAnsi="Arial"/>
                <w:sz w:val="18"/>
                <w:szCs w:val="18"/>
                <w:color w:val="auto"/>
              </w:rPr>
              <w:t>«optdt»</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 xml:space="preserve">Option Price per Share </w:t>
            </w:r>
            <w:r>
              <w:rPr>
                <w:rFonts w:ascii="Arial" w:cs="Arial" w:eastAsia="Arial" w:hAnsi="Arial"/>
                <w:sz w:val="15"/>
                <w:szCs w:val="15"/>
                <w:color w:val="auto"/>
              </w:rPr>
              <w:t>1</w:t>
            </w:r>
          </w:p>
        </w:tc>
        <w:tc>
          <w:tcPr>
            <w:tcW w:w="2580" w:type="dxa"/>
            <w:vAlign w:val="bottom"/>
          </w:tcPr>
          <w:p>
            <w:pPr>
              <w:ind w:left="1840"/>
              <w:spacing w:after="0"/>
              <w:rPr>
                <w:sz w:val="20"/>
                <w:szCs w:val="20"/>
                <w:color w:val="auto"/>
              </w:rPr>
            </w:pPr>
            <w:r>
              <w:rPr>
                <w:rFonts w:ascii="Arial" w:cs="Arial" w:eastAsia="Arial" w:hAnsi="Arial"/>
                <w:sz w:val="18"/>
                <w:szCs w:val="18"/>
                <w:color w:val="auto"/>
                <w:w w:val="89"/>
              </w:rPr>
              <w:t>$«optprc»</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Number of Shares Granted</w:t>
            </w:r>
            <w:r>
              <w:rPr>
                <w:rFonts w:ascii="Arial" w:cs="Arial" w:eastAsia="Arial" w:hAnsi="Arial"/>
                <w:sz w:val="15"/>
                <w:szCs w:val="15"/>
                <w:color w:val="auto"/>
              </w:rPr>
              <w:t>1</w:t>
            </w:r>
          </w:p>
        </w:tc>
        <w:tc>
          <w:tcPr>
            <w:tcW w:w="2580" w:type="dxa"/>
            <w:vAlign w:val="bottom"/>
          </w:tcPr>
          <w:p>
            <w:pPr>
              <w:ind w:left="1840"/>
              <w:spacing w:after="0"/>
              <w:rPr>
                <w:sz w:val="20"/>
                <w:szCs w:val="20"/>
                <w:color w:val="auto"/>
              </w:rPr>
            </w:pPr>
            <w:r>
              <w:rPr>
                <w:rFonts w:ascii="Arial" w:cs="Arial" w:eastAsia="Arial" w:hAnsi="Arial"/>
                <w:sz w:val="18"/>
                <w:szCs w:val="18"/>
                <w:color w:val="auto"/>
              </w:rPr>
              <w:t>«shgtd»</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Expiration Date</w:t>
            </w:r>
            <w:r>
              <w:rPr>
                <w:rFonts w:ascii="Arial" w:cs="Arial" w:eastAsia="Arial" w:hAnsi="Arial"/>
                <w:sz w:val="15"/>
                <w:szCs w:val="15"/>
                <w:color w:val="auto"/>
              </w:rPr>
              <w:t>2</w:t>
            </w:r>
          </w:p>
        </w:tc>
        <w:tc>
          <w:tcPr>
            <w:tcW w:w="2580" w:type="dxa"/>
            <w:vAlign w:val="bottom"/>
          </w:tcPr>
          <w:p>
            <w:pPr>
              <w:spacing w:after="0"/>
              <w:rPr>
                <w:sz w:val="20"/>
                <w:szCs w:val="20"/>
                <w:color w:val="auto"/>
              </w:rPr>
            </w:pPr>
          </w:p>
        </w:tc>
      </w:tr>
    </w:tbl>
    <w:p>
      <w:pPr>
        <w:spacing w:after="0" w:line="94" w:lineRule="exact"/>
        <w:rPr>
          <w:sz w:val="20"/>
          <w:szCs w:val="20"/>
          <w:color w:val="auto"/>
        </w:rPr>
      </w:pPr>
    </w:p>
    <w:p>
      <w:pPr>
        <w:ind w:right="40" w:firstLine="8"/>
        <w:spacing w:after="0" w:line="273" w:lineRule="auto"/>
        <w:tabs>
          <w:tab w:leader="none" w:pos="180" w:val="left"/>
        </w:tabs>
        <w:numPr>
          <w:ilvl w:val="0"/>
          <w:numId w:val="3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Option Subject to Amended and Restated 2004 Performance Incentive Plan. </w:t>
      </w:r>
      <w:r>
        <w:rPr>
          <w:rFonts w:ascii="Arial" w:cs="Arial" w:eastAsia="Arial" w:hAnsi="Arial"/>
          <w:sz w:val="17"/>
          <w:szCs w:val="17"/>
          <w:color w:val="auto"/>
        </w:rPr>
        <w:t>The Option was granted pursuant to the Non-Employee Director Option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 Program (the “Program”), adopted under the Western Digital Corporation Amended and Restated 2004 Performance Incentive Plan (the “Plan”). The Option is subject to the terms and conditions of this Notice, the Program and the Plan. By accepting the Option, you are agreeing to the terms of the Option as set forth in these documents. A copy of each of these documents has been provided to you. If you need another copy of any of these documents, or if you would like to confirm that you have the most recent version, you may obtain another copy in the Company Library on the E*TRADE Stock Plans web site. The documents are also available on the Western Digital Intranet site under Legal.</w:t>
      </w:r>
    </w:p>
    <w:p>
      <w:pPr>
        <w:spacing w:after="0" w:line="7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You should read the Program, the Plan, the Prospectus for the Plan and this Notice. The Program and the Plan are each incorporated into (made a part of) this Notice by this reference. To the extent any information in this Notice, the Prospectus for the Plan, or other information provided by the Corporation conflicts with the Program and/or the Plan, the Program or the Plan, as applicable, shall control. Capitalized terms not defined herein have the meanings set forth in the Plan.</w:t>
      </w:r>
    </w:p>
    <w:p>
      <w:pPr>
        <w:spacing w:after="0" w:line="7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You do not have to accept the Option. If you do not agree to the terms of the Option, you should promptly return this Notice to the Western Digital Corporation Stock Plans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036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3" w:lineRule="exact"/>
        <w:rPr>
          <w:sz w:val="20"/>
          <w:szCs w:val="20"/>
          <w:color w:val="auto"/>
        </w:rPr>
      </w:pPr>
    </w:p>
    <w:p>
      <w:pPr>
        <w:ind w:left="460" w:right="80" w:hanging="452"/>
        <w:spacing w:after="0" w:line="277"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8"/>
          <w:szCs w:val="18"/>
          <w:color w:val="auto"/>
        </w:rPr>
        <w:t>The number of shares subject to the Option and the per-share exercise price of the Option are subject to adjustment under Section 6 of the Program and Section 7.1 of the Plan (for example, and without limitation, in connection with stock splits).</w:t>
      </w:r>
    </w:p>
    <w:p>
      <w:pPr>
        <w:spacing w:after="0" w:line="22"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5"/>
          <w:szCs w:val="15"/>
          <w:color w:val="auto"/>
        </w:rPr>
      </w:pPr>
      <w:r>
        <w:rPr>
          <w:rFonts w:ascii="Arial" w:cs="Arial" w:eastAsia="Arial" w:hAnsi="Arial"/>
          <w:sz w:val="18"/>
          <w:szCs w:val="18"/>
          <w:color w:val="auto"/>
        </w:rPr>
        <w:t>The Option is subject to early termination under Sections 5 and 7 of the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3" w:name="page54"/>
    <w:bookmarkEnd w:id="53"/>
    <w:p>
      <w:pPr>
        <w:ind w:right="260"/>
        <w:spacing w:after="0" w:line="259" w:lineRule="auto"/>
        <w:rPr>
          <w:sz w:val="20"/>
          <w:szCs w:val="20"/>
          <w:color w:val="auto"/>
        </w:rPr>
      </w:pPr>
      <w:r>
        <w:rPr>
          <w:rFonts w:ascii="Arial" w:cs="Arial" w:eastAsia="Arial" w:hAnsi="Arial"/>
          <w:sz w:val="18"/>
          <w:szCs w:val="18"/>
          <w:color w:val="auto"/>
        </w:rPr>
        <w:t xml:space="preserve">Unless otherwise expressly provided in other sections of this Notice, provisions of the Plan that confer discretionary authority on the Board or the Administrator do not and shall not be deemed to create any rights in the Participant unless such rights are expressly set forth herein or are otherwise in the sole discretion of the Board or the Administrator so conferred by appropriate action of the Board or the Administrator under the Plan </w:t>
      </w:r>
      <w:r>
        <w:rPr>
          <w:rFonts w:ascii="Arial" w:cs="Arial" w:eastAsia="Arial" w:hAnsi="Arial"/>
          <w:sz w:val="18"/>
          <w:szCs w:val="18"/>
          <w:u w:val="single" w:color="auto"/>
          <w:color w:val="auto"/>
        </w:rPr>
        <w:t>after</w:t>
      </w:r>
      <w:r>
        <w:rPr>
          <w:rFonts w:ascii="Arial" w:cs="Arial" w:eastAsia="Arial" w:hAnsi="Arial"/>
          <w:sz w:val="18"/>
          <w:szCs w:val="18"/>
          <w:color w:val="auto"/>
        </w:rPr>
        <w:t xml:space="preserve"> the grant date of the Option.</w:t>
      </w:r>
    </w:p>
    <w:p>
      <w:pPr>
        <w:spacing w:after="0" w:line="79"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Option Agreement. </w:t>
      </w:r>
      <w:r>
        <w:rPr>
          <w:rFonts w:ascii="Arial" w:cs="Arial" w:eastAsia="Arial" w:hAnsi="Arial"/>
          <w:sz w:val="18"/>
          <w:szCs w:val="18"/>
          <w:color w:val="auto"/>
        </w:rPr>
        <w:t>This Notice constitutes the Option Agreement with respect to the Option pursuant to Section 5.3 of the Plan.</w:t>
      </w:r>
    </w:p>
    <w:p>
      <w:pPr>
        <w:spacing w:after="0" w:line="117" w:lineRule="exact"/>
        <w:rPr>
          <w:rFonts w:ascii="Arial" w:cs="Arial" w:eastAsia="Arial" w:hAnsi="Arial"/>
          <w:sz w:val="18"/>
          <w:szCs w:val="18"/>
          <w:b w:val="1"/>
          <w:bCs w:val="1"/>
          <w:i w:val="1"/>
          <w:iCs w:val="1"/>
          <w:color w:val="auto"/>
        </w:rPr>
      </w:pPr>
    </w:p>
    <w:p>
      <w:pPr>
        <w:ind w:right="520" w:firstLine="8"/>
        <w:spacing w:after="0" w:line="277" w:lineRule="auto"/>
        <w:tabs>
          <w:tab w:leader="none" w:pos="18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Type of Stock Option. </w:t>
      </w:r>
      <w:r>
        <w:rPr>
          <w:rFonts w:ascii="Arial" w:cs="Arial" w:eastAsia="Arial" w:hAnsi="Arial"/>
          <w:sz w:val="18"/>
          <w:szCs w:val="18"/>
          <w:color w:val="auto"/>
        </w:rPr>
        <w:t>The Option is not intended to qualify as an incentive stock option under Section 422 of the Internal Revenue Code of 1986,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w:t>
      </w:r>
    </w:p>
    <w:p>
      <w:pPr>
        <w:spacing w:after="0" w:line="62" w:lineRule="exact"/>
        <w:rPr>
          <w:rFonts w:ascii="Arial" w:cs="Arial" w:eastAsia="Arial" w:hAnsi="Arial"/>
          <w:sz w:val="18"/>
          <w:szCs w:val="18"/>
          <w:b w:val="1"/>
          <w:bCs w:val="1"/>
          <w:i w:val="1"/>
          <w:iCs w:val="1"/>
          <w:color w:val="auto"/>
        </w:rPr>
      </w:pPr>
    </w:p>
    <w:p>
      <w:pPr>
        <w:ind w:right="40" w:firstLine="8"/>
        <w:spacing w:after="0" w:line="257" w:lineRule="auto"/>
        <w:tabs>
          <w:tab w:leader="none" w:pos="18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Vesting. </w:t>
      </w:r>
      <w:r>
        <w:rPr>
          <w:rFonts w:ascii="Arial" w:cs="Arial" w:eastAsia="Arial" w:hAnsi="Arial"/>
          <w:sz w:val="18"/>
          <w:szCs w:val="18"/>
          <w:color w:val="auto"/>
        </w:rPr>
        <w:t>Subject to earlier termination in accordance with Section 5, the Option shall vest and become exercisable in percentage installments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aggregate number of shares subject to the Option as set forth in this Notice and Section 4 of the Program. The Option may be exercised only to the extent it is vested and exercisable. To the extent that the Option is vested and exercisable, the Participant has the right to exercise the Option (to the extent not previously exercised), and such right shall continue, until the expiration or earlier termination of the Option as provided in Section 5. Fractional share interests shall be disregarded, but may be cumulated.</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vesting schedule requires continued service through each applicable vesting date as a condition to the vesting of the applicable installment of the Option and the rights and benefits under this Option Agreement. Service for only a portion of the vesting period with respect to a vesting installment, even if services are provided for a substantial portion of that period, will not entitle the Participant to any proportionate vesting or avoid or mitigate a termination of rights and benefits upon or following a termination of services as provided under Section 5 of the Program or under the Plan.</w:t>
      </w:r>
    </w:p>
    <w:p>
      <w:pPr>
        <w:spacing w:after="0" w:line="63" w:lineRule="exact"/>
        <w:rPr>
          <w:sz w:val="20"/>
          <w:szCs w:val="20"/>
          <w:color w:val="auto"/>
        </w:rPr>
      </w:pPr>
    </w:p>
    <w:p>
      <w:pPr>
        <w:ind w:right="20" w:firstLine="8"/>
        <w:spacing w:after="0" w:line="259" w:lineRule="auto"/>
        <w:tabs>
          <w:tab w:leader="none" w:pos="18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Expiration of Option. </w:t>
      </w:r>
      <w:r>
        <w:rPr>
          <w:rFonts w:ascii="Arial" w:cs="Arial" w:eastAsia="Arial" w:hAnsi="Arial"/>
          <w:sz w:val="18"/>
          <w:szCs w:val="18"/>
          <w:color w:val="auto"/>
        </w:rPr>
        <w:t>The Option shall expire and the Participant shall have no further rights with respect thereto upon the earliest to occur of (a)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of the Option in connection with a termination of the director’s services as provided in Section 5 of the Program, (b) the termination of the Option as provided in Section 7.4 of the Plan, or (c) the Expiration Date set forth in this Notice. The Option may not be exercised at any time after a termination or expiration of the Option.</w:t>
      </w:r>
    </w:p>
    <w:p>
      <w:pPr>
        <w:spacing w:after="0" w:line="78" w:lineRule="exact"/>
        <w:rPr>
          <w:rFonts w:ascii="Arial" w:cs="Arial" w:eastAsia="Arial" w:hAnsi="Arial"/>
          <w:sz w:val="18"/>
          <w:szCs w:val="18"/>
          <w:b w:val="1"/>
          <w:bCs w:val="1"/>
          <w:i w:val="1"/>
          <w:iCs w:val="1"/>
          <w:color w:val="auto"/>
        </w:rPr>
      </w:pPr>
    </w:p>
    <w:p>
      <w:pPr>
        <w:ind w:right="360" w:firstLine="8"/>
        <w:spacing w:after="0" w:line="277" w:lineRule="auto"/>
        <w:tabs>
          <w:tab w:leader="none" w:pos="18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Exercise of Option. </w:t>
      </w:r>
      <w:r>
        <w:rPr>
          <w:rFonts w:ascii="Arial" w:cs="Arial" w:eastAsia="Arial" w:hAnsi="Arial"/>
          <w:sz w:val="18"/>
          <w:szCs w:val="18"/>
          <w:color w:val="auto"/>
        </w:rPr>
        <w:t>The Option shall be exercisable by the delivery to the Secretary of the Corporation (or such other person as the Administrator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 pursuant to such administrative exercise procedures as the Administrator may implement from time to time) of:</w:t>
      </w:r>
    </w:p>
    <w:p>
      <w:pPr>
        <w:spacing w:after="0" w:line="62" w:lineRule="exact"/>
        <w:rPr>
          <w:rFonts w:ascii="Arial" w:cs="Arial" w:eastAsia="Arial" w:hAnsi="Arial"/>
          <w:sz w:val="18"/>
          <w:szCs w:val="18"/>
          <w:b w:val="1"/>
          <w:bCs w:val="1"/>
          <w:i w:val="1"/>
          <w:iCs w:val="1"/>
          <w:color w:val="auto"/>
        </w:rPr>
      </w:pPr>
    </w:p>
    <w:p>
      <w:pPr>
        <w:ind w:left="440" w:right="1060" w:hanging="216"/>
        <w:spacing w:after="0" w:line="277" w:lineRule="auto"/>
        <w:tabs>
          <w:tab w:leader="none" w:pos="440"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a written notice stating the number of shares of Common Stock to be purchased pursuant to the Option or by the completion of such other administrative exercise procedures as the Administrator may require from time to time,</w:t>
      </w:r>
    </w:p>
    <w:p>
      <w:pPr>
        <w:spacing w:after="0" w:line="75" w:lineRule="exact"/>
        <w:rPr>
          <w:rFonts w:ascii="Arial" w:cs="Arial" w:eastAsia="Arial" w:hAnsi="Arial"/>
          <w:sz w:val="18"/>
          <w:szCs w:val="18"/>
          <w:b w:val="1"/>
          <w:bCs w:val="1"/>
          <w:color w:val="auto"/>
        </w:rPr>
      </w:pPr>
    </w:p>
    <w:p>
      <w:pPr>
        <w:ind w:left="440" w:right="20" w:hanging="216"/>
        <w:spacing w:after="0" w:line="297" w:lineRule="auto"/>
        <w:tabs>
          <w:tab w:leader="none" w:pos="440" w:val="left"/>
        </w:tabs>
        <w:numPr>
          <w:ilvl w:val="1"/>
          <w:numId w:val="35"/>
        </w:numPr>
        <w:rPr>
          <w:rFonts w:ascii="Arial" w:cs="Arial" w:eastAsia="Arial" w:hAnsi="Arial"/>
          <w:sz w:val="16"/>
          <w:szCs w:val="16"/>
          <w:b w:val="1"/>
          <w:bCs w:val="1"/>
          <w:color w:val="auto"/>
        </w:rPr>
      </w:pPr>
      <w:r>
        <w:rPr>
          <w:rFonts w:ascii="Arial" w:cs="Arial" w:eastAsia="Arial" w:hAnsi="Arial"/>
          <w:sz w:val="16"/>
          <w:szCs w:val="16"/>
          <w:color w:val="auto"/>
        </w:rPr>
        <w:t xml:space="preserve">payment in full for the purchase price (the per-share exercise price of the Option multiplied by the number of shares to be purchased) in cash, check or by electronic funds transfer to the Corporation, or (subject to compliance with all applicable laws, rules, regulations and listing requirements and further subject to such rules as the Administrator may adopt as to any non-cash payment) in shares of Common Stock already owned by the Participant, valued at their fair market value on the exercise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shares initially acquired upon exercise of a stock option or otherwise from the Corporation must have been owned by the Participant for at least six (6) months before the date of such exercise; and</w:t>
      </w:r>
    </w:p>
    <w:p>
      <w:pPr>
        <w:spacing w:after="0" w:line="63" w:lineRule="exact"/>
        <w:rPr>
          <w:rFonts w:ascii="Arial" w:cs="Arial" w:eastAsia="Arial" w:hAnsi="Arial"/>
          <w:sz w:val="16"/>
          <w:szCs w:val="16"/>
          <w:b w:val="1"/>
          <w:bCs w:val="1"/>
          <w:color w:val="auto"/>
        </w:rPr>
      </w:pPr>
    </w:p>
    <w:p>
      <w:pPr>
        <w:ind w:left="440" w:hanging="216"/>
        <w:spacing w:after="0"/>
        <w:tabs>
          <w:tab w:leader="none" w:pos="440"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any written statements or agreements required by the Administrator pursuant to Section 8.1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ind w:right="340"/>
        <w:spacing w:after="0" w:line="277" w:lineRule="auto"/>
        <w:rPr>
          <w:sz w:val="20"/>
          <w:szCs w:val="20"/>
          <w:color w:val="auto"/>
        </w:rPr>
      </w:pPr>
      <w:r>
        <w:rPr>
          <w:rFonts w:ascii="Arial" w:cs="Arial" w:eastAsia="Arial" w:hAnsi="Arial"/>
          <w:sz w:val="18"/>
          <w:szCs w:val="18"/>
          <w:color w:val="auto"/>
        </w:rPr>
        <w:t>The Administrator also may, but is not required to, authorize a non-cash payment alternative by notice and third party payment in such manner as may be authorized by the Administrator.</w:t>
      </w:r>
    </w:p>
    <w:p>
      <w:pPr>
        <w:spacing w:after="0" w:line="62" w:lineRule="exact"/>
        <w:rPr>
          <w:sz w:val="20"/>
          <w:szCs w:val="20"/>
          <w:color w:val="auto"/>
        </w:rPr>
      </w:pPr>
    </w:p>
    <w:p>
      <w:pPr>
        <w:ind w:right="300" w:firstLine="8"/>
        <w:spacing w:after="0" w:line="264" w:lineRule="auto"/>
        <w:tabs>
          <w:tab w:leader="none" w:pos="18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Nontransferability. </w:t>
      </w:r>
      <w:r>
        <w:rPr>
          <w:rFonts w:ascii="Arial" w:cs="Arial" w:eastAsia="Arial" w:hAnsi="Arial"/>
          <w:sz w:val="18"/>
          <w:szCs w:val="18"/>
          <w:color w:val="auto"/>
        </w:rPr>
        <w:t>The Option and any other rights of the Participant under this Option Agreement, the Program or the Plan are nontransferable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exercisable only by the Participant, except as set forth in Section 5.7 of the Plan. For purposes of clarity, the Administrator has not authorized any transfer exceptions as contemplated by Section 5.7.2 of the Plan.</w:t>
      </w:r>
    </w:p>
    <w:p>
      <w:pPr>
        <w:spacing w:after="0" w:line="73" w:lineRule="exact"/>
        <w:rPr>
          <w:rFonts w:ascii="Arial" w:cs="Arial" w:eastAsia="Arial" w:hAnsi="Arial"/>
          <w:sz w:val="18"/>
          <w:szCs w:val="18"/>
          <w:b w:val="1"/>
          <w:bCs w:val="1"/>
          <w:i w:val="1"/>
          <w:iCs w:val="1"/>
          <w:color w:val="auto"/>
        </w:rPr>
      </w:pPr>
    </w:p>
    <w:p>
      <w:pPr>
        <w:jc w:val="both"/>
        <w:ind w:right="100" w:firstLine="8"/>
        <w:spacing w:after="0" w:line="259" w:lineRule="auto"/>
        <w:tabs>
          <w:tab w:leader="none" w:pos="18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 Service Commitment. </w:t>
      </w:r>
      <w:r>
        <w:rPr>
          <w:rFonts w:ascii="Arial" w:cs="Arial" w:eastAsia="Arial" w:hAnsi="Arial"/>
          <w:sz w:val="18"/>
          <w:szCs w:val="18"/>
          <w:color w:val="auto"/>
        </w:rPr>
        <w:t>Nothing contained in this Option Agreement, the Program or the Plan constitutes an employment or service commitment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or any of its Subsidiaries, confers upon the Participant any right to remain in service to the Corporation or any Subsidiary, interferes in any way with the right of the Corporation or any Subsidiary at any time to terminate such service, or affects the right of the Corporation or any Subsidiary to increase or decrease the Participant’s other compensation.</w:t>
      </w:r>
    </w:p>
    <w:p>
      <w:pPr>
        <w:spacing w:after="0" w:line="78" w:lineRule="exact"/>
        <w:rPr>
          <w:rFonts w:ascii="Arial" w:cs="Arial" w:eastAsia="Arial" w:hAnsi="Arial"/>
          <w:sz w:val="18"/>
          <w:szCs w:val="18"/>
          <w:b w:val="1"/>
          <w:bCs w:val="1"/>
          <w:i w:val="1"/>
          <w:iCs w:val="1"/>
          <w:color w:val="auto"/>
        </w:rPr>
      </w:pPr>
    </w:p>
    <w:p>
      <w:pPr>
        <w:ind w:right="260" w:firstLine="8"/>
        <w:spacing w:after="0" w:line="264" w:lineRule="auto"/>
        <w:tabs>
          <w:tab w:leader="none" w:pos="18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Rights as a Stockholder. </w:t>
      </w:r>
      <w:r>
        <w:rPr>
          <w:rFonts w:ascii="Arial" w:cs="Arial" w:eastAsia="Arial" w:hAnsi="Arial"/>
          <w:sz w:val="18"/>
          <w:szCs w:val="18"/>
          <w:color w:val="auto"/>
        </w:rPr>
        <w:t>Neither the Participant nor any beneficiary or other person claiming under or through the Participant shall have any right, title,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or privilege in or to any shares of Common Stock subject to the Option except as to such shares, if any, as shall have been actually issued to such person and recorded in such person’s name following the exercise of the Option or any portion thereof.</w:t>
      </w:r>
    </w:p>
    <w:p>
      <w:pPr>
        <w:spacing w:after="0" w:line="73" w:lineRule="exact"/>
        <w:rPr>
          <w:rFonts w:ascii="Arial" w:cs="Arial" w:eastAsia="Arial" w:hAnsi="Arial"/>
          <w:sz w:val="18"/>
          <w:szCs w:val="18"/>
          <w:b w:val="1"/>
          <w:bCs w:val="1"/>
          <w:i w:val="1"/>
          <w:iCs w:val="1"/>
          <w:color w:val="auto"/>
        </w:rPr>
      </w:pPr>
    </w:p>
    <w:p>
      <w:pPr>
        <w:ind w:firstLine="8"/>
        <w:spacing w:after="0" w:line="293" w:lineRule="auto"/>
        <w:tabs>
          <w:tab w:leader="none" w:pos="270" w:val="left"/>
        </w:tabs>
        <w:numPr>
          <w:ilvl w:val="0"/>
          <w:numId w:val="3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Notices. </w:t>
      </w:r>
      <w:r>
        <w:rPr>
          <w:rFonts w:ascii="Arial" w:cs="Arial" w:eastAsia="Arial" w:hAnsi="Arial"/>
          <w:sz w:val="16"/>
          <w:szCs w:val="16"/>
          <w:color w:val="auto"/>
        </w:rPr>
        <w:t>Any notice to be given under the terms of this Option Agreement shall be in writing and addressed to the Corporation at its principal office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attention of the Secretary, and to the Participant at the address last reflected on the Corporation’s records, or at such other address as either party may hereafter designate in writing to the other. Any such notice shall be delivered in person or shall be enclosed in a properly sealed envelope addressed as aforesaid, registered or certified, and deposited (postage and registry or certification fee prepaid) in a post office or branch post office regularly maintained by the United States Government. Any such notice shall be given only when received, but if the Participant is no longer a member of the Board of Directors, shall be deemed to have been duly given five business days after the date mailed in accordance with the foregoing provisions of this Section 10.</w:t>
      </w:r>
    </w:p>
    <w:p>
      <w:pPr>
        <w:spacing w:after="0" w:line="56" w:lineRule="exact"/>
        <w:rPr>
          <w:rFonts w:ascii="Arial" w:cs="Arial" w:eastAsia="Arial" w:hAnsi="Arial"/>
          <w:sz w:val="16"/>
          <w:szCs w:val="16"/>
          <w:b w:val="1"/>
          <w:bCs w:val="1"/>
          <w:i w:val="1"/>
          <w:iCs w:val="1"/>
          <w:color w:val="auto"/>
        </w:rPr>
      </w:pPr>
    </w:p>
    <w:p>
      <w:pPr>
        <w:ind w:right="20" w:firstLine="8"/>
        <w:spacing w:after="0" w:line="269" w:lineRule="auto"/>
        <w:tabs>
          <w:tab w:leader="none" w:pos="260" w:val="left"/>
        </w:tabs>
        <w:numPr>
          <w:ilvl w:val="0"/>
          <w:numId w:val="3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Arbitration. </w:t>
      </w:r>
      <w:r>
        <w:rPr>
          <w:rFonts w:ascii="Arial" w:cs="Arial" w:eastAsia="Arial" w:hAnsi="Arial"/>
          <w:sz w:val="17"/>
          <w:szCs w:val="17"/>
          <w:color w:val="auto"/>
        </w:rPr>
        <w:t>Any controversy arising out of or relating to this Option Agreement, the Program and/or the Plan, their enforcement or interpretation,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because of an alleged breach, default, or misrepresentation in connection with any of their provisions, or any other controversy or claim arising out of or related to the Option or the Participant’s employment, including, but not limited to, any state or federal statutory claims, shall be submitted to arbitration in Orange County, California, before a sole arbitrator selected from Judicial Arbitration and Mediation Services, Inc., Orange, California, or its successor (“JAMS”), or if JAMS is no longer able to supply the arbitrator, such arbitrator shall be selected from the American Arbitration Association, and shall be conducted in accordance with the provisions of California Code of Civil Procedure §§ 1280 et seq. as the exclusive forum for the resolution of such dispute; provided, however, that provisional injunctive relief may, but need not, be sought by either party to this Option Agreement in a court of law while arbitration proceedings are pending, and any provisional injunctive relief granted by such court shall remain effective until the matter is finally determined by the arbitrator. Final resolution of any dispute through arbitration may include any remedy or relief which the arbitrator deems just and equitable, including any and all remedies provided by applicable state or federal statutes. At the conclusion of the arbitration, the arbitrator shall issue a written decision that sets forth the essential findings and conclusions upon which the arbitrator’s award or decision is based. Any award or relief granted by the arbitrator hereunder shall be final and binding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55" w:name="page56"/>
    <w:bookmarkEnd w:id="55"/>
    <w:p>
      <w:pPr>
        <w:ind w:right="20"/>
        <w:spacing w:after="0" w:line="255" w:lineRule="auto"/>
        <w:rPr>
          <w:sz w:val="20"/>
          <w:szCs w:val="20"/>
          <w:color w:val="auto"/>
        </w:rPr>
      </w:pPr>
      <w:r>
        <w:rPr>
          <w:rFonts w:ascii="Arial" w:cs="Arial" w:eastAsia="Arial" w:hAnsi="Arial"/>
          <w:sz w:val="18"/>
          <w:szCs w:val="18"/>
          <w:color w:val="auto"/>
        </w:rPr>
        <w:t>the parties hereto and may be enforced by any court of competent jurisdiction. The parties acknowledge and agree that they are hereby waiving any rights to trial by jury in any action, proceeding or counterclaim brought by either of the parties against the other in connection with any matter whatsoever arising out of or in any way connected with any of the matters referenced in the first sentence above. The parties agree that Corporation shall be responsible for payment of the forum costs of any arbitration hereunder, including the arbitrator’s fee. The parties further agree that in any proceeding with respect to such matters, each party shall bear its own attorney’s fees and costs (other than forum costs associated with the arbitration) incurred by it or him or her in connection with the resolution of the dispute. By accepting the Option, the Participant consents to all of the terms and conditions of this Option Agreement (including, without limitation, this Section 11).</w:t>
      </w:r>
    </w:p>
    <w:p>
      <w:pPr>
        <w:spacing w:after="0" w:line="81" w:lineRule="exact"/>
        <w:rPr>
          <w:sz w:val="20"/>
          <w:szCs w:val="20"/>
          <w:color w:val="auto"/>
        </w:rPr>
      </w:pPr>
    </w:p>
    <w:p>
      <w:pPr>
        <w:ind w:right="540" w:firstLine="8"/>
        <w:spacing w:after="0" w:line="277" w:lineRule="auto"/>
        <w:tabs>
          <w:tab w:leader="none" w:pos="27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Governing Law. </w:t>
      </w:r>
      <w:r>
        <w:rPr>
          <w:rFonts w:ascii="Arial" w:cs="Arial" w:eastAsia="Arial" w:hAnsi="Arial"/>
          <w:sz w:val="18"/>
          <w:szCs w:val="18"/>
          <w:color w:val="auto"/>
        </w:rPr>
        <w:t>This Option Agreement shall be interpreted and construed in accordance with the laws of the State of Delaware (without regard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conflict of law principles thereunder) and applicable federal law.</w:t>
      </w:r>
    </w:p>
    <w:p>
      <w:pPr>
        <w:spacing w:after="0" w:line="62" w:lineRule="exact"/>
        <w:rPr>
          <w:rFonts w:ascii="Arial" w:cs="Arial" w:eastAsia="Arial" w:hAnsi="Arial"/>
          <w:sz w:val="18"/>
          <w:szCs w:val="18"/>
          <w:b w:val="1"/>
          <w:bCs w:val="1"/>
          <w:i w:val="1"/>
          <w:iCs w:val="1"/>
          <w:color w:val="auto"/>
        </w:rPr>
      </w:pPr>
    </w:p>
    <w:p>
      <w:pPr>
        <w:ind w:firstLine="8"/>
        <w:spacing w:after="0" w:line="255" w:lineRule="auto"/>
        <w:tabs>
          <w:tab w:leader="none" w:pos="27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Severability. </w:t>
      </w:r>
      <w:r>
        <w:rPr>
          <w:rFonts w:ascii="Arial" w:cs="Arial" w:eastAsia="Arial" w:hAnsi="Arial"/>
          <w:sz w:val="18"/>
          <w:szCs w:val="18"/>
          <w:color w:val="auto"/>
        </w:rPr>
        <w:t>If the arbitrator selected in accordance with Section 11 or a court of competent jurisdiction determines that any portion of this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the Program or the Plan is in violation of any statute or public policy, then only the portions of this Option Agreement, the Program or the Plan, as applicable, which are found to violate such statute or public policy shall be stricken, and all portions of this Option Agreement, the Program and the Plan which are not found to violate any statute or public policy shall continue in full force and effect. Furthermore, it is the parties’ intent that any order striking any portion of this Option Agreement, the Program and/or the Plan should modify the stricken terms as narrowly as possible to give as much effect as possible to the intentions of the parties hereunder.</w:t>
      </w:r>
    </w:p>
    <w:p>
      <w:pPr>
        <w:spacing w:after="0" w:line="85" w:lineRule="exact"/>
        <w:rPr>
          <w:rFonts w:ascii="Arial" w:cs="Arial" w:eastAsia="Arial" w:hAnsi="Arial"/>
          <w:sz w:val="18"/>
          <w:szCs w:val="18"/>
          <w:b w:val="1"/>
          <w:bCs w:val="1"/>
          <w:i w:val="1"/>
          <w:iCs w:val="1"/>
          <w:color w:val="auto"/>
        </w:rPr>
      </w:pPr>
    </w:p>
    <w:p>
      <w:pPr>
        <w:ind w:right="60" w:firstLine="8"/>
        <w:spacing w:after="0" w:line="297" w:lineRule="auto"/>
        <w:tabs>
          <w:tab w:leader="none" w:pos="270" w:val="left"/>
        </w:tabs>
        <w:numPr>
          <w:ilvl w:val="0"/>
          <w:numId w:val="3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Entire Agreement. </w:t>
      </w:r>
      <w:r>
        <w:rPr>
          <w:rFonts w:ascii="Arial" w:cs="Arial" w:eastAsia="Arial" w:hAnsi="Arial"/>
          <w:sz w:val="16"/>
          <w:szCs w:val="16"/>
          <w:color w:val="auto"/>
        </w:rPr>
        <w:t>This Option Agreement, the Program and the Plan together constitute the entire agreement and supersede all prior understandings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agreements, written or oral, of the parties hereto with respect to the subject matter hereof. The Plan, the Program and this Option Agreement may be amended pursuant to Section 8.6 of the Plan. Such amendment must be in writing and signed by the Corporation. The Corporation may, however, unilaterally waive any provision hereof in writing to the extent such waiver does not adversely affect the interests of the Participant hereunder, but no such waiver shall operate as or be construed to be a subsequent waiver of the same provision or a waiver of any other provision hereof.</w:t>
      </w:r>
    </w:p>
    <w:p>
      <w:pPr>
        <w:spacing w:after="0" w:line="50" w:lineRule="exact"/>
        <w:rPr>
          <w:rFonts w:ascii="Arial" w:cs="Arial" w:eastAsia="Arial" w:hAnsi="Arial"/>
          <w:sz w:val="16"/>
          <w:szCs w:val="16"/>
          <w:b w:val="1"/>
          <w:bCs w:val="1"/>
          <w:i w:val="1"/>
          <w:iCs w:val="1"/>
          <w:color w:val="auto"/>
        </w:rPr>
      </w:pPr>
    </w:p>
    <w:p>
      <w:pPr>
        <w:ind w:right="320" w:firstLine="8"/>
        <w:spacing w:after="0" w:line="277" w:lineRule="auto"/>
        <w:tabs>
          <w:tab w:leader="none" w:pos="27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Section Headings. </w:t>
      </w:r>
      <w:r>
        <w:rPr>
          <w:rFonts w:ascii="Arial" w:cs="Arial" w:eastAsia="Arial" w:hAnsi="Arial"/>
          <w:sz w:val="18"/>
          <w:szCs w:val="18"/>
          <w:color w:val="auto"/>
        </w:rPr>
        <w:t>The section headings of this Option Agreement are for convenience of reference only and shall not be deemed to alter or affect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 hereof.</w:t>
      </w:r>
    </w:p>
    <w:p>
      <w:pPr>
        <w:sectPr>
          <w:pgSz w:w="11900" w:h="16838" w:orient="portrait"/>
          <w:cols w:equalWidth="0" w:num="1">
            <w:col w:w="11420"/>
          </w:cols>
          <w:pgMar w:left="240" w:top="93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10.6</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WESTERN DIGITAL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DIRECTORS STOCK-FOR-FEES PLAN</w:t>
      </w:r>
    </w:p>
    <w:p>
      <w:pPr>
        <w:spacing w:after="0" w:line="121" w:lineRule="exact"/>
        <w:rPr>
          <w:sz w:val="20"/>
          <w:szCs w:val="20"/>
          <w:color w:val="auto"/>
        </w:rPr>
      </w:pPr>
    </w:p>
    <w:p>
      <w:pPr>
        <w:ind w:right="20" w:firstLine="450"/>
        <w:spacing w:after="0" w:line="269" w:lineRule="auto"/>
        <w:rPr>
          <w:sz w:val="20"/>
          <w:szCs w:val="20"/>
          <w:color w:val="auto"/>
        </w:rPr>
      </w:pPr>
      <w:r>
        <w:rPr>
          <w:rFonts w:ascii="Arial" w:cs="Arial" w:eastAsia="Arial" w:hAnsi="Arial"/>
          <w:sz w:val="17"/>
          <w:szCs w:val="17"/>
          <w:i w:val="1"/>
          <w:iCs w:val="1"/>
          <w:color w:val="auto"/>
        </w:rPr>
        <w:t>This plan (1) was implemented in 1992, (2) was amended and restated effective as of January 9, 1997 to require directors to take half their annual retainer fee in stock, permit deferrals of cash or stock under the plan, and make certain other changes to conform the plan to the new version of Rule 16b-3 and ease administration, (3) was amended and restated effective as of January 27, 2000, to require directors to take $20,000 of their annual retainer fee in stock, increase the premium to 25% for deferral of annual retainers or meeting fees received in the form of common stock and provide a premium of 15% for deferral of annual retainers or meeting fees received in the form of cash, (4) was amended and restated effective as of November 14, 2002, to extend the term of the plan to December 31, 2012, (5) was amended and restated effective as of November 18, 2004, to eliminate (i) the requirement that directors receive half of their annual retainer fee in stock, and (ii) the requirement that the Company pay non-employee directors a 15% premium on cash annual retainer fees or cash meeting fees that the director elects to defer under the Company’s Deferred Compensation Plan, and (6) was amended and restated effective as of November 17, 2005, to eliminate the requirement that the Company pay non-employee directors a 25% premium on any deferral election made by a non-employee director under the Company’s Deferred Compensation Plan with respect to annual retainer fees or cash meeting fees payable in the Company’s common stock.</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 Purpose.</w:t>
      </w:r>
    </w:p>
    <w:p>
      <w:pPr>
        <w:spacing w:after="0" w:line="117" w:lineRule="exact"/>
        <w:rPr>
          <w:sz w:val="20"/>
          <w:szCs w:val="20"/>
          <w:color w:val="auto"/>
        </w:rPr>
      </w:pPr>
    </w:p>
    <w:p>
      <w:pPr>
        <w:ind w:right="240" w:firstLine="447"/>
        <w:spacing w:after="0" w:line="303" w:lineRule="auto"/>
        <w:rPr>
          <w:sz w:val="20"/>
          <w:szCs w:val="20"/>
          <w:color w:val="auto"/>
        </w:rPr>
      </w:pPr>
      <w:r>
        <w:rPr>
          <w:rFonts w:ascii="Arial" w:cs="Arial" w:eastAsia="Arial" w:hAnsi="Arial"/>
          <w:sz w:val="16"/>
          <w:szCs w:val="16"/>
          <w:color w:val="auto"/>
        </w:rPr>
        <w:t>The purposes of this Western Digital Corporation Non-Employee Director Stock-For-Fees Plan (the “</w:t>
      </w:r>
      <w:r>
        <w:rPr>
          <w:rFonts w:ascii="Arial" w:cs="Arial" w:eastAsia="Arial" w:hAnsi="Arial"/>
          <w:sz w:val="16"/>
          <w:szCs w:val="16"/>
          <w:b w:val="1"/>
          <w:bCs w:val="1"/>
          <w:color w:val="auto"/>
        </w:rPr>
        <w:t>Plan</w:t>
      </w:r>
      <w:r>
        <w:rPr>
          <w:rFonts w:ascii="Arial" w:cs="Arial" w:eastAsia="Arial" w:hAnsi="Arial"/>
          <w:sz w:val="16"/>
          <w:szCs w:val="16"/>
          <w:color w:val="auto"/>
        </w:rPr>
        <w:t>”) are to advance the interests of Western Digital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its stockholders by increasing ownership by the Company’s non-employee directors of the Company’s Common Stock, thereby aligning their interests more closely with the interests of the Company’s other stockholders, and to make available to the Company the cash that would otherwise have been paid to non-employee directors receiving Common Stock in lieu of fees hereunder.</w:t>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 Administration.</w:t>
      </w:r>
    </w:p>
    <w:p>
      <w:pPr>
        <w:spacing w:after="0" w:line="121" w:lineRule="exact"/>
        <w:rPr>
          <w:sz w:val="20"/>
          <w:szCs w:val="20"/>
          <w:color w:val="auto"/>
        </w:rPr>
      </w:pPr>
    </w:p>
    <w:p>
      <w:pPr>
        <w:ind w:right="60" w:firstLine="447"/>
        <w:spacing w:after="0" w:line="272" w:lineRule="auto"/>
        <w:rPr>
          <w:sz w:val="20"/>
          <w:szCs w:val="20"/>
          <w:color w:val="auto"/>
        </w:rPr>
      </w:pPr>
      <w:r>
        <w:rPr>
          <w:rFonts w:ascii="Arial" w:cs="Arial" w:eastAsia="Arial" w:hAnsi="Arial"/>
          <w:sz w:val="17"/>
          <w:szCs w:val="17"/>
          <w:color w:val="auto"/>
        </w:rPr>
        <w:t>The Plan shall be administered by the Company, which shall have the power to construe the Plan, to resolve all questions arising under the Plan, to adopt and amend such rules and regulations for the administration of the Plan as it may deem desirable, and otherwise to carry out the terms of the Plan, but only to the extent not contrary to the express provisions of the Plan. The determinations, interpretations, and other actions of the Company of or under the Plan or with respect to any Common Stock granted pursuant to the Plan shall be final and binding for all purposes and on all persons. Neither the Company nor any officer or employee thereof shall be liable for any action or determination taken or made under the Plan in good faith. Notwithstanding the foregoing, the Company shall have no authority or discretion as to the persons who will receive Common Stock granted pursuant to the Plan, the number of shares of Common Stock to be issued under the Plan, the time at which such grants are made, the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7" w:name="page58"/>
    <w:bookmarkEnd w:id="57"/>
    <w:p>
      <w:pPr>
        <w:spacing w:after="0"/>
        <w:rPr>
          <w:sz w:val="20"/>
          <w:szCs w:val="20"/>
          <w:color w:val="auto"/>
        </w:rPr>
      </w:pPr>
      <w:r>
        <w:rPr>
          <w:rFonts w:ascii="Arial" w:cs="Arial" w:eastAsia="Arial" w:hAnsi="Arial"/>
          <w:sz w:val="17"/>
          <w:szCs w:val="17"/>
          <w:color w:val="auto"/>
        </w:rPr>
        <w:t>of shares of Common Stock to be granted at any particular time, or any other matters that are specifically governed by the provisions of the Plan.</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 Participation in the Plan.</w:t>
      </w:r>
    </w:p>
    <w:p>
      <w:pPr>
        <w:spacing w:after="0" w:line="117" w:lineRule="exact"/>
        <w:rPr>
          <w:sz w:val="20"/>
          <w:szCs w:val="20"/>
          <w:color w:val="auto"/>
        </w:rPr>
      </w:pPr>
    </w:p>
    <w:p>
      <w:pPr>
        <w:ind w:right="180" w:firstLine="450"/>
        <w:spacing w:after="0" w:line="281" w:lineRule="auto"/>
        <w:rPr>
          <w:sz w:val="20"/>
          <w:szCs w:val="20"/>
          <w:color w:val="auto"/>
        </w:rPr>
      </w:pPr>
      <w:r>
        <w:rPr>
          <w:rFonts w:ascii="Arial" w:cs="Arial" w:eastAsia="Arial" w:hAnsi="Arial"/>
          <w:sz w:val="17"/>
          <w:szCs w:val="17"/>
          <w:color w:val="auto"/>
        </w:rPr>
        <w:t>Directors of the Company who are not employees of the Company or any subsidiary of the Company (“</w:t>
      </w:r>
      <w:r>
        <w:rPr>
          <w:rFonts w:ascii="Arial" w:cs="Arial" w:eastAsia="Arial" w:hAnsi="Arial"/>
          <w:sz w:val="17"/>
          <w:szCs w:val="17"/>
          <w:b w:val="1"/>
          <w:bCs w:val="1"/>
          <w:color w:val="auto"/>
        </w:rPr>
        <w:t>Eligible Directors</w:t>
      </w:r>
      <w:r>
        <w:rPr>
          <w:rFonts w:ascii="Arial" w:cs="Arial" w:eastAsia="Arial" w:hAnsi="Arial"/>
          <w:sz w:val="17"/>
          <w:szCs w:val="17"/>
          <w:color w:val="auto"/>
        </w:rPr>
        <w:t>”) shall be eligible to participate in the Plan. Each Eligible Director shall, if required by the Company, enter into an agreement with the Company in such form as the Company shall determine consistent with the provisions of the Plan for purposes of implementing the Plan or effecting its purposes. In the event of any inconsistency between the provisions of the Plan and any such agreement, the provisions of the Plan shall govern.</w:t>
      </w:r>
    </w:p>
    <w:p>
      <w:pPr>
        <w:spacing w:after="0" w:line="57" w:lineRule="exact"/>
        <w:rPr>
          <w:sz w:val="20"/>
          <w:szCs w:val="20"/>
          <w:color w:val="auto"/>
        </w:rPr>
      </w:pPr>
    </w:p>
    <w:p>
      <w:pPr>
        <w:ind w:left="420" w:hanging="187"/>
        <w:spacing w:after="0"/>
        <w:tabs>
          <w:tab w:leader="none" w:pos="4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Stock Subject to the Plan.</w:t>
      </w:r>
    </w:p>
    <w:p>
      <w:pPr>
        <w:spacing w:after="0" w:line="121" w:lineRule="exact"/>
        <w:rPr>
          <w:rFonts w:ascii="Arial" w:cs="Arial" w:eastAsia="Arial" w:hAnsi="Arial"/>
          <w:sz w:val="18"/>
          <w:szCs w:val="18"/>
          <w:b w:val="1"/>
          <w:bCs w:val="1"/>
          <w:color w:val="auto"/>
        </w:rPr>
      </w:pPr>
    </w:p>
    <w:p>
      <w:pPr>
        <w:ind w:right="300" w:firstLine="458"/>
        <w:spacing w:after="0" w:line="255" w:lineRule="auto"/>
        <w:tabs>
          <w:tab w:leader="none" w:pos="695"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The shares that may be issued under the Plan shall be authorized and unissued shares or treasury shares of the Company’s Common Stock (the “</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The maximum aggregate number of shares that may be issued under the Plan shall be four hundred thousand (400,000), subject to adjustment upon changes in capitalization of the Company as provided in </w:t>
      </w:r>
      <w:r>
        <w:rPr>
          <w:rFonts w:ascii="Arial" w:cs="Arial" w:eastAsia="Arial" w:hAnsi="Arial"/>
          <w:sz w:val="18"/>
          <w:szCs w:val="18"/>
          <w:u w:val="single" w:color="auto"/>
          <w:color w:val="auto"/>
        </w:rPr>
        <w:t>Section 4(b)</w:t>
      </w:r>
      <w:r>
        <w:rPr>
          <w:rFonts w:ascii="Arial" w:cs="Arial" w:eastAsia="Arial" w:hAnsi="Arial"/>
          <w:sz w:val="18"/>
          <w:szCs w:val="18"/>
          <w:color w:val="auto"/>
        </w:rPr>
        <w:t>. The maximum aggregate number of shares issuable under the Plan may be increased from time to time by approval of the Company’s Board of Directors, and by the stockholders of the Company if stockholder approval is required pursuant to the applicable rules of any stock exchange, or, in the opinion of the Company’s counsel, any other law or regulation binding upon the Company.</w:t>
      </w:r>
    </w:p>
    <w:p>
      <w:pPr>
        <w:spacing w:after="0" w:line="85" w:lineRule="exact"/>
        <w:rPr>
          <w:rFonts w:ascii="Arial" w:cs="Arial" w:eastAsia="Arial" w:hAnsi="Arial"/>
          <w:sz w:val="18"/>
          <w:szCs w:val="18"/>
          <w:color w:val="auto"/>
        </w:rPr>
      </w:pPr>
    </w:p>
    <w:p>
      <w:pPr>
        <w:ind w:right="60" w:firstLine="458"/>
        <w:spacing w:after="0" w:line="259" w:lineRule="auto"/>
        <w:tabs>
          <w:tab w:leader="none" w:pos="705"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If the Company shall at any time increase or decrease the number of its issued and outstanding shares of Common Stock (whether by reason of reorganization, merger, consolidation, recapitalization, stock dividend, stock split, combination of shares, exchange of shares, change in corporate structure, or otherwise), then the number of shares of Common Stock still available for issue hereunder shall be increased or decreased appropriately and proportionately.</w:t>
      </w:r>
    </w:p>
    <w:p>
      <w:pPr>
        <w:spacing w:after="0" w:line="182" w:lineRule="exact"/>
        <w:rPr>
          <w:rFonts w:ascii="Arial" w:cs="Arial" w:eastAsia="Arial" w:hAnsi="Arial"/>
          <w:sz w:val="18"/>
          <w:szCs w:val="18"/>
          <w:color w:val="auto"/>
        </w:rPr>
      </w:pPr>
    </w:p>
    <w:p>
      <w:pPr>
        <w:ind w:left="420" w:hanging="187"/>
        <w:spacing w:after="0"/>
        <w:tabs>
          <w:tab w:leader="none" w:pos="4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Stock Elections.</w:t>
      </w:r>
    </w:p>
    <w:p>
      <w:pPr>
        <w:spacing w:after="0" w:line="117"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Each Eligible Director may make an “</w:t>
      </w:r>
      <w:r>
        <w:rPr>
          <w:rFonts w:ascii="Arial" w:cs="Arial" w:eastAsia="Arial" w:hAnsi="Arial"/>
          <w:sz w:val="18"/>
          <w:szCs w:val="18"/>
          <w:b w:val="1"/>
          <w:bCs w:val="1"/>
          <w:color w:val="auto"/>
        </w:rPr>
        <w:t>Election</w:t>
      </w:r>
      <w:r>
        <w:rPr>
          <w:rFonts w:ascii="Arial" w:cs="Arial" w:eastAsia="Arial" w:hAnsi="Arial"/>
          <w:sz w:val="18"/>
          <w:szCs w:val="18"/>
          <w:color w:val="auto"/>
        </w:rPr>
        <w:t>” to receive Common Stock in lieu of any or all of (i) the annual retainer fee otherwise payable to him or her in cash for that calendar year, and/or (ii) the meeting attendance fees otherwise payable to him or her in cash for that calendar year. Such Election for any calendar year must be in writing and must be delivered to the Secretary of the Company not later than the end of the immediately preceding calendar year. In addition, newly elected or appointed Eligible Directors shall make an interim Election as of the date they join the board, which interim Election shall govern until the immediately ensuing calendar year. Separate Elections must be made for each calendar year; if an Eligible Director does not make a written Election for any particular calendar year, then such Eligible Director shall be deemed to have elected to receive all meeting fees and his or her retainer fee for that calendar year in cash.</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58" w:name="page59"/>
    <w:bookmarkEnd w:id="58"/>
    <w:p>
      <w:pPr>
        <w:ind w:left="400" w:hanging="187"/>
        <w:spacing w:after="0"/>
        <w:tabs>
          <w:tab w:leader="none" w:pos="4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Common Stock.</w:t>
      </w:r>
    </w:p>
    <w:p>
      <w:pPr>
        <w:spacing w:after="0" w:line="121" w:lineRule="exact"/>
        <w:rPr>
          <w:rFonts w:ascii="Arial" w:cs="Arial" w:eastAsia="Arial" w:hAnsi="Arial"/>
          <w:sz w:val="18"/>
          <w:szCs w:val="18"/>
          <w:b w:val="1"/>
          <w:bCs w:val="1"/>
          <w:color w:val="auto"/>
        </w:rPr>
      </w:pPr>
    </w:p>
    <w:p>
      <w:pPr>
        <w:ind w:left="680" w:hanging="242"/>
        <w:spacing w:after="0"/>
        <w:tabs>
          <w:tab w:leader="none" w:pos="68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Timing and Amounts of Issuances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40" w:firstLine="683"/>
        <w:spacing w:after="0" w:line="277" w:lineRule="auto"/>
        <w:tabs>
          <w:tab w:leader="none" w:pos="870" w:val="left"/>
        </w:tabs>
        <w:numPr>
          <w:ilvl w:val="2"/>
          <w:numId w:val="39"/>
        </w:numPr>
        <w:rPr>
          <w:rFonts w:ascii="Arial" w:cs="Arial" w:eastAsia="Arial" w:hAnsi="Arial"/>
          <w:sz w:val="18"/>
          <w:szCs w:val="18"/>
          <w:color w:val="auto"/>
        </w:rPr>
      </w:pPr>
      <w:r>
        <w:rPr>
          <w:rFonts w:ascii="Arial" w:cs="Arial" w:eastAsia="Arial" w:hAnsi="Arial"/>
          <w:sz w:val="18"/>
          <w:szCs w:val="18"/>
          <w:color w:val="auto"/>
        </w:rPr>
        <w:t>Common Stock issuable to an Eligible Director in lieu of annual retainer or meeting fees shall be issued not later than ten days after the date such annual retainer or meeting fees, as the case may be, would have been paid if paid in cash.</w:t>
      </w:r>
    </w:p>
    <w:p>
      <w:pPr>
        <w:spacing w:after="0" w:line="62" w:lineRule="exact"/>
        <w:rPr>
          <w:rFonts w:ascii="Arial" w:cs="Arial" w:eastAsia="Arial" w:hAnsi="Arial"/>
          <w:sz w:val="18"/>
          <w:szCs w:val="18"/>
          <w:color w:val="auto"/>
        </w:rPr>
      </w:pPr>
    </w:p>
    <w:p>
      <w:pPr>
        <w:jc w:val="both"/>
        <w:ind w:left="-20" w:right="200" w:firstLine="683"/>
        <w:spacing w:after="0" w:line="279" w:lineRule="auto"/>
        <w:tabs>
          <w:tab w:leader="none" w:pos="917" w:val="left"/>
        </w:tabs>
        <w:numPr>
          <w:ilvl w:val="2"/>
          <w:numId w:val="39"/>
        </w:numPr>
        <w:rPr>
          <w:rFonts w:ascii="Arial" w:cs="Arial" w:eastAsia="Arial" w:hAnsi="Arial"/>
          <w:sz w:val="17"/>
          <w:szCs w:val="17"/>
          <w:color w:val="auto"/>
        </w:rPr>
      </w:pPr>
      <w:r>
        <w:rPr>
          <w:rFonts w:ascii="Arial" w:cs="Arial" w:eastAsia="Arial" w:hAnsi="Arial"/>
          <w:sz w:val="17"/>
          <w:szCs w:val="17"/>
          <w:color w:val="auto"/>
        </w:rPr>
        <w:t>The number of shares of Common Stock issuable in lieu of cash annual retainer fees (whether or not deferred) shall be determined by dividing the amount of cash fees being replaced by Common Stock by the Fair Market Value (as defined below) of the Common Stock on the first trading day of the calendar year for which the annual retainer is being paid (or January 27 in the case of 2000) or, in the case of an annual retainer being paid to a newly appointed or elected Eligible Director for a partial year, on the date such Eligible Director joins the board.</w:t>
      </w:r>
    </w:p>
    <w:p>
      <w:pPr>
        <w:spacing w:after="0" w:line="63" w:lineRule="exact"/>
        <w:rPr>
          <w:rFonts w:ascii="Arial" w:cs="Arial" w:eastAsia="Arial" w:hAnsi="Arial"/>
          <w:sz w:val="17"/>
          <w:szCs w:val="17"/>
          <w:color w:val="auto"/>
        </w:rPr>
      </w:pPr>
    </w:p>
    <w:p>
      <w:pPr>
        <w:ind w:left="-20" w:right="240" w:firstLine="683"/>
        <w:spacing w:after="0" w:line="342" w:lineRule="auto"/>
        <w:tabs>
          <w:tab w:leader="none" w:pos="967" w:val="left"/>
        </w:tabs>
        <w:numPr>
          <w:ilvl w:val="2"/>
          <w:numId w:val="39"/>
        </w:numPr>
        <w:rPr>
          <w:rFonts w:ascii="Arial" w:cs="Arial" w:eastAsia="Arial" w:hAnsi="Arial"/>
          <w:sz w:val="16"/>
          <w:szCs w:val="16"/>
          <w:color w:val="auto"/>
        </w:rPr>
      </w:pPr>
      <w:r>
        <w:rPr>
          <w:rFonts w:ascii="Arial" w:cs="Arial" w:eastAsia="Arial" w:hAnsi="Arial"/>
          <w:sz w:val="16"/>
          <w:szCs w:val="16"/>
          <w:color w:val="auto"/>
        </w:rPr>
        <w:t>The number of shares of Common Stock issuable in lieu of cash meeting fees (whether or not deferred) shall be determined by dividing the amount of cash fees being replaced by Common Stock by the Fair Market Value of the Common Stock on the date of the meeting for which the fee is paid.</w:t>
      </w:r>
    </w:p>
    <w:p>
      <w:pPr>
        <w:spacing w:after="0" w:line="15" w:lineRule="exact"/>
        <w:rPr>
          <w:rFonts w:ascii="Arial" w:cs="Arial" w:eastAsia="Arial" w:hAnsi="Arial"/>
          <w:sz w:val="16"/>
          <w:szCs w:val="16"/>
          <w:color w:val="auto"/>
        </w:rPr>
      </w:pPr>
    </w:p>
    <w:p>
      <w:pPr>
        <w:jc w:val="both"/>
        <w:ind w:left="-20" w:right="20" w:firstLine="458"/>
        <w:spacing w:after="0" w:line="279" w:lineRule="auto"/>
        <w:tabs>
          <w:tab w:leader="none" w:pos="685"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shall be issued under the Plan. The portion of annual retainer or meeting fees that would be paid in Common Stock but for the proscription on fractional shares shall be paid in cash along with any portion of the fee (or the next subsequent fee) that the Eligible Director has elected to receive in cash. For directors electing no cash for a particular calendar year, fractional share equivalent cash balances shall be held by the Company until the end of that calendar year and then distributed in cash to the Eligible Director without interest.</w:t>
      </w:r>
    </w:p>
    <w:p>
      <w:pPr>
        <w:spacing w:after="0" w:line="59" w:lineRule="exact"/>
        <w:rPr>
          <w:rFonts w:ascii="Arial" w:cs="Arial" w:eastAsia="Arial" w:hAnsi="Arial"/>
          <w:sz w:val="17"/>
          <w:szCs w:val="17"/>
          <w:color w:val="auto"/>
        </w:rPr>
      </w:pPr>
    </w:p>
    <w:p>
      <w:pPr>
        <w:ind w:left="-20" w:firstLine="458"/>
        <w:spacing w:after="0" w:line="255" w:lineRule="auto"/>
        <w:tabs>
          <w:tab w:leader="none" w:pos="675"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Fair Market Value</w:t>
      </w:r>
      <w:r>
        <w:rPr>
          <w:rFonts w:ascii="Arial" w:cs="Arial" w:eastAsia="Arial" w:hAnsi="Arial"/>
          <w:sz w:val="18"/>
          <w:szCs w:val="18"/>
          <w:color w:val="auto"/>
        </w:rPr>
        <w:t>. For the purposes of the Plan, the “</w:t>
      </w:r>
      <w:r>
        <w:rPr>
          <w:rFonts w:ascii="Arial" w:cs="Arial" w:eastAsia="Arial" w:hAnsi="Arial"/>
          <w:sz w:val="18"/>
          <w:szCs w:val="18"/>
          <w:b w:val="1"/>
          <w:bCs w:val="1"/>
          <w:color w:val="auto"/>
        </w:rPr>
        <w:t>Fair Market Value</w:t>
      </w:r>
      <w:r>
        <w:rPr>
          <w:rFonts w:ascii="Arial" w:cs="Arial" w:eastAsia="Arial" w:hAnsi="Arial"/>
          <w:sz w:val="18"/>
          <w:szCs w:val="18"/>
          <w:color w:val="auto"/>
        </w:rPr>
        <w:t>” of the Common Stock as of any issuance or deferral date shall be the closing price of the Common Stock on the New York Stock Exchange (or another national stock exchange or the NASDAQ National Market System, if the Common Stock trades thereon but not on the NYSE) as of such date (or, if no such shares were traded on such date, as of the next preceding day on which there was such a trade, provided that the closing price on such preceding date is not less than 100% of the fair market value of the Common Stock, as determined in good faith by the Company, on the date of issuance). If at any time the Common Stock is no longer traded on a national stock exchange or the NASDAQ National Market System, the Fair Market Value of the Common Stock as of any issuance date shall be as determined by the Company in good faith in the exercise of its reasonable discretion.</w:t>
      </w:r>
    </w:p>
    <w:p>
      <w:pPr>
        <w:spacing w:after="0" w:line="85" w:lineRule="exact"/>
        <w:rPr>
          <w:rFonts w:ascii="Arial" w:cs="Arial" w:eastAsia="Arial" w:hAnsi="Arial"/>
          <w:sz w:val="18"/>
          <w:szCs w:val="18"/>
          <w:color w:val="auto"/>
        </w:rPr>
      </w:pPr>
    </w:p>
    <w:p>
      <w:pPr>
        <w:ind w:left="-20" w:right="100" w:firstLine="458"/>
        <w:spacing w:after="0" w:line="308" w:lineRule="auto"/>
        <w:tabs>
          <w:tab w:leader="none" w:pos="685"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Issuance of Certificates</w:t>
      </w:r>
      <w:r>
        <w:rPr>
          <w:rFonts w:ascii="Arial" w:cs="Arial" w:eastAsia="Arial" w:hAnsi="Arial"/>
          <w:sz w:val="17"/>
          <w:szCs w:val="17"/>
          <w:color w:val="auto"/>
        </w:rPr>
        <w:t>. As promptly as practicable following each issuance of Common Stock hereunder, the Company shall issue to the recipient Eligible Director a stock certificate or certificates registered in his or her name representing the number of shares of Common Stock issued.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2" w:right="259" w:bottom="1440" w:gutter="0" w:footer="0" w:header="0"/>
        </w:sectPr>
      </w:pPr>
    </w:p>
    <w:bookmarkStart w:id="59" w:name="page60"/>
    <w:bookmarkEnd w:id="59"/>
    <w:p>
      <w:pPr>
        <w:ind w:left="400" w:hanging="187"/>
        <w:spacing w:after="0"/>
        <w:tabs>
          <w:tab w:leader="none" w:pos="4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Deferral</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20" w:firstLine="458"/>
        <w:spacing w:after="0" w:line="255" w:lineRule="auto"/>
        <w:tabs>
          <w:tab w:leader="none" w:pos="675"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Election to Defer</w:t>
      </w:r>
      <w:r>
        <w:rPr>
          <w:rFonts w:ascii="Arial" w:cs="Arial" w:eastAsia="Arial" w:hAnsi="Arial"/>
          <w:sz w:val="18"/>
          <w:szCs w:val="18"/>
          <w:color w:val="auto"/>
        </w:rPr>
        <w:t>. An Eligible Director may elect to defer the receipt of any cash or stock annual retainer or meeting fees payable during the period to which an Election applies. Any such deferral election by an Eligible Director shall specify whether the fees to be deferred are fees that the Eligible Director is required or has elected to receive in Common Stock, and shall be made and take effect at the times specified in the Company’s Deferred Compensation Plan (the “</w:t>
      </w:r>
      <w:r>
        <w:rPr>
          <w:rFonts w:ascii="Arial" w:cs="Arial" w:eastAsia="Arial" w:hAnsi="Arial"/>
          <w:sz w:val="18"/>
          <w:szCs w:val="18"/>
          <w:b w:val="1"/>
          <w:bCs w:val="1"/>
          <w:color w:val="auto"/>
        </w:rPr>
        <w:t>Deferred Compensation Plan</w:t>
      </w:r>
      <w:r>
        <w:rPr>
          <w:rFonts w:ascii="Arial" w:cs="Arial" w:eastAsia="Arial" w:hAnsi="Arial"/>
          <w:sz w:val="18"/>
          <w:szCs w:val="18"/>
          <w:color w:val="auto"/>
        </w:rPr>
        <w:t>”). The deferral shall not change the form (cash versus Common Stock) in which the fee is to be paid at the end of the deferral period, notwithstanding the fact that during the deferral period fees ultimately payable in Common Stock may be general unsecured obligations of the Company to the Eligible Director.</w:t>
      </w:r>
    </w:p>
    <w:p>
      <w:pPr>
        <w:spacing w:after="0" w:line="85" w:lineRule="exact"/>
        <w:rPr>
          <w:rFonts w:ascii="Arial" w:cs="Arial" w:eastAsia="Arial" w:hAnsi="Arial"/>
          <w:sz w:val="18"/>
          <w:szCs w:val="18"/>
          <w:color w:val="auto"/>
        </w:rPr>
      </w:pPr>
    </w:p>
    <w:p>
      <w:pPr>
        <w:ind w:left="700" w:hanging="262"/>
        <w:spacing w:after="0"/>
        <w:tabs>
          <w:tab w:leader="none" w:pos="7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20" w:right="120" w:firstLine="458"/>
        <w:spacing w:after="0" w:line="264" w:lineRule="auto"/>
        <w:tabs>
          <w:tab w:leader="none" w:pos="675"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Plan Shares</w:t>
      </w:r>
      <w:r>
        <w:rPr>
          <w:rFonts w:ascii="Arial" w:cs="Arial" w:eastAsia="Arial" w:hAnsi="Arial"/>
          <w:sz w:val="18"/>
          <w:szCs w:val="18"/>
          <w:color w:val="auto"/>
        </w:rPr>
        <w:t>. All shares issued or issuable under the Plan, including deferred shares and shares issuable as premiums on deferrals, shall be deducted from the shares available under the Plan at the time first issued or deferred, provided that shares deferred and not ultimately issued and delivered to the Eligible Director shall be returned to the pool of available shares under the Plan.</w:t>
      </w:r>
    </w:p>
    <w:p>
      <w:pPr>
        <w:spacing w:after="0" w:line="73" w:lineRule="exact"/>
        <w:rPr>
          <w:rFonts w:ascii="Arial" w:cs="Arial" w:eastAsia="Arial" w:hAnsi="Arial"/>
          <w:sz w:val="18"/>
          <w:szCs w:val="18"/>
          <w:color w:val="auto"/>
        </w:rPr>
      </w:pPr>
    </w:p>
    <w:p>
      <w:pPr>
        <w:ind w:left="-20" w:right="80" w:firstLine="458"/>
        <w:spacing w:after="0" w:line="277" w:lineRule="auto"/>
        <w:tabs>
          <w:tab w:leader="none" w:pos="685"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Deferred Compensation Plan</w:t>
      </w:r>
      <w:r>
        <w:rPr>
          <w:rFonts w:ascii="Arial" w:cs="Arial" w:eastAsia="Arial" w:hAnsi="Arial"/>
          <w:sz w:val="18"/>
          <w:szCs w:val="18"/>
          <w:color w:val="auto"/>
        </w:rPr>
        <w:t>. Deferral of Eligible Directors’ fees, whether payable in cash or Common Stock and including any premiums, shall be administered pursuant to the Deferred Compensation Plan.</w:t>
      </w:r>
    </w:p>
    <w:p>
      <w:pPr>
        <w:spacing w:after="0" w:line="58" w:lineRule="exact"/>
        <w:rPr>
          <w:rFonts w:ascii="Arial" w:cs="Arial" w:eastAsia="Arial" w:hAnsi="Arial"/>
          <w:sz w:val="18"/>
          <w:szCs w:val="18"/>
          <w:color w:val="auto"/>
        </w:rPr>
      </w:pPr>
    </w:p>
    <w:p>
      <w:pPr>
        <w:ind w:left="400" w:hanging="187"/>
        <w:spacing w:after="0"/>
        <w:tabs>
          <w:tab w:leader="none" w:pos="4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Laws.</w:t>
      </w:r>
    </w:p>
    <w:p>
      <w:pPr>
        <w:spacing w:after="0" w:line="121" w:lineRule="exact"/>
        <w:rPr>
          <w:rFonts w:ascii="Arial" w:cs="Arial" w:eastAsia="Arial" w:hAnsi="Arial"/>
          <w:sz w:val="18"/>
          <w:szCs w:val="18"/>
          <w:b w:val="1"/>
          <w:bCs w:val="1"/>
          <w:color w:val="auto"/>
        </w:rPr>
      </w:pPr>
    </w:p>
    <w:p>
      <w:pPr>
        <w:ind w:left="-20" w:right="40" w:firstLine="458"/>
        <w:spacing w:after="0" w:line="257" w:lineRule="auto"/>
        <w:tabs>
          <w:tab w:leader="none" w:pos="675"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The Company may require any Eligible Director to whom an issuance of securities is made or a deferred delivery obligation is undertaken as a condition of receiving securities pursuant to such issuance or obligation to give written assurances in substance and form satisfactory to the Company and its counsel to the effect the such person is acquiring the securities for his or her own account for investment and not with any present intention of selling or otherwise distributing the same in violation of applicable securities laws, and to such other effects as the Company deems necessary or appropriate to comply with federal and applicable state securities laws.</w:t>
      </w:r>
    </w:p>
    <w:p>
      <w:pPr>
        <w:spacing w:after="0" w:line="80" w:lineRule="exact"/>
        <w:rPr>
          <w:rFonts w:ascii="Arial" w:cs="Arial" w:eastAsia="Arial" w:hAnsi="Arial"/>
          <w:sz w:val="18"/>
          <w:szCs w:val="18"/>
          <w:color w:val="auto"/>
        </w:rPr>
      </w:pPr>
    </w:p>
    <w:p>
      <w:pPr>
        <w:ind w:left="-20" w:right="20" w:firstLine="458"/>
        <w:spacing w:after="0" w:line="273" w:lineRule="auto"/>
        <w:tabs>
          <w:tab w:leader="none" w:pos="685"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Listing, Registration, and Qualification</w:t>
      </w:r>
      <w:r>
        <w:rPr>
          <w:rFonts w:ascii="Arial" w:cs="Arial" w:eastAsia="Arial" w:hAnsi="Arial"/>
          <w:sz w:val="17"/>
          <w:szCs w:val="17"/>
          <w:color w:val="auto"/>
        </w:rPr>
        <w:t>. Anything to the contrary herein notwithstanding, each issuance of securities shall be subject to the requirement that, if at any time the Company or its counsel shall determine that the listing, registration, or qualification of the securities subject to such issuance upon any securities exchange or under any state or federal law, or the consent or approval of any governmental or regulatory body, is necessary or advisable as a condition of, or in connection with, such issuance of securities, such issuance shall not occur in whole or in part unless such listing, registration, qualification, consent, or approval shall have been effected or obtained on conditions acceptable to the Company. Nothing herein shall be deemed to require the Company to apply for or to obtain such listing, registration, or qualification.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1" w:right="239" w:bottom="1440" w:gutter="0" w:footer="0" w:header="0"/>
        </w:sectPr>
      </w:pPr>
    </w:p>
    <w:bookmarkStart w:id="60" w:name="page61"/>
    <w:bookmarkEnd w:id="60"/>
    <w:p>
      <w:pPr>
        <w:ind w:right="60" w:firstLine="458"/>
        <w:spacing w:after="0" w:line="286" w:lineRule="auto"/>
        <w:tabs>
          <w:tab w:leader="none" w:pos="695"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Restrictions on Transfer</w:t>
      </w:r>
      <w:r>
        <w:rPr>
          <w:rFonts w:ascii="Arial" w:cs="Arial" w:eastAsia="Arial" w:hAnsi="Arial"/>
          <w:sz w:val="17"/>
          <w:szCs w:val="17"/>
          <w:color w:val="auto"/>
        </w:rPr>
        <w:t>. The securities issued under the Plan shall be restricted by the Company as to transfer unless the grants are made under a registration statement that is effective under the Securities Act of 1933, as amended, or unless the Company receives an opinion of counsel satisfactory to the Company to the effect that registration under state or federal securities laws is not required with respect to such transfer.</w:t>
      </w:r>
    </w:p>
    <w:p>
      <w:pPr>
        <w:spacing w:after="0" w:line="53" w:lineRule="exact"/>
        <w:rPr>
          <w:rFonts w:ascii="Arial" w:cs="Arial" w:eastAsia="Arial" w:hAnsi="Arial"/>
          <w:sz w:val="17"/>
          <w:szCs w:val="17"/>
          <w:color w:val="auto"/>
        </w:rPr>
      </w:pPr>
    </w:p>
    <w:p>
      <w:pPr>
        <w:ind w:left="400" w:hanging="167"/>
        <w:spacing w:after="0"/>
        <w:tabs>
          <w:tab w:leader="none" w:pos="4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Taxes.</w:t>
      </w:r>
    </w:p>
    <w:p>
      <w:pPr>
        <w:spacing w:after="0" w:line="121" w:lineRule="exact"/>
        <w:rPr>
          <w:sz w:val="20"/>
          <w:szCs w:val="20"/>
          <w:color w:val="auto"/>
        </w:rPr>
      </w:pPr>
    </w:p>
    <w:p>
      <w:pPr>
        <w:ind w:right="120" w:firstLine="447"/>
        <w:spacing w:after="0" w:line="276" w:lineRule="auto"/>
        <w:rPr>
          <w:sz w:val="20"/>
          <w:szCs w:val="20"/>
          <w:color w:val="auto"/>
        </w:rPr>
      </w:pPr>
      <w:r>
        <w:rPr>
          <w:rFonts w:ascii="Arial" w:cs="Arial" w:eastAsia="Arial" w:hAnsi="Arial"/>
          <w:sz w:val="17"/>
          <w:szCs w:val="17"/>
          <w:color w:val="auto"/>
        </w:rPr>
        <w:t>Whenever shares of Common Stock are to be issued under the Plan, the Company shall have the right prior to the delivery of any certificate or certificates for such shares to require the recipient to remit to the Company an amount sufficient to satisfy federal, state and local withholding tax requirements attributable to the issuance. In the absence of payment by an Eligible Director to the Company of an amount sufficient to satisfy such withholding taxes, or an alternative arrangement with the Eligible Director that is satisfactory to the Company, the Company may make such provisions as it deems appropriate for the withholding of any such taxes which the Company determines it is required to withhold.</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 Amendment of the Plan.</w:t>
      </w:r>
    </w:p>
    <w:p>
      <w:pPr>
        <w:spacing w:after="0" w:line="121" w:lineRule="exact"/>
        <w:rPr>
          <w:sz w:val="20"/>
          <w:szCs w:val="20"/>
          <w:color w:val="auto"/>
        </w:rPr>
      </w:pPr>
    </w:p>
    <w:p>
      <w:pPr>
        <w:ind w:firstLine="447"/>
        <w:spacing w:after="0" w:line="279" w:lineRule="auto"/>
        <w:rPr>
          <w:sz w:val="20"/>
          <w:szCs w:val="20"/>
          <w:color w:val="auto"/>
        </w:rPr>
      </w:pPr>
      <w:r>
        <w:rPr>
          <w:rFonts w:ascii="Arial" w:cs="Arial" w:eastAsia="Arial" w:hAnsi="Arial"/>
          <w:sz w:val="17"/>
          <w:szCs w:val="17"/>
          <w:color w:val="auto"/>
        </w:rPr>
        <w:t>The Board of Directors of the Company may suspend or terminate the Plan or any portion thereof at any time, and may amend the Plan from time-to-time in any respect the Board of Directors may deem to be in the best interests of the Company; provided, however, that no such amendment shall be effective without approval of the stockholders of the Company if stockholder approval of the amendment is then required pursuant to the applicable rules of any securities exchange, or, in the opinion of the Company’s counsel, any other law or regulation binding on the Company.</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 Effective Date and Duration of the Plan.</w:t>
      </w:r>
    </w:p>
    <w:p>
      <w:pPr>
        <w:spacing w:after="0" w:line="121" w:lineRule="exact"/>
        <w:rPr>
          <w:sz w:val="20"/>
          <w:szCs w:val="20"/>
          <w:color w:val="auto"/>
        </w:rPr>
      </w:pPr>
    </w:p>
    <w:p>
      <w:pPr>
        <w:jc w:val="both"/>
        <w:ind w:right="360" w:firstLine="447"/>
        <w:spacing w:after="0" w:line="286" w:lineRule="auto"/>
        <w:rPr>
          <w:sz w:val="20"/>
          <w:szCs w:val="20"/>
          <w:color w:val="auto"/>
        </w:rPr>
      </w:pPr>
      <w:r>
        <w:rPr>
          <w:rFonts w:ascii="Arial" w:cs="Arial" w:eastAsia="Arial" w:hAnsi="Arial"/>
          <w:sz w:val="17"/>
          <w:szCs w:val="17"/>
          <w:color w:val="auto"/>
        </w:rPr>
        <w:t>The Plan shall, subject to approval by the Company’s stockholders at the Company’s 1992 Annual Meeting, be effective January 1, 1993. The Plan shall terminate at 11:59 p.m. on December 31, 2012, unless sooner terminated by action of the Board of Directors. Elections may be made under the Plan prior to its effectiveness, but no issuances under the Plan shall be made before its effectiveness or after its termination.</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 Governing Laws.</w:t>
      </w:r>
    </w:p>
    <w:p>
      <w:pPr>
        <w:spacing w:after="0" w:line="121" w:lineRule="exact"/>
        <w:rPr>
          <w:sz w:val="20"/>
          <w:szCs w:val="20"/>
          <w:color w:val="auto"/>
        </w:rPr>
      </w:pPr>
    </w:p>
    <w:p>
      <w:pPr>
        <w:ind w:right="560" w:firstLine="447"/>
        <w:spacing w:after="0" w:line="277" w:lineRule="auto"/>
        <w:rPr>
          <w:sz w:val="20"/>
          <w:szCs w:val="20"/>
          <w:color w:val="auto"/>
        </w:rPr>
      </w:pPr>
      <w:r>
        <w:rPr>
          <w:rFonts w:ascii="Arial" w:cs="Arial" w:eastAsia="Arial" w:hAnsi="Arial"/>
          <w:sz w:val="18"/>
          <w:szCs w:val="18"/>
          <w:color w:val="auto"/>
        </w:rPr>
        <w:t>The Plan and all rights and obligations under the Plan shall be construed in accordance with and governed by the laws of the State of California, excluding its conflicts of laws principles.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936" w:right="25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2004 PERFORMANCE INCENTIVE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RESTRICTED STOCK UNIT GRANT PROGRAM</w:t>
      </w:r>
    </w:p>
    <w:p>
      <w:pPr>
        <w:spacing w:after="0" w:line="117" w:lineRule="exact"/>
        <w:rPr>
          <w:sz w:val="20"/>
          <w:szCs w:val="20"/>
          <w:color w:val="auto"/>
        </w:rPr>
      </w:pPr>
    </w:p>
    <w:p>
      <w:pPr>
        <w:ind w:right="120" w:firstLine="8"/>
        <w:spacing w:after="0" w:line="272" w:lineRule="auto"/>
        <w:tabs>
          <w:tab w:leader="none" w:pos="18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Establishment</w:t>
      </w:r>
      <w:r>
        <w:rPr>
          <w:rFonts w:ascii="Arial" w:cs="Arial" w:eastAsia="Arial" w:hAnsi="Arial"/>
          <w:sz w:val="17"/>
          <w:szCs w:val="17"/>
          <w:color w:val="auto"/>
        </w:rPr>
        <w:t>. The Corporation maintains the Western Digital Corporation Non-Employee Directors Restricted Stock Unit Plan, which plan is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and restated in its entirety effective as of November 17, 2005 (the “</w:t>
      </w:r>
      <w:r>
        <w:rPr>
          <w:rFonts w:ascii="Arial" w:cs="Arial" w:eastAsia="Arial" w:hAnsi="Arial"/>
          <w:sz w:val="17"/>
          <w:szCs w:val="17"/>
          <w:b w:val="1"/>
          <w:bCs w:val="1"/>
          <w:color w:val="auto"/>
        </w:rPr>
        <w:t>Effective Date</w:t>
      </w:r>
      <w:r>
        <w:rPr>
          <w:rFonts w:ascii="Arial" w:cs="Arial" w:eastAsia="Arial" w:hAnsi="Arial"/>
          <w:sz w:val="17"/>
          <w:szCs w:val="17"/>
          <w:color w:val="auto"/>
        </w:rPr>
        <w:t>”) as set forth herein and is hereby renamed the Non-Employee Director Restricted Stock Unit Grant Program (the “</w:t>
      </w:r>
      <w:r>
        <w:rPr>
          <w:rFonts w:ascii="Arial" w:cs="Arial" w:eastAsia="Arial" w:hAnsi="Arial"/>
          <w:sz w:val="17"/>
          <w:szCs w:val="17"/>
          <w:b w:val="1"/>
          <w:bCs w:val="1"/>
          <w:color w:val="auto"/>
        </w:rPr>
        <w:t>Program</w:t>
      </w:r>
      <w:r>
        <w:rPr>
          <w:rFonts w:ascii="Arial" w:cs="Arial" w:eastAsia="Arial" w:hAnsi="Arial"/>
          <w:sz w:val="17"/>
          <w:szCs w:val="17"/>
          <w:color w:val="auto"/>
        </w:rPr>
        <w:t>”). This amendment and restatement of the Program is effective as to grants on and after the Effective Date; awards granted under the Program prior to the Effective Date are governed by the applicable terms of the Program as in effect on the date of grant of the award. The Program has been restated as an Appendix to, and any shares of Common Stock issued with respect to awards granted under the Program on and after the Effective Date shall be charged against the applicable share limits of, the Western Digital Corporation Amended and Restated 2004 Performance Incentive Plan (the “</w:t>
      </w:r>
      <w:r>
        <w:rPr>
          <w:rFonts w:ascii="Arial" w:cs="Arial" w:eastAsia="Arial" w:hAnsi="Arial"/>
          <w:sz w:val="17"/>
          <w:szCs w:val="17"/>
          <w:b w:val="1"/>
          <w:bCs w:val="1"/>
          <w:color w:val="auto"/>
        </w:rPr>
        <w:t>Plan</w:t>
      </w:r>
      <w:r>
        <w:rPr>
          <w:rFonts w:ascii="Arial" w:cs="Arial" w:eastAsia="Arial" w:hAnsi="Arial"/>
          <w:sz w:val="17"/>
          <w:szCs w:val="17"/>
          <w:color w:val="auto"/>
        </w:rPr>
        <w:t>”). Except as otherwise expressly provided herein, the provisions of the Plan shall govern all awards made pursuant to the Program. Capitalized terms are defined in the Plan if not defined herein.</w:t>
      </w:r>
    </w:p>
    <w:p>
      <w:pPr>
        <w:spacing w:after="0" w:line="64" w:lineRule="exact"/>
        <w:rPr>
          <w:rFonts w:ascii="Arial" w:cs="Arial" w:eastAsia="Arial" w:hAnsi="Arial"/>
          <w:sz w:val="17"/>
          <w:szCs w:val="17"/>
          <w:b w:val="1"/>
          <w:bCs w:val="1"/>
          <w:color w:val="auto"/>
        </w:rPr>
      </w:pPr>
    </w:p>
    <w:p>
      <w:pPr>
        <w:jc w:val="both"/>
        <w:ind w:right="80" w:firstLine="8"/>
        <w:spacing w:after="0" w:line="289" w:lineRule="auto"/>
        <w:tabs>
          <w:tab w:leader="none" w:pos="18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Purpose</w:t>
      </w:r>
      <w:r>
        <w:rPr>
          <w:rFonts w:ascii="Arial" w:cs="Arial" w:eastAsia="Arial" w:hAnsi="Arial"/>
          <w:sz w:val="17"/>
          <w:szCs w:val="17"/>
          <w:color w:val="auto"/>
        </w:rPr>
        <w:t>. The purpose of the Program is to promote the success of the Corporation and the interests of its stockholders by providing members of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who are not officers or employees of the Corporation or one of its Subsidiaries (“</w:t>
      </w:r>
      <w:r>
        <w:rPr>
          <w:rFonts w:ascii="Arial" w:cs="Arial" w:eastAsia="Arial" w:hAnsi="Arial"/>
          <w:sz w:val="17"/>
          <w:szCs w:val="17"/>
          <w:b w:val="1"/>
          <w:bCs w:val="1"/>
          <w:color w:val="auto"/>
        </w:rPr>
        <w:t>Non-Employee Directors</w:t>
      </w:r>
      <w:r>
        <w:rPr>
          <w:rFonts w:ascii="Arial" w:cs="Arial" w:eastAsia="Arial" w:hAnsi="Arial"/>
          <w:sz w:val="17"/>
          <w:szCs w:val="17"/>
          <w:color w:val="auto"/>
        </w:rPr>
        <w:t>”) an opportunity to acquire an ownership interest in the Corporation and more closely aligning the interests of Non-Employee Directors and stockholders.</w:t>
      </w:r>
    </w:p>
    <w:p>
      <w:pPr>
        <w:spacing w:after="0" w:line="50" w:lineRule="exact"/>
        <w:rPr>
          <w:rFonts w:ascii="Arial" w:cs="Arial" w:eastAsia="Arial" w:hAnsi="Arial"/>
          <w:sz w:val="17"/>
          <w:szCs w:val="17"/>
          <w:b w:val="1"/>
          <w:bCs w:val="1"/>
          <w:color w:val="auto"/>
        </w:rPr>
      </w:pPr>
    </w:p>
    <w:p>
      <w:pPr>
        <w:ind w:right="20" w:firstLine="8"/>
        <w:spacing w:after="0" w:line="272" w:lineRule="auto"/>
        <w:tabs>
          <w:tab w:leader="none" w:pos="18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Participation</w:t>
      </w:r>
      <w:r>
        <w:rPr>
          <w:rFonts w:ascii="Arial" w:cs="Arial" w:eastAsia="Arial" w:hAnsi="Arial"/>
          <w:sz w:val="17"/>
          <w:szCs w:val="17"/>
          <w:color w:val="auto"/>
        </w:rPr>
        <w:t>. An award of Stock Units (a “</w:t>
      </w:r>
      <w:r>
        <w:rPr>
          <w:rFonts w:ascii="Arial" w:cs="Arial" w:eastAsia="Arial" w:hAnsi="Arial"/>
          <w:sz w:val="17"/>
          <w:szCs w:val="17"/>
          <w:b w:val="1"/>
          <w:bCs w:val="1"/>
          <w:color w:val="auto"/>
        </w:rPr>
        <w:t>Stock Unit Award</w:t>
      </w:r>
      <w:r>
        <w:rPr>
          <w:rFonts w:ascii="Arial" w:cs="Arial" w:eastAsia="Arial" w:hAnsi="Arial"/>
          <w:sz w:val="17"/>
          <w:szCs w:val="17"/>
          <w:color w:val="auto"/>
        </w:rPr>
        <w:t>”) under the Program shall be made only to Non-Employee Directors, shall be evidenced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 Notice of Award of Stock Units substantially in the form attached as </w:t>
      </w:r>
      <w:r>
        <w:rPr>
          <w:rFonts w:ascii="Arial" w:cs="Arial" w:eastAsia="Arial" w:hAnsi="Arial"/>
          <w:sz w:val="17"/>
          <w:szCs w:val="17"/>
          <w:u w:val="single" w:color="auto"/>
          <w:color w:val="auto"/>
        </w:rPr>
        <w:t>Exhibit 1</w:t>
      </w:r>
      <w:r>
        <w:rPr>
          <w:rFonts w:ascii="Arial" w:cs="Arial" w:eastAsia="Arial" w:hAnsi="Arial"/>
          <w:sz w:val="17"/>
          <w:szCs w:val="17"/>
          <w:color w:val="auto"/>
        </w:rPr>
        <w:t xml:space="preserve"> hereto and shall be further subject to such other terms and conditions set forth therein. As used in the Program, the term “</w:t>
      </w:r>
      <w:r>
        <w:rPr>
          <w:rFonts w:ascii="Arial" w:cs="Arial" w:eastAsia="Arial" w:hAnsi="Arial"/>
          <w:sz w:val="17"/>
          <w:szCs w:val="17"/>
          <w:b w:val="1"/>
          <w:bCs w:val="1"/>
          <w:color w:val="auto"/>
        </w:rPr>
        <w:t>Stock Unit</w:t>
      </w:r>
      <w:r>
        <w:rPr>
          <w:rFonts w:ascii="Arial" w:cs="Arial" w:eastAsia="Arial" w:hAnsi="Arial"/>
          <w:sz w:val="17"/>
          <w:szCs w:val="17"/>
          <w:color w:val="auto"/>
        </w:rPr>
        <w:t>” shall mean a non-voting unit of measurement which is deemed for bookkeeping purposes to be equivalent to one outstanding share of Common Stock (subject to adjustment as provided in Section 7.1 of the Plan) solely for purposes of the Program. Stock Units shall be used solely as a device for the determination of the number of shares of Common Stock to eventually be delivered to a Non-Employee Director if Stock Units held by such Non-Employee Director vest pursuant to Section 6 or Section 8. Stock Units shall not be treated as property or as a trust fund of any kind. Stock Units granted to a Non-Employee Director pursuant to the Program shall be credited to an unfunded bookkeeping account maintained by the Corporation on behalf of the Non-Employee Director (a “</w:t>
      </w:r>
      <w:r>
        <w:rPr>
          <w:rFonts w:ascii="Arial" w:cs="Arial" w:eastAsia="Arial" w:hAnsi="Arial"/>
          <w:sz w:val="17"/>
          <w:szCs w:val="17"/>
          <w:b w:val="1"/>
          <w:bCs w:val="1"/>
          <w:color w:val="auto"/>
        </w:rPr>
        <w:t>Program Account</w:t>
      </w:r>
      <w:r>
        <w:rPr>
          <w:rFonts w:ascii="Arial" w:cs="Arial" w:eastAsia="Arial" w:hAnsi="Arial"/>
          <w:sz w:val="17"/>
          <w:szCs w:val="17"/>
          <w:color w:val="auto"/>
        </w:rPr>
        <w:t>”).</w:t>
      </w:r>
    </w:p>
    <w:p>
      <w:pPr>
        <w:spacing w:after="0" w:line="64" w:lineRule="exact"/>
        <w:rPr>
          <w:rFonts w:ascii="Arial" w:cs="Arial" w:eastAsia="Arial" w:hAnsi="Arial"/>
          <w:sz w:val="17"/>
          <w:szCs w:val="17"/>
          <w:b w:val="1"/>
          <w:bCs w:val="1"/>
          <w:color w:val="auto"/>
        </w:rPr>
      </w:pPr>
    </w:p>
    <w:p>
      <w:pPr>
        <w:ind w:left="180" w:hanging="172"/>
        <w:spacing w:after="0"/>
        <w:tabs>
          <w:tab w:leader="none" w:pos="1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Annual Stock Unit Awards</w:t>
      </w:r>
      <w:r>
        <w:rPr>
          <w:rFonts w:ascii="Arial" w:cs="Arial" w:eastAsia="Arial" w:hAnsi="Arial"/>
          <w:sz w:val="18"/>
          <w:szCs w:val="18"/>
          <w:color w:val="auto"/>
        </w:rPr>
        <w:t>.</w:t>
      </w:r>
    </w:p>
    <w:p>
      <w:pPr>
        <w:spacing w:after="0" w:line="117" w:lineRule="exact"/>
        <w:rPr>
          <w:sz w:val="20"/>
          <w:szCs w:val="20"/>
          <w:color w:val="auto"/>
        </w:rPr>
      </w:pPr>
    </w:p>
    <w:p>
      <w:pPr>
        <w:jc w:val="both"/>
        <w:ind w:left="360" w:right="40"/>
        <w:spacing w:after="0" w:line="266"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i w:val="1"/>
          <w:iCs w:val="1"/>
          <w:color w:val="auto"/>
        </w:rPr>
        <w:t>Annual Awards</w:t>
      </w:r>
      <w:r>
        <w:rPr>
          <w:rFonts w:ascii="Arial" w:cs="Arial" w:eastAsia="Arial" w:hAnsi="Arial"/>
          <w:sz w:val="18"/>
          <w:szCs w:val="18"/>
          <w:color w:val="auto"/>
        </w:rPr>
        <w:t>. On each January 1 during the term of the Plan commencing on January 1, 2006, each Non-Employee Director then in office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automatically (without any action by the Board or the Administrator) a Stock Unit Award with respect to a number (rounded down to the nearest whole number) of Stock Units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2" w:name="page63"/>
    <w:bookmarkEnd w:id="62"/>
    <w:p>
      <w:pPr>
        <w:jc w:val="both"/>
        <w:ind w:left="352" w:right="80"/>
        <w:spacing w:after="0" w:line="312" w:lineRule="auto"/>
        <w:rPr>
          <w:sz w:val="20"/>
          <w:szCs w:val="20"/>
          <w:color w:val="auto"/>
        </w:rPr>
      </w:pPr>
      <w:r>
        <w:rPr>
          <w:rFonts w:ascii="Arial" w:cs="Arial" w:eastAsia="Arial" w:hAnsi="Arial"/>
          <w:sz w:val="16"/>
          <w:szCs w:val="16"/>
          <w:color w:val="auto"/>
        </w:rPr>
        <w:t>equal to (i) $100,000, divided by (ii) the Fair Market Value of a share of Common Stock on the applicable January 1 (subject to adjustment as provided in Section 7.1 of the Plan). An individual who was previously a member of the Board, who then ceased to be a member of the Board for any reason, and who then again becomes a Non-Employee Director shall thereupon again become eligible to be granted Stock Units under this Section 4.1.</w:t>
      </w:r>
    </w:p>
    <w:p>
      <w:pPr>
        <w:spacing w:after="0" w:line="35" w:lineRule="exact"/>
        <w:rPr>
          <w:sz w:val="20"/>
          <w:szCs w:val="20"/>
          <w:color w:val="auto"/>
        </w:rPr>
      </w:pPr>
    </w:p>
    <w:p>
      <w:pPr>
        <w:ind w:left="352"/>
        <w:spacing w:after="0" w:line="277" w:lineRule="auto"/>
        <w:rPr>
          <w:sz w:val="20"/>
          <w:szCs w:val="20"/>
          <w:color w:val="auto"/>
        </w:rPr>
      </w:pPr>
      <w:r>
        <w:rPr>
          <w:rFonts w:ascii="Arial" w:cs="Arial" w:eastAsia="Arial" w:hAnsi="Arial"/>
          <w:sz w:val="17"/>
          <w:szCs w:val="17"/>
          <w:b w:val="1"/>
          <w:bCs w:val="1"/>
          <w:color w:val="auto"/>
        </w:rPr>
        <w:t xml:space="preserve">4.2 </w:t>
      </w:r>
      <w:r>
        <w:rPr>
          <w:rFonts w:ascii="Arial" w:cs="Arial" w:eastAsia="Arial" w:hAnsi="Arial"/>
          <w:sz w:val="17"/>
          <w:szCs w:val="17"/>
          <w:b w:val="1"/>
          <w:bCs w:val="1"/>
          <w:i w:val="1"/>
          <w:iCs w:val="1"/>
          <w:color w:val="auto"/>
        </w:rPr>
        <w:t>Initial Award for New Directors</w:t>
      </w:r>
      <w:r>
        <w:rPr>
          <w:rFonts w:ascii="Arial" w:cs="Arial" w:eastAsia="Arial" w:hAnsi="Arial"/>
          <w:sz w:val="17"/>
          <w:szCs w:val="17"/>
          <w:color w:val="auto"/>
        </w:rPr>
        <w:t>. Upon first being appointed or elected to the Board at any time after January 1, 2006, a Non-Employee Director who</w:t>
      </w:r>
      <w:r>
        <w:rPr>
          <w:rFonts w:ascii="Arial" w:cs="Arial" w:eastAsia="Arial" w:hAnsi="Arial"/>
          <w:sz w:val="17"/>
          <w:szCs w:val="17"/>
          <w:b w:val="1"/>
          <w:bCs w:val="1"/>
          <w:color w:val="auto"/>
        </w:rPr>
        <w:t xml:space="preserve"> </w:t>
      </w:r>
      <w:r>
        <w:rPr>
          <w:rFonts w:ascii="Arial" w:cs="Arial" w:eastAsia="Arial" w:hAnsi="Arial"/>
          <w:sz w:val="17"/>
          <w:szCs w:val="17"/>
          <w:color w:val="auto"/>
        </w:rPr>
        <w:t>has not previously served on the Board shall be granted automatically (without any action by the Board or the Administrator) a Stock Unit Award with respect to a number of Stock Units equal to (i) the number of Stock Units in the Annual Award immediately preceding the date such Non-Employee Director is first appointed or elected to the Board, divided by (ii) 365, multiplied by (iii) the number of days from the date such Non-Employee Director is first appointed or elected to the Board to the immediately following January 1.</w:t>
      </w:r>
    </w:p>
    <w:p>
      <w:pPr>
        <w:spacing w:after="0" w:line="60" w:lineRule="exact"/>
        <w:rPr>
          <w:sz w:val="20"/>
          <w:szCs w:val="20"/>
          <w:color w:val="auto"/>
        </w:rPr>
      </w:pPr>
    </w:p>
    <w:p>
      <w:pPr>
        <w:ind w:left="352" w:right="220"/>
        <w:spacing w:after="0" w:line="266"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i w:val="1"/>
          <w:iCs w:val="1"/>
          <w:color w:val="auto"/>
        </w:rPr>
        <w:t>Transfer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Units granted pursuant to this Section 4 shall be subject to the transfer restrictions set forth in Section 5.7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clarity, the Administrator has not approved any transfer exceptions with respect to Stock Units granted pursuant to the Program in accordance with Section 5.7.2 of the Plan.</w:t>
      </w:r>
    </w:p>
    <w:p>
      <w:pPr>
        <w:spacing w:after="0" w:line="68" w:lineRule="exact"/>
        <w:rPr>
          <w:sz w:val="20"/>
          <w:szCs w:val="20"/>
          <w:color w:val="auto"/>
        </w:rPr>
      </w:pPr>
    </w:p>
    <w:p>
      <w:pPr>
        <w:ind w:left="172" w:hanging="172"/>
        <w:spacing w:after="0"/>
        <w:tabs>
          <w:tab w:leader="none" w:pos="17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 and Voting Rights</w:t>
      </w:r>
      <w:r>
        <w:rPr>
          <w:rFonts w:ascii="Arial" w:cs="Arial" w:eastAsia="Arial" w:hAnsi="Arial"/>
          <w:sz w:val="18"/>
          <w:szCs w:val="18"/>
          <w:color w:val="auto"/>
        </w:rPr>
        <w:t>.</w:t>
      </w:r>
    </w:p>
    <w:p>
      <w:pPr>
        <w:spacing w:after="0" w:line="117" w:lineRule="exact"/>
        <w:rPr>
          <w:sz w:val="20"/>
          <w:szCs w:val="20"/>
          <w:color w:val="auto"/>
        </w:rPr>
      </w:pPr>
    </w:p>
    <w:p>
      <w:pPr>
        <w:jc w:val="both"/>
        <w:ind w:left="352" w:right="80"/>
        <w:spacing w:after="0" w:line="277" w:lineRule="auto"/>
        <w:rPr>
          <w:sz w:val="20"/>
          <w:szCs w:val="20"/>
          <w:color w:val="auto"/>
        </w:rPr>
      </w:pPr>
      <w:r>
        <w:rPr>
          <w:rFonts w:ascii="Arial" w:cs="Arial" w:eastAsia="Arial" w:hAnsi="Arial"/>
          <w:sz w:val="17"/>
          <w:szCs w:val="17"/>
          <w:b w:val="1"/>
          <w:bCs w:val="1"/>
          <w:color w:val="auto"/>
        </w:rPr>
        <w:t xml:space="preserve">5.1 </w:t>
      </w:r>
      <w:r>
        <w:rPr>
          <w:rFonts w:ascii="Arial" w:cs="Arial" w:eastAsia="Arial" w:hAnsi="Arial"/>
          <w:sz w:val="17"/>
          <w:szCs w:val="17"/>
          <w:b w:val="1"/>
          <w:bCs w:val="1"/>
          <w:i w:val="1"/>
          <w:iCs w:val="1"/>
          <w:color w:val="auto"/>
        </w:rPr>
        <w:t>Limitation of Rights Associated with Stock Units</w:t>
      </w:r>
      <w:r>
        <w:rPr>
          <w:rFonts w:ascii="Arial" w:cs="Arial" w:eastAsia="Arial" w:hAnsi="Arial"/>
          <w:sz w:val="17"/>
          <w:szCs w:val="17"/>
          <w:color w:val="auto"/>
        </w:rPr>
        <w:t>. A Non-Employee Director shall have no rights as a stockholder of the Corporation, no dividend</w:t>
      </w:r>
      <w:r>
        <w:rPr>
          <w:rFonts w:ascii="Arial" w:cs="Arial" w:eastAsia="Arial" w:hAnsi="Arial"/>
          <w:sz w:val="17"/>
          <w:szCs w:val="17"/>
          <w:b w:val="1"/>
          <w:bCs w:val="1"/>
          <w:color w:val="auto"/>
        </w:rPr>
        <w:t xml:space="preserve"> </w:t>
      </w:r>
      <w:r>
        <w:rPr>
          <w:rFonts w:ascii="Arial" w:cs="Arial" w:eastAsia="Arial" w:hAnsi="Arial"/>
          <w:sz w:val="17"/>
          <w:szCs w:val="17"/>
          <w:color w:val="auto"/>
        </w:rPr>
        <w:t>rights (except as expressly provided in Section 5.2 with respect to dividend equivalent rights) and no voting rights, with respect to Stock Units granted pursuant to the Program and any shares of Common Stock underlying or issuable in respect of such Stock Units until such shares of Common Stock are actually issued to and held of record by the Non-Employee Director. No adjustments will be made for dividends or other rights of a holder for which the record date is prior to the date of issuance of the stock certificate.</w:t>
      </w:r>
    </w:p>
    <w:p>
      <w:pPr>
        <w:spacing w:after="0" w:line="60" w:lineRule="exact"/>
        <w:rPr>
          <w:sz w:val="20"/>
          <w:szCs w:val="20"/>
          <w:color w:val="auto"/>
        </w:rPr>
      </w:pPr>
    </w:p>
    <w:p>
      <w:pPr>
        <w:ind w:left="352" w:right="40"/>
        <w:spacing w:after="0" w:line="271" w:lineRule="auto"/>
        <w:rPr>
          <w:sz w:val="20"/>
          <w:szCs w:val="20"/>
          <w:color w:val="auto"/>
        </w:rPr>
      </w:pPr>
      <w:r>
        <w:rPr>
          <w:rFonts w:ascii="Arial" w:cs="Arial" w:eastAsia="Arial" w:hAnsi="Arial"/>
          <w:sz w:val="17"/>
          <w:szCs w:val="17"/>
          <w:b w:val="1"/>
          <w:bCs w:val="1"/>
          <w:color w:val="auto"/>
        </w:rPr>
        <w:t xml:space="preserve">5.2 </w:t>
      </w:r>
      <w:r>
        <w:rPr>
          <w:rFonts w:ascii="Arial" w:cs="Arial" w:eastAsia="Arial" w:hAnsi="Arial"/>
          <w:sz w:val="17"/>
          <w:szCs w:val="17"/>
          <w:b w:val="1"/>
          <w:bCs w:val="1"/>
          <w:i w:val="1"/>
          <w:iCs w:val="1"/>
          <w:color w:val="auto"/>
        </w:rPr>
        <w:t>Dividend Equivalent Rights</w:t>
      </w:r>
      <w:r>
        <w:rPr>
          <w:rFonts w:ascii="Arial" w:cs="Arial" w:eastAsia="Arial" w:hAnsi="Arial"/>
          <w:sz w:val="17"/>
          <w:szCs w:val="17"/>
          <w:color w:val="auto"/>
        </w:rPr>
        <w:t>. As of any date that the Corporation pays a dividend (other than in shares of Common Stock) upon issued and</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Common Stock, or makes a distribution (other than in shares of Common Stock) with respect thereto, a Non-Employee Director’s Program Account shall be credited with an additional number (rounded down to the nearest whole number) of Stock Units equal to (i) the “fair value” of any dividend (or other distribution) with respect to one share of Common Stock, multiplied by (ii) the number of unvested Stock Units credited to the Non-Employee Director’s Program Account immediately prior to such dividend or distribution, divided by (iii) the Fair Market Value of a share of Common Stock on the date of payment of such dividend or distribution. In the case of a cash dividend or distribution, the “fair value” thereof shall be the amount of such cash, and, in the case of any other dividend or distribution (other than in shares of Common Stock), the “fair value” thereof shall be such amount as shall be determined in good faith by the Administrator. Stock Units credited pursuant to the foregoing provisions of this Section 5.2 shall be subject to the same vesting, payment and other terms, conditions and restrictions as the original Stock</w:t>
      </w:r>
    </w:p>
    <w:p>
      <w:pPr>
        <w:spacing w:after="0" w:line="15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63" w:name="page64"/>
    <w:bookmarkEnd w:id="63"/>
    <w:p>
      <w:pPr>
        <w:ind w:left="352" w:right="160"/>
        <w:spacing w:after="0" w:line="257" w:lineRule="auto"/>
        <w:rPr>
          <w:sz w:val="20"/>
          <w:szCs w:val="20"/>
          <w:color w:val="auto"/>
        </w:rPr>
      </w:pPr>
      <w:r>
        <w:rPr>
          <w:rFonts w:ascii="Arial" w:cs="Arial" w:eastAsia="Arial" w:hAnsi="Arial"/>
          <w:sz w:val="18"/>
          <w:szCs w:val="18"/>
          <w:color w:val="auto"/>
        </w:rPr>
        <w:t>Units to which they relate. No adjustment shall be made pursuant to Section 7.1 of the Plan as to Stock Units granted pursuant to the Program in connection with any dividend (other than in shares of Common Stock) or distribution (other than in shares of Common Stock) for which dividend equivalents are credited pursuant to the foregoing provisions of this Section 5.2. Stock Units granted pursuant to the Program shall otherwise be subject to adjustment pursuant to Section 7.1 of the Plan (for example, and without limitation, in connection with a split or reverse split of the outstanding Common Stock).</w:t>
      </w:r>
    </w:p>
    <w:p>
      <w:pPr>
        <w:spacing w:after="0" w:line="76" w:lineRule="exact"/>
        <w:rPr>
          <w:sz w:val="20"/>
          <w:szCs w:val="20"/>
          <w:color w:val="auto"/>
        </w:rPr>
      </w:pPr>
    </w:p>
    <w:p>
      <w:pPr>
        <w:jc w:val="both"/>
        <w:ind w:left="-8" w:right="120" w:firstLine="8"/>
        <w:spacing w:after="0" w:line="266" w:lineRule="auto"/>
        <w:tabs>
          <w:tab w:leader="none" w:pos="17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 Subject to Section 8 hereof and Section 7 of the Plan, a Stock Unit Award granted to a Non-Employee Director pursuant to the Program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4 or Section 5.2) shall vest and become payable as to 100% of the total number of Stock Units subject thereto on the third anniversary of the date of grant of the Stock Unit Award.</w:t>
      </w:r>
    </w:p>
    <w:p>
      <w:pPr>
        <w:spacing w:after="0" w:line="68" w:lineRule="exact"/>
        <w:rPr>
          <w:rFonts w:ascii="Arial" w:cs="Arial" w:eastAsia="Arial" w:hAnsi="Arial"/>
          <w:sz w:val="18"/>
          <w:szCs w:val="18"/>
          <w:b w:val="1"/>
          <w:bCs w:val="1"/>
          <w:color w:val="auto"/>
        </w:rPr>
      </w:pPr>
    </w:p>
    <w:p>
      <w:pPr>
        <w:ind w:left="-8" w:right="60" w:firstLine="8"/>
        <w:spacing w:after="0" w:line="274" w:lineRule="auto"/>
        <w:tabs>
          <w:tab w:leader="none" w:pos="172"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Continuation of Services</w:t>
      </w:r>
      <w:r>
        <w:rPr>
          <w:rFonts w:ascii="Arial" w:cs="Arial" w:eastAsia="Arial" w:hAnsi="Arial"/>
          <w:sz w:val="17"/>
          <w:szCs w:val="17"/>
          <w:color w:val="auto"/>
        </w:rPr>
        <w:t>. The vesting schedule requires continued service through each applicable vesting date as a condition to the vesting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installment of a Stock Unit Award and the rights and benefits under the Program. Partial service, even if substantial, during any vesting period will not entitle a Non-Employee Director to any proportionate vesting or avoid or mitigate a termination of rights and benefits upon or following a termination of services as provided in Section 8 below. Nothing contained in the Program constitutes a continued service commitment by the Corporation, confers upon a Non-Employee Director any right to remain in service to the Corporation, interferes with the right of the Corporation at any time to terminate such service, or affects the right of the Corporation to increase or decrease a Non-Employee Director’s other compensation.</w:t>
      </w:r>
    </w:p>
    <w:p>
      <w:pPr>
        <w:spacing w:after="0" w:line="65" w:lineRule="exact"/>
        <w:rPr>
          <w:rFonts w:ascii="Arial" w:cs="Arial" w:eastAsia="Arial" w:hAnsi="Arial"/>
          <w:sz w:val="17"/>
          <w:szCs w:val="17"/>
          <w:b w:val="1"/>
          <w:bCs w:val="1"/>
          <w:color w:val="auto"/>
        </w:rPr>
      </w:pPr>
    </w:p>
    <w:p>
      <w:pPr>
        <w:ind w:left="-8" w:right="120" w:firstLine="8"/>
        <w:spacing w:after="0" w:line="261" w:lineRule="auto"/>
        <w:tabs>
          <w:tab w:leader="none" w:pos="17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Directorship</w:t>
      </w:r>
      <w:r>
        <w:rPr>
          <w:rFonts w:ascii="Arial" w:cs="Arial" w:eastAsia="Arial" w:hAnsi="Arial"/>
          <w:sz w:val="18"/>
          <w:szCs w:val="18"/>
          <w:color w:val="auto"/>
        </w:rPr>
        <w:t>. Subject to earlier termination pursuant to Section 7 of the Plan, if a Non-Employee Director ceases to be a member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for any reason, the following rules shall apply with respect to any Stock Units granted to the Non-Employee Director pursuant to Section 4 above (the last day that the Non-Employee Director is a member of the Board is, except as otherwise provided below, referred to as the Non-Employee Director’s “</w:t>
      </w:r>
      <w:r>
        <w:rPr>
          <w:rFonts w:ascii="Arial" w:cs="Arial" w:eastAsia="Arial" w:hAnsi="Arial"/>
          <w:sz w:val="18"/>
          <w:szCs w:val="18"/>
          <w:b w:val="1"/>
          <w:bCs w:val="1"/>
          <w:color w:val="auto"/>
        </w:rPr>
        <w:t>Severance Date</w:t>
      </w:r>
      <w:r>
        <w:rPr>
          <w:rFonts w:ascii="Arial" w:cs="Arial" w:eastAsia="Arial" w:hAnsi="Arial"/>
          <w:sz w:val="18"/>
          <w:szCs w:val="18"/>
          <w:color w:val="auto"/>
        </w:rPr>
        <w:t>”):</w:t>
      </w:r>
    </w:p>
    <w:p>
      <w:pPr>
        <w:spacing w:after="0" w:line="75" w:lineRule="exact"/>
        <w:rPr>
          <w:rFonts w:ascii="Arial" w:cs="Arial" w:eastAsia="Arial" w:hAnsi="Arial"/>
          <w:sz w:val="18"/>
          <w:szCs w:val="18"/>
          <w:b w:val="1"/>
          <w:bCs w:val="1"/>
          <w:color w:val="auto"/>
        </w:rPr>
      </w:pPr>
    </w:p>
    <w:p>
      <w:pPr>
        <w:ind w:left="652" w:hanging="436"/>
        <w:spacing w:after="0" w:line="255" w:lineRule="auto"/>
        <w:tabs>
          <w:tab w:leader="none" w:pos="652" w:val="left"/>
        </w:tabs>
        <w:numPr>
          <w:ilvl w:val="1"/>
          <w:numId w:val="45"/>
        </w:numPr>
        <w:rPr>
          <w:rFonts w:ascii="Arial" w:cs="Arial" w:eastAsia="Arial" w:hAnsi="Arial"/>
          <w:sz w:val="18"/>
          <w:szCs w:val="18"/>
          <w:b w:val="1"/>
          <w:bCs w:val="1"/>
          <w:color w:val="auto"/>
        </w:rPr>
      </w:pPr>
      <w:r>
        <w:rPr>
          <w:rFonts w:ascii="Arial" w:cs="Arial" w:eastAsia="Arial" w:hAnsi="Arial"/>
          <w:sz w:val="18"/>
          <w:szCs w:val="18"/>
          <w:color w:val="auto"/>
        </w:rPr>
        <w:t>other than as expressly provided below in this Section 8, (a) one-third (1/3) of the number of Stock Units granted to the Non-Employee Director pursuant to the Program within the period commencing twenty-four (24) months prior to, and ending twelve (12) months prior to, the Non-Employee Director’s Severance Date shall immediately vest and become payable; (b) two-thirds (2/3) of the number of Stock Units granted to the Non-Employee Director pursuant to the Program within the period commencing thirty-six (36) months prior to, and ending twenty-four (24) months prior to, the Non-Employee Director’s Severance Date shall immediately vest and become payable; and (c) all Stock Units granted to a Non-Employee Director pursuant to the Program that have not vested as of, or do not vest upon, the Non-Employee Director’s Severance Date, shall immediately terminate without payment therefor;</w:t>
      </w:r>
    </w:p>
    <w:p>
      <w:pPr>
        <w:spacing w:after="0" w:line="94" w:lineRule="exact"/>
        <w:rPr>
          <w:rFonts w:ascii="Arial" w:cs="Arial" w:eastAsia="Arial" w:hAnsi="Arial"/>
          <w:sz w:val="18"/>
          <w:szCs w:val="18"/>
          <w:b w:val="1"/>
          <w:bCs w:val="1"/>
          <w:color w:val="auto"/>
        </w:rPr>
      </w:pPr>
    </w:p>
    <w:p>
      <w:pPr>
        <w:ind w:left="652" w:right="260" w:hanging="436"/>
        <w:spacing w:after="0" w:line="308" w:lineRule="auto"/>
        <w:tabs>
          <w:tab w:leader="none" w:pos="652" w:val="left"/>
        </w:tabs>
        <w:numPr>
          <w:ilvl w:val="1"/>
          <w:numId w:val="45"/>
        </w:numPr>
        <w:rPr>
          <w:rFonts w:ascii="Arial" w:cs="Arial" w:eastAsia="Arial" w:hAnsi="Arial"/>
          <w:sz w:val="17"/>
          <w:szCs w:val="17"/>
          <w:b w:val="1"/>
          <w:bCs w:val="1"/>
          <w:color w:val="auto"/>
        </w:rPr>
      </w:pPr>
      <w:r>
        <w:rPr>
          <w:rFonts w:ascii="Arial" w:cs="Arial" w:eastAsia="Arial" w:hAnsi="Arial"/>
          <w:sz w:val="17"/>
          <w:szCs w:val="17"/>
          <w:color w:val="auto"/>
        </w:rPr>
        <w:t>if the Non-Employee Director ceases to be a member of the Board due to his or her death, Disability (as defined below) or Retirement (as defined below), all Stock Units granted to the Non-Employee Director pursuant to the Program shall immediately vest and become payable;</w:t>
      </w:r>
    </w:p>
    <w:p>
      <w:pPr>
        <w:spacing w:after="0" w:line="12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6" w:right="239" w:bottom="1440" w:gutter="0" w:footer="0" w:header="0"/>
        </w:sectPr>
      </w:pPr>
    </w:p>
    <w:bookmarkStart w:id="64" w:name="page65"/>
    <w:bookmarkEnd w:id="64"/>
    <w:p>
      <w:pPr>
        <w:ind w:left="660" w:right="400" w:hanging="436"/>
        <w:spacing w:after="0" w:line="277" w:lineRule="auto"/>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if the Non-Employee Director ceases to be a member of the Board due to his or her Removal, all then-unvested Stock Units granted to the Non-Employee Director pursuant to the Program shall immediately terminate without payment therefor.</w:t>
      </w:r>
    </w:p>
    <w:p>
      <w:pPr>
        <w:spacing w:after="0" w:line="58"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color w:val="auto"/>
        </w:rPr>
        <w:t>For purposes of this Section 8, the term “</w:t>
      </w:r>
      <w:r>
        <w:rPr>
          <w:rFonts w:ascii="Arial" w:cs="Arial" w:eastAsia="Arial" w:hAnsi="Arial"/>
          <w:sz w:val="17"/>
          <w:szCs w:val="17"/>
          <w:b w:val="1"/>
          <w:bCs w:val="1"/>
          <w:color w:val="auto"/>
        </w:rPr>
        <w:t>Disability</w:t>
      </w:r>
      <w:r>
        <w:rPr>
          <w:rFonts w:ascii="Arial" w:cs="Arial" w:eastAsia="Arial" w:hAnsi="Arial"/>
          <w:sz w:val="17"/>
          <w:szCs w:val="17"/>
          <w:color w:val="auto"/>
        </w:rPr>
        <w:t>” shall mean a period of disability during which a Non-Employee Director qualified for permanent disability benefits under the Corporation’s long-term disability plan, or, if the Non-Employee Director does not participate in such a plan, a period of disability during which the Non-Employee Director would have qualified for permanent disability benefits under such a plan had the Non-Employee Director been a participant in such a plan, as determined in the sole discretion of the Administrator. If the Corporation does not sponsor such a plan, or discontinues to sponsor such a plan, Disability shall be determined by the Administrator in its sole discretion. For purposes of this Section 8, the term “</w:t>
      </w:r>
      <w:r>
        <w:rPr>
          <w:rFonts w:ascii="Arial" w:cs="Arial" w:eastAsia="Arial" w:hAnsi="Arial"/>
          <w:sz w:val="17"/>
          <w:szCs w:val="17"/>
          <w:b w:val="1"/>
          <w:bCs w:val="1"/>
          <w:color w:val="auto"/>
        </w:rPr>
        <w:t>Retirement</w:t>
      </w:r>
      <w:r>
        <w:rPr>
          <w:rFonts w:ascii="Arial" w:cs="Arial" w:eastAsia="Arial" w:hAnsi="Arial"/>
          <w:sz w:val="17"/>
          <w:szCs w:val="17"/>
          <w:color w:val="auto"/>
        </w:rPr>
        <w:t>” shall mean the cessation of a director’s services as a member of the Board due to his or her voluntary resignation at any time after such director has served as a member of the Board for at least forty-eight (48) months and has attained at least age 55. For purposes of this Section 8, the term “</w:t>
      </w:r>
      <w:r>
        <w:rPr>
          <w:rFonts w:ascii="Arial" w:cs="Arial" w:eastAsia="Arial" w:hAnsi="Arial"/>
          <w:sz w:val="17"/>
          <w:szCs w:val="17"/>
          <w:b w:val="1"/>
          <w:bCs w:val="1"/>
          <w:color w:val="auto"/>
        </w:rPr>
        <w:t>Removal</w:t>
      </w:r>
      <w:r>
        <w:rPr>
          <w:rFonts w:ascii="Arial" w:cs="Arial" w:eastAsia="Arial" w:hAnsi="Arial"/>
          <w:sz w:val="17"/>
          <w:szCs w:val="17"/>
          <w:color w:val="auto"/>
        </w:rPr>
        <w:t>” shall mean the removal of a Non-Employee Director from the Board, with or without cause, in accordance with the Corporation’s Certificate of Incorporation, Bylaws or the Delaware General Corporation Law.</w:t>
      </w:r>
    </w:p>
    <w:p>
      <w:pPr>
        <w:spacing w:after="0" w:line="7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Notwithstanding any other provision of this Section 8, if a Non-Employee Director ceases to be a member of the Board (regardless of the reason) but, immediately thereafter, is employed by the Corporation or one of its Subsidiaries, such director’s Severance Date shall not be the date the director ceases to be a member of the Board but instead shall be the last day that the director is either or both (1) a member of the Board and/or (2) employed by the Corporation or a Subsidiary.</w:t>
      </w:r>
    </w:p>
    <w:p>
      <w:pPr>
        <w:spacing w:after="0" w:line="75" w:lineRule="exact"/>
        <w:rPr>
          <w:sz w:val="20"/>
          <w:szCs w:val="20"/>
          <w:color w:val="auto"/>
        </w:rPr>
      </w:pPr>
    </w:p>
    <w:p>
      <w:pPr>
        <w:ind w:right="20" w:firstLine="8"/>
        <w:spacing w:after="0" w:line="270" w:lineRule="auto"/>
        <w:tabs>
          <w:tab w:leader="none" w:pos="18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Timing and Manner of Payment of Stock Units</w:t>
      </w:r>
      <w:r>
        <w:rPr>
          <w:rFonts w:ascii="Arial" w:cs="Arial" w:eastAsia="Arial" w:hAnsi="Arial"/>
          <w:sz w:val="17"/>
          <w:szCs w:val="17"/>
          <w:color w:val="auto"/>
        </w:rPr>
        <w:t>. Except as provided in Section 10 below, on or within fifteen (15) business days following the vesting of</w:t>
      </w:r>
      <w:r>
        <w:rPr>
          <w:rFonts w:ascii="Arial" w:cs="Arial" w:eastAsia="Arial" w:hAnsi="Arial"/>
          <w:sz w:val="17"/>
          <w:szCs w:val="17"/>
          <w:b w:val="1"/>
          <w:bCs w:val="1"/>
          <w:color w:val="auto"/>
        </w:rPr>
        <w:t xml:space="preserve"> </w:t>
      </w:r>
      <w:r>
        <w:rPr>
          <w:rFonts w:ascii="Arial" w:cs="Arial" w:eastAsia="Arial" w:hAnsi="Arial"/>
          <w:sz w:val="17"/>
          <w:szCs w:val="17"/>
          <w:color w:val="auto"/>
        </w:rPr>
        <w:t>any Stock Units granted to a Non-Employee Director pursuant to the Program (whether pursuant to Section 6 or Section 8 hereof or Section 7 of the Plan), the Corporation shall deliver to the Non-Employee Director a number of shares of Common Stock (either by delivering one or more certificates for such shares or by entering such shares in book entry form, as determined by the Corporation in its sole discretion) equal to the number of Stock Units that vest on the applicable vesting date, subject to adjustment as provided in Section 7 of the Plan; provided, however, that, to the extent permitted by the Corporation’s Amended and Restated Deferred Compensation Plan, as it may be amended from time to time (the “</w:t>
      </w:r>
      <w:r>
        <w:rPr>
          <w:rFonts w:ascii="Arial" w:cs="Arial" w:eastAsia="Arial" w:hAnsi="Arial"/>
          <w:sz w:val="17"/>
          <w:szCs w:val="17"/>
          <w:b w:val="1"/>
          <w:bCs w:val="1"/>
          <w:color w:val="auto"/>
        </w:rPr>
        <w:t>Deferred Compensation Plan</w:t>
      </w:r>
      <w:r>
        <w:rPr>
          <w:rFonts w:ascii="Arial" w:cs="Arial" w:eastAsia="Arial" w:hAnsi="Arial"/>
          <w:sz w:val="17"/>
          <w:szCs w:val="17"/>
          <w:color w:val="auto"/>
        </w:rPr>
        <w:t>”), a Non-Employee Director may elect to defer receipt of any or all shares of Common Stock payable with respect to Stock Units that vest pursuant to the Program. Such elections shall be made, and any such deferral shall be effected and administered, in accordance with the Deferred Compensation Plan. The Corporation’s obligation to deliver shares of Common Stock with respect to vested Stock Units is subject to the condition precedent that the Non-Employee Director (or other person entitled under the Plan to receive any shares with respect to the vested Stock Units) deliver to the Corporation any representations or other documents or assurances required pursuant to Section 8.1 of the Plan. A</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5" w:name="page66"/>
    <w:bookmarkEnd w:id="65"/>
    <w:p>
      <w:pPr>
        <w:ind w:right="580"/>
        <w:spacing w:after="0" w:line="264" w:lineRule="auto"/>
        <w:rPr>
          <w:sz w:val="20"/>
          <w:szCs w:val="20"/>
          <w:color w:val="auto"/>
        </w:rPr>
      </w:pPr>
      <w:r>
        <w:rPr>
          <w:rFonts w:ascii="Arial" w:cs="Arial" w:eastAsia="Arial" w:hAnsi="Arial"/>
          <w:sz w:val="18"/>
          <w:szCs w:val="18"/>
          <w:color w:val="auto"/>
        </w:rPr>
        <w:t>Non-Employee Director shall have no further rights with respect to any Stock Units that are paid or that are terminated pursuant to Section 8 hereof or Section 7 of the Plan, and such Stock Units shall be removed from the Non-Employee Director’s Program Account upon the date of such payment or termination.</w:t>
      </w:r>
    </w:p>
    <w:p>
      <w:pPr>
        <w:spacing w:after="0" w:line="69" w:lineRule="exact"/>
        <w:rPr>
          <w:sz w:val="20"/>
          <w:szCs w:val="20"/>
          <w:color w:val="auto"/>
        </w:rPr>
      </w:pPr>
    </w:p>
    <w:p>
      <w:pPr>
        <w:ind w:firstLine="8"/>
        <w:spacing w:after="0" w:line="258" w:lineRule="auto"/>
        <w:tabs>
          <w:tab w:leader="none" w:pos="27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Control Events</w:t>
      </w:r>
      <w:r>
        <w:rPr>
          <w:rFonts w:ascii="Arial" w:cs="Arial" w:eastAsia="Arial" w:hAnsi="Arial"/>
          <w:sz w:val="18"/>
          <w:szCs w:val="18"/>
          <w:color w:val="auto"/>
        </w:rPr>
        <w:t>. A Stock Unit Award may vest and become payable in connection with the occurrence of certain events involving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as provided for in Section 7 of the Plan; provided, however, that, notwithstanding anything to the contrary in the Program or the Plan, if the event giving rise to such accelerated vesting is not also a “change in the ownership or effective control” of the Corporation for purposes of Section 409A of the Code, then payment with respect to such vested Stock Unit Award shall not be made until such Stock Unit Award would have become vested and payable without regard to this Section 10 or Section 7 of the Plan.</w:t>
      </w:r>
    </w:p>
    <w:p>
      <w:pPr>
        <w:spacing w:after="0" w:line="75" w:lineRule="exact"/>
        <w:rPr>
          <w:rFonts w:ascii="Arial" w:cs="Arial" w:eastAsia="Arial" w:hAnsi="Arial"/>
          <w:sz w:val="18"/>
          <w:szCs w:val="18"/>
          <w:b w:val="1"/>
          <w:bCs w:val="1"/>
          <w:color w:val="auto"/>
        </w:rPr>
      </w:pPr>
    </w:p>
    <w:p>
      <w:pPr>
        <w:ind w:firstLine="8"/>
        <w:spacing w:after="0" w:line="268" w:lineRule="auto"/>
        <w:tabs>
          <w:tab w:leader="none" w:pos="26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Plan Provisions; Maximum Number of Shares; Amendment; Administration</w:t>
      </w:r>
      <w:r>
        <w:rPr>
          <w:rFonts w:ascii="Arial" w:cs="Arial" w:eastAsia="Arial" w:hAnsi="Arial"/>
          <w:sz w:val="17"/>
          <w:szCs w:val="17"/>
          <w:color w:val="auto"/>
        </w:rPr>
        <w:t>. Stock Units granted under the Program shall otherwise be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of the Plan (including, without limitation, the provisions of Section 7 of the Plan). If Stock Unit Awards otherwise required pursuant to the Program would otherwise exceed any applicable share limit under Section 4.2 of the Plan, such grants shall be made pro-rata to Non-Employee Directors entitled to such grants. The Board may from time to time amend the Program without stockholder approval; provided that no such amendment shall materially and adversely affect the rights of a Non-Employee Director as to a Stock Unit Award granted under the Program before the adoption of such amendment. The Board may amend, modify, suspend or terminate outstanding Stock Unit Awards; provided, however, that outstanding Stock Unit Awards shall not be amended, modified, suspended or terminated so as to impair any rights of the recipient of the award without the consent of such recipient. If any such amendment or modification to an outstanding Stock Unit Award has the result of accelerating the vesting of such award, then any election that had been made to defer receipt of payment with respect to any or all of the Stock Units subject to the award pursuant to the Deferred Compensation Plan shall be disregarded. The Program does not limit the Board’s authority to make other, discretionary award grants to Non-Employee Directors pursuant to the Plan. The Plan Administrator’s power and authority to construe and interpret the Plan and awards thereunder pursuant to Section 3.1 of the Plan shall extend to the Program and awards granted hereunder. As provided in Section 3.2 of the Plan, any action taken by, or inaction of, the Administrator relating or pursuant to the Program and within its authority or under applicable law shall be within the absolute discretion of that entity or body and shall be conclusive and binding upon all persons.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935" w:right="25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10.27.3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FOURTH AMENDMENT TO LEASE</w:t>
      </w:r>
    </w:p>
    <w:p>
      <w:pPr>
        <w:spacing w:after="0" w:line="117" w:lineRule="exact"/>
        <w:rPr>
          <w:sz w:val="20"/>
          <w:szCs w:val="20"/>
          <w:color w:val="auto"/>
        </w:rPr>
      </w:pPr>
    </w:p>
    <w:p>
      <w:pPr>
        <w:ind w:right="20" w:firstLine="222"/>
        <w:spacing w:after="0" w:line="266" w:lineRule="auto"/>
        <w:rPr>
          <w:sz w:val="20"/>
          <w:szCs w:val="20"/>
          <w:color w:val="auto"/>
        </w:rPr>
      </w:pPr>
      <w:r>
        <w:rPr>
          <w:rFonts w:ascii="Arial" w:cs="Arial" w:eastAsia="Arial" w:hAnsi="Arial"/>
          <w:sz w:val="18"/>
          <w:szCs w:val="18"/>
          <w:color w:val="auto"/>
        </w:rPr>
        <w:t>THIS FOURTH AMENDMENT TO LEASE (“</w:t>
      </w:r>
      <w:r>
        <w:rPr>
          <w:rFonts w:ascii="Arial" w:cs="Arial" w:eastAsia="Arial" w:hAnsi="Arial"/>
          <w:sz w:val="18"/>
          <w:szCs w:val="18"/>
          <w:b w:val="1"/>
          <w:bCs w:val="1"/>
          <w:color w:val="auto"/>
        </w:rPr>
        <w:t>Amendment</w:t>
      </w:r>
      <w:r>
        <w:rPr>
          <w:rFonts w:ascii="Arial" w:cs="Arial" w:eastAsia="Arial" w:hAnsi="Arial"/>
          <w:sz w:val="18"/>
          <w:szCs w:val="18"/>
          <w:color w:val="auto"/>
        </w:rPr>
        <w:t>”) is made and entered into as of the 21</w:t>
      </w:r>
      <w:r>
        <w:rPr>
          <w:rFonts w:ascii="Arial" w:cs="Arial" w:eastAsia="Arial" w:hAnsi="Arial"/>
          <w:sz w:val="15"/>
          <w:szCs w:val="15"/>
          <w:color w:val="auto"/>
        </w:rPr>
        <w:t>st</w:t>
      </w:r>
      <w:r>
        <w:rPr>
          <w:rFonts w:ascii="Arial" w:cs="Arial" w:eastAsia="Arial" w:hAnsi="Arial"/>
          <w:sz w:val="18"/>
          <w:szCs w:val="18"/>
          <w:color w:val="auto"/>
        </w:rPr>
        <w:t xml:space="preserve"> day of December, 2005 (the “</w:t>
      </w:r>
      <w:r>
        <w:rPr>
          <w:rFonts w:ascii="Arial" w:cs="Arial" w:eastAsia="Arial" w:hAnsi="Arial"/>
          <w:sz w:val="18"/>
          <w:szCs w:val="18"/>
          <w:b w:val="1"/>
          <w:bCs w:val="1"/>
          <w:color w:val="auto"/>
        </w:rPr>
        <w:t>Reference Date</w:t>
      </w:r>
      <w:r>
        <w:rPr>
          <w:rFonts w:ascii="Arial" w:cs="Arial" w:eastAsia="Arial" w:hAnsi="Arial"/>
          <w:sz w:val="18"/>
          <w:szCs w:val="18"/>
          <w:color w:val="auto"/>
        </w:rPr>
        <w:t>”) by and between TRINET ESSENTIAL FACILITIES XXVI, INC., a Maryland corporation (“</w:t>
      </w:r>
      <w:r>
        <w:rPr>
          <w:rFonts w:ascii="Arial" w:cs="Arial" w:eastAsia="Arial" w:hAnsi="Arial"/>
          <w:sz w:val="18"/>
          <w:szCs w:val="18"/>
          <w:b w:val="1"/>
          <w:bCs w:val="1"/>
          <w:color w:val="auto"/>
        </w:rPr>
        <w:t>Landlord</w:t>
      </w:r>
      <w:r>
        <w:rPr>
          <w:rFonts w:ascii="Arial" w:cs="Arial" w:eastAsia="Arial" w:hAnsi="Arial"/>
          <w:sz w:val="18"/>
          <w:szCs w:val="18"/>
          <w:color w:val="auto"/>
        </w:rPr>
        <w:t>”), and WESTERN DIGITAL TECHNOLOGIES, INC.,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 E C I T A L S</w:t>
      </w:r>
    </w:p>
    <w:p>
      <w:pPr>
        <w:spacing w:after="0" w:line="117" w:lineRule="exact"/>
        <w:rPr>
          <w:sz w:val="20"/>
          <w:szCs w:val="20"/>
          <w:color w:val="auto"/>
        </w:rPr>
      </w:pPr>
    </w:p>
    <w:p>
      <w:pPr>
        <w:ind w:right="80" w:firstLine="215"/>
        <w:spacing w:after="0" w:line="258" w:lineRule="auto"/>
        <w:rPr>
          <w:sz w:val="20"/>
          <w:szCs w:val="20"/>
          <w:color w:val="auto"/>
        </w:rPr>
      </w:pPr>
      <w:r>
        <w:rPr>
          <w:rFonts w:ascii="Arial" w:cs="Arial" w:eastAsia="Arial" w:hAnsi="Arial"/>
          <w:sz w:val="18"/>
          <w:szCs w:val="18"/>
          <w:color w:val="auto"/>
        </w:rPr>
        <w:t>A. SOUTH BAY/EDENVALE ASSOCIATES, a California general partnership (“</w:t>
      </w:r>
      <w:r>
        <w:rPr>
          <w:rFonts w:ascii="Arial" w:cs="Arial" w:eastAsia="Arial" w:hAnsi="Arial"/>
          <w:sz w:val="18"/>
          <w:szCs w:val="18"/>
          <w:b w:val="1"/>
          <w:bCs w:val="1"/>
          <w:color w:val="auto"/>
        </w:rPr>
        <w:t>South Bay</w:t>
      </w:r>
      <w:r>
        <w:rPr>
          <w:rFonts w:ascii="Arial" w:cs="Arial" w:eastAsia="Arial" w:hAnsi="Arial"/>
          <w:sz w:val="18"/>
          <w:szCs w:val="18"/>
          <w:color w:val="auto"/>
        </w:rPr>
        <w:t>”), predecessor-in-interest to Landlord, and WESTERN DIGITAL CORPORATION, a Delaware corporation (“</w:t>
      </w:r>
      <w:r>
        <w:rPr>
          <w:rFonts w:ascii="Arial" w:cs="Arial" w:eastAsia="Arial" w:hAnsi="Arial"/>
          <w:sz w:val="18"/>
          <w:szCs w:val="18"/>
          <w:b w:val="1"/>
          <w:bCs w:val="1"/>
          <w:color w:val="auto"/>
        </w:rPr>
        <w:t>WDC</w:t>
      </w:r>
      <w:r>
        <w:rPr>
          <w:rFonts w:ascii="Arial" w:cs="Arial" w:eastAsia="Arial" w:hAnsi="Arial"/>
          <w:sz w:val="18"/>
          <w:szCs w:val="18"/>
          <w:color w:val="auto"/>
        </w:rPr>
        <w:t>”), now known as Western Digital Technologies, Inc., entered into that certain Lease Agreement dated as of June 3, 1996 (the “</w:t>
      </w:r>
      <w:r>
        <w:rPr>
          <w:rFonts w:ascii="Arial" w:cs="Arial" w:eastAsia="Arial" w:hAnsi="Arial"/>
          <w:sz w:val="18"/>
          <w:szCs w:val="18"/>
          <w:b w:val="1"/>
          <w:bCs w:val="1"/>
          <w:color w:val="auto"/>
        </w:rPr>
        <w:t>Original Lease</w:t>
      </w:r>
      <w:r>
        <w:rPr>
          <w:rFonts w:ascii="Arial" w:cs="Arial" w:eastAsia="Arial" w:hAnsi="Arial"/>
          <w:sz w:val="18"/>
          <w:szCs w:val="18"/>
          <w:color w:val="auto"/>
        </w:rPr>
        <w:t>”) with respect to certain premises commonly known as 5863 Rue Ferrari Drive, City of San Jose, County of Santa Clara, State of California (the “</w:t>
      </w:r>
      <w:r>
        <w:rPr>
          <w:rFonts w:ascii="Arial" w:cs="Arial" w:eastAsia="Arial" w:hAnsi="Arial"/>
          <w:sz w:val="18"/>
          <w:szCs w:val="18"/>
          <w:b w:val="1"/>
          <w:bCs w:val="1"/>
          <w:color w:val="auto"/>
        </w:rPr>
        <w:t>Original Premises</w:t>
      </w:r>
      <w:r>
        <w:rPr>
          <w:rFonts w:ascii="Arial" w:cs="Arial" w:eastAsia="Arial" w:hAnsi="Arial"/>
          <w:sz w:val="18"/>
          <w:szCs w:val="18"/>
          <w:color w:val="auto"/>
        </w:rPr>
        <w:t>”), containing 130,925 square feet of space. The Original Premises are sometimes referred to as “</w:t>
      </w:r>
      <w:r>
        <w:rPr>
          <w:rFonts w:ascii="Arial" w:cs="Arial" w:eastAsia="Arial" w:hAnsi="Arial"/>
          <w:sz w:val="18"/>
          <w:szCs w:val="18"/>
          <w:b w:val="1"/>
          <w:bCs w:val="1"/>
          <w:color w:val="auto"/>
        </w:rPr>
        <w:t>Building A</w:t>
      </w:r>
      <w:r>
        <w:rPr>
          <w:rFonts w:ascii="Arial" w:cs="Arial" w:eastAsia="Arial" w:hAnsi="Arial"/>
          <w:sz w:val="18"/>
          <w:szCs w:val="18"/>
          <w:color w:val="auto"/>
        </w:rPr>
        <w:t>”.</w:t>
      </w:r>
    </w:p>
    <w:p>
      <w:pPr>
        <w:spacing w:after="0" w:line="76" w:lineRule="exact"/>
        <w:rPr>
          <w:sz w:val="20"/>
          <w:szCs w:val="20"/>
          <w:color w:val="auto"/>
        </w:rPr>
      </w:pPr>
    </w:p>
    <w:p>
      <w:pPr>
        <w:ind w:right="20" w:firstLine="225"/>
        <w:spacing w:after="0" w:line="261" w:lineRule="auto"/>
        <w:rPr>
          <w:sz w:val="20"/>
          <w:szCs w:val="20"/>
          <w:color w:val="auto"/>
        </w:rPr>
      </w:pPr>
      <w:r>
        <w:rPr>
          <w:rFonts w:ascii="Arial" w:cs="Arial" w:eastAsia="Arial" w:hAnsi="Arial"/>
          <w:sz w:val="18"/>
          <w:szCs w:val="18"/>
          <w:color w:val="auto"/>
        </w:rPr>
        <w:t>B. South Bay and WDC entered into a First Amendment dated as of August 7, 1996 (the “</w:t>
      </w:r>
      <w:r>
        <w:rPr>
          <w:rFonts w:ascii="Arial" w:cs="Arial" w:eastAsia="Arial" w:hAnsi="Arial"/>
          <w:sz w:val="18"/>
          <w:szCs w:val="18"/>
          <w:b w:val="1"/>
          <w:bCs w:val="1"/>
          <w:color w:val="auto"/>
        </w:rPr>
        <w:t>First Amendment</w:t>
      </w:r>
      <w:r>
        <w:rPr>
          <w:rFonts w:ascii="Arial" w:cs="Arial" w:eastAsia="Arial" w:hAnsi="Arial"/>
          <w:sz w:val="18"/>
          <w:szCs w:val="18"/>
          <w:color w:val="auto"/>
        </w:rPr>
        <w:t>”). Landlord and Tenant entered into a Second Amendment to Lease dated as of April 6, 2004 (the “</w:t>
      </w:r>
      <w:r>
        <w:rPr>
          <w:rFonts w:ascii="Arial" w:cs="Arial" w:eastAsia="Arial" w:hAnsi="Arial"/>
          <w:sz w:val="18"/>
          <w:szCs w:val="18"/>
          <w:b w:val="1"/>
          <w:bCs w:val="1"/>
          <w:color w:val="auto"/>
        </w:rPr>
        <w:t>Second Amendment</w:t>
      </w:r>
      <w:r>
        <w:rPr>
          <w:rFonts w:ascii="Arial" w:cs="Arial" w:eastAsia="Arial" w:hAnsi="Arial"/>
          <w:sz w:val="18"/>
          <w:szCs w:val="18"/>
          <w:color w:val="auto"/>
        </w:rPr>
        <w:t>”) and a Third Amendment to Lease dated as of March 1, 2005 (the “</w:t>
      </w:r>
      <w:r>
        <w:rPr>
          <w:rFonts w:ascii="Arial" w:cs="Arial" w:eastAsia="Arial" w:hAnsi="Arial"/>
          <w:sz w:val="18"/>
          <w:szCs w:val="18"/>
          <w:b w:val="1"/>
          <w:bCs w:val="1"/>
          <w:color w:val="auto"/>
        </w:rPr>
        <w:t>Third</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w:t>
      </w:r>
      <w:r>
        <w:rPr>
          <w:rFonts w:ascii="Arial" w:cs="Arial" w:eastAsia="Arial" w:hAnsi="Arial"/>
          <w:sz w:val="18"/>
          <w:szCs w:val="18"/>
          <w:color w:val="auto"/>
        </w:rPr>
        <w:t>”). The Original Lease, as amended by the First Amendment, the Second Amendment and the Third Amendment, is referred to herein</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as the “</w:t>
      </w:r>
      <w:r>
        <w:rPr>
          <w:rFonts w:ascii="Arial" w:cs="Arial" w:eastAsia="Arial" w:hAnsi="Arial"/>
          <w:sz w:val="18"/>
          <w:szCs w:val="18"/>
          <w:b w:val="1"/>
          <w:bCs w:val="1"/>
          <w:color w:val="auto"/>
        </w:rPr>
        <w:t>Lease</w:t>
      </w:r>
      <w:r>
        <w:rPr>
          <w:rFonts w:ascii="Arial" w:cs="Arial" w:eastAsia="Arial" w:hAnsi="Arial"/>
          <w:sz w:val="18"/>
          <w:szCs w:val="18"/>
          <w:color w:val="auto"/>
        </w:rPr>
        <w:t>”.</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 The Lease is scheduled to expire on March 31, 2015, subject to Tenant’s option to extend set forth in Section 15 of the Third Amendment.</w:t>
      </w:r>
    </w:p>
    <w:p>
      <w:pPr>
        <w:spacing w:after="0" w:line="129"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D. The Third Amendment documented Tenant’s expansion into a portion of the building adjacent to the Original Premises which is commonly known as 5853 Rue Ferrari Drive and referred to in the Third Amendment as “</w:t>
      </w:r>
      <w:r>
        <w:rPr>
          <w:rFonts w:ascii="Arial" w:cs="Arial" w:eastAsia="Arial" w:hAnsi="Arial"/>
          <w:sz w:val="18"/>
          <w:szCs w:val="18"/>
          <w:b w:val="1"/>
          <w:bCs w:val="1"/>
          <w:color w:val="auto"/>
        </w:rPr>
        <w:t>Building B</w:t>
      </w:r>
      <w:r>
        <w:rPr>
          <w:rFonts w:ascii="Arial" w:cs="Arial" w:eastAsia="Arial" w:hAnsi="Arial"/>
          <w:sz w:val="18"/>
          <w:szCs w:val="18"/>
          <w:color w:val="auto"/>
        </w:rPr>
        <w:t>”. The portion of Building B into which Tenant expanded is referred to as the “</w:t>
      </w:r>
      <w:r>
        <w:rPr>
          <w:rFonts w:ascii="Arial" w:cs="Arial" w:eastAsia="Arial" w:hAnsi="Arial"/>
          <w:sz w:val="18"/>
          <w:szCs w:val="18"/>
          <w:b w:val="1"/>
          <w:bCs w:val="1"/>
          <w:color w:val="auto"/>
        </w:rPr>
        <w:t>Expansion Premises</w:t>
      </w:r>
      <w:r>
        <w:rPr>
          <w:rFonts w:ascii="Arial" w:cs="Arial" w:eastAsia="Arial" w:hAnsi="Arial"/>
          <w:sz w:val="18"/>
          <w:szCs w:val="18"/>
          <w:color w:val="auto"/>
        </w:rPr>
        <w:t>” and is commonly known as Suite 150.</w:t>
      </w:r>
    </w:p>
    <w:p>
      <w:pPr>
        <w:spacing w:after="0" w:line="69" w:lineRule="exact"/>
        <w:rPr>
          <w:sz w:val="20"/>
          <w:szCs w:val="20"/>
          <w:color w:val="auto"/>
        </w:rPr>
      </w:pPr>
    </w:p>
    <w:p>
      <w:pPr>
        <w:ind w:right="380" w:firstLine="225"/>
        <w:spacing w:after="0" w:line="277" w:lineRule="auto"/>
        <w:rPr>
          <w:sz w:val="20"/>
          <w:szCs w:val="20"/>
          <w:color w:val="auto"/>
        </w:rPr>
      </w:pPr>
      <w:r>
        <w:rPr>
          <w:rFonts w:ascii="Arial" w:cs="Arial" w:eastAsia="Arial" w:hAnsi="Arial"/>
          <w:sz w:val="17"/>
          <w:szCs w:val="17"/>
          <w:color w:val="auto"/>
        </w:rPr>
        <w:t>E. In conjunction with Landlord’s proposed leasing of the remainder of Building B to an unrelated party (“</w:t>
      </w:r>
      <w:r>
        <w:rPr>
          <w:rFonts w:ascii="Arial" w:cs="Arial" w:eastAsia="Arial" w:hAnsi="Arial"/>
          <w:sz w:val="17"/>
          <w:szCs w:val="17"/>
          <w:b w:val="1"/>
          <w:bCs w:val="1"/>
          <w:color w:val="auto"/>
        </w:rPr>
        <w:t>Adjacent Tenant</w:t>
      </w:r>
      <w:r>
        <w:rPr>
          <w:rFonts w:ascii="Arial" w:cs="Arial" w:eastAsia="Arial" w:hAnsi="Arial"/>
          <w:sz w:val="17"/>
          <w:szCs w:val="17"/>
          <w:color w:val="auto"/>
        </w:rPr>
        <w:t xml:space="preserve">”), Landlord and Tenant acknowledge and agree that (i) the Electrical Room (as defined in Section 2 below) shall become a common area within Building B and (ii) Landlord has reconfigured a portion of the Expansion Premises as more particularly shown on the attached </w:t>
      </w:r>
      <w:r>
        <w:rPr>
          <w:rFonts w:ascii="Arial" w:cs="Arial" w:eastAsia="Arial" w:hAnsi="Arial"/>
          <w:sz w:val="17"/>
          <w:szCs w:val="17"/>
          <w:u w:val="single" w:color="auto"/>
          <w:color w:val="auto"/>
        </w:rPr>
        <w:t>Exhibit A</w:t>
      </w:r>
      <w:r>
        <w:rPr>
          <w:rFonts w:ascii="Arial" w:cs="Arial" w:eastAsia="Arial" w:hAnsi="Arial"/>
          <w:sz w:val="17"/>
          <w:szCs w:val="17"/>
          <w:color w:val="auto"/>
        </w:rPr>
        <w:t>, in each case resulting in a slight reduction in the square footage of the Expansion Premises. The parties therefore desire to amend the Lease to reflect the changes thereto triggered by such reductions in square footage and to memorialize certain other agreements reached by the parties.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u w:val="single" w:color="auto"/>
          <w:color w:val="auto"/>
        </w:rPr>
        <w:t>A G R E E M E N T</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NOW, THEREFORE, in consideration of the foregoing Recitals and the mutual covenants contained herein, and for other good and valuable consideration, the receipt and sufficiency of which are hereby acknowledged, the parties hereby agree as follows.</w:t>
      </w:r>
    </w:p>
    <w:p>
      <w:pPr>
        <w:spacing w:after="0" w:line="58" w:lineRule="exact"/>
        <w:rPr>
          <w:sz w:val="20"/>
          <w:szCs w:val="20"/>
          <w:color w:val="auto"/>
        </w:rPr>
      </w:pPr>
    </w:p>
    <w:p>
      <w:pPr>
        <w:ind w:right="380" w:firstLine="233"/>
        <w:spacing w:after="0" w:line="282" w:lineRule="auto"/>
        <w:tabs>
          <w:tab w:leader="none" w:pos="405"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Defined Terms; Recitals</w:t>
      </w:r>
      <w:r>
        <w:rPr>
          <w:rFonts w:ascii="Arial" w:cs="Arial" w:eastAsia="Arial" w:hAnsi="Arial"/>
          <w:sz w:val="18"/>
          <w:szCs w:val="18"/>
          <w:color w:val="auto"/>
        </w:rPr>
        <w:t>. All capitalized terms used but not defined herein shall have the same meanings as are given such terms in the Lease. The</w:t>
      </w:r>
      <w:r>
        <w:rPr>
          <w:rFonts w:ascii="Arial" w:cs="Arial" w:eastAsia="Arial" w:hAnsi="Arial"/>
          <w:sz w:val="18"/>
          <w:szCs w:val="18"/>
          <w:b w:val="1"/>
          <w:bCs w:val="1"/>
          <w:color w:val="auto"/>
        </w:rPr>
        <w:t xml:space="preserve"> </w:t>
      </w:r>
      <w:r>
        <w:rPr>
          <w:rFonts w:ascii="Arial" w:cs="Arial" w:eastAsia="Arial" w:hAnsi="Arial"/>
          <w:sz w:val="18"/>
          <w:szCs w:val="18"/>
          <w:color w:val="auto"/>
        </w:rPr>
        <w:t>Recitals set forth above are incorporated herein by this reference.</w:t>
      </w:r>
    </w:p>
    <w:p>
      <w:pPr>
        <w:spacing w:after="0" w:line="53" w:lineRule="exact"/>
        <w:rPr>
          <w:rFonts w:ascii="Arial" w:cs="Arial" w:eastAsia="Arial" w:hAnsi="Arial"/>
          <w:sz w:val="18"/>
          <w:szCs w:val="18"/>
          <w:color w:val="auto"/>
        </w:rPr>
      </w:pPr>
    </w:p>
    <w:p>
      <w:pPr>
        <w:jc w:val="both"/>
        <w:ind w:right="360" w:firstLine="233"/>
        <w:spacing w:after="0" w:line="266" w:lineRule="auto"/>
        <w:tabs>
          <w:tab w:leader="none" w:pos="405"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Electrical Room</w:t>
      </w:r>
      <w:r>
        <w:rPr>
          <w:rFonts w:ascii="Arial" w:cs="Arial" w:eastAsia="Arial" w:hAnsi="Arial"/>
          <w:sz w:val="18"/>
          <w:szCs w:val="18"/>
          <w:color w:val="auto"/>
        </w:rPr>
        <w:t>. Effective as of March 1, 2005, the Building B main electrical room located at the rear of the Expansion Premises (the “</w:t>
      </w:r>
      <w:r>
        <w:rPr>
          <w:rFonts w:ascii="Arial" w:cs="Arial" w:eastAsia="Arial" w:hAnsi="Arial"/>
          <w:sz w:val="18"/>
          <w:szCs w:val="18"/>
          <w:b w:val="1"/>
          <w:bCs w:val="1"/>
          <w:color w:val="auto"/>
        </w:rPr>
        <w:t>Electrical Room</w:t>
      </w:r>
      <w:r>
        <w:rPr>
          <w:rFonts w:ascii="Arial" w:cs="Arial" w:eastAsia="Arial" w:hAnsi="Arial"/>
          <w:sz w:val="18"/>
          <w:szCs w:val="18"/>
          <w:color w:val="auto"/>
        </w:rPr>
        <w:t>”) shall be deemed a common area for all purposes under the Lease, with access thereto limited to Landlord, Tenant and Adjacent Tenant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authorized agents.</w:t>
      </w:r>
    </w:p>
    <w:p>
      <w:pPr>
        <w:spacing w:after="0" w:line="68" w:lineRule="exact"/>
        <w:rPr>
          <w:rFonts w:ascii="Arial" w:cs="Arial" w:eastAsia="Arial" w:hAnsi="Arial"/>
          <w:sz w:val="18"/>
          <w:szCs w:val="18"/>
          <w:color w:val="auto"/>
        </w:rPr>
      </w:pPr>
    </w:p>
    <w:p>
      <w:pPr>
        <w:ind w:right="40" w:firstLine="233"/>
        <w:spacing w:after="0" w:line="256" w:lineRule="auto"/>
        <w:tabs>
          <w:tab w:leader="none" w:pos="405"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Expansion Premises</w:t>
      </w:r>
      <w:r>
        <w:rPr>
          <w:rFonts w:ascii="Arial" w:cs="Arial" w:eastAsia="Arial" w:hAnsi="Arial"/>
          <w:sz w:val="18"/>
          <w:szCs w:val="18"/>
          <w:color w:val="auto"/>
        </w:rPr>
        <w:t>. Effective as of March 1, 2005, the Expansion Premises (which includes the fifty percent (50%) of Building C added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Premises under the Third Amendment) shall be deemed to contain 81,689 square feet of space. The Expansion Premises is shown on the replacement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incorporated herein for all purposes. The total square footage of the Premises leased to Tenant under the Lease is 212,614. Accordingly (and recognizing that a portion of the Expansion Premises square footage reflects a proportionate allocation of certain common areas in Building B), Tenant’s Pro Rata Share of the industrial project in which Buildings A and B are located shall be 74.25%. Tenant’s Pro Rata Share of Building B shall be 52.56%.</w:t>
      </w:r>
    </w:p>
    <w:p>
      <w:pPr>
        <w:spacing w:after="0" w:line="79" w:lineRule="exact"/>
        <w:rPr>
          <w:rFonts w:ascii="Arial" w:cs="Arial" w:eastAsia="Arial" w:hAnsi="Arial"/>
          <w:sz w:val="18"/>
          <w:szCs w:val="18"/>
          <w:color w:val="auto"/>
        </w:rPr>
      </w:pPr>
    </w:p>
    <w:p>
      <w:pPr>
        <w:ind w:right="280" w:firstLine="233"/>
        <w:spacing w:after="0" w:line="347" w:lineRule="auto"/>
        <w:tabs>
          <w:tab w:leader="none" w:pos="405" w:val="left"/>
        </w:tabs>
        <w:numPr>
          <w:ilvl w:val="0"/>
          <w:numId w:val="49"/>
        </w:numPr>
        <w:rPr>
          <w:rFonts w:ascii="Arial" w:cs="Arial" w:eastAsia="Arial" w:hAnsi="Arial"/>
          <w:sz w:val="16"/>
          <w:szCs w:val="16"/>
          <w:color w:val="auto"/>
        </w:rPr>
      </w:pPr>
      <w:r>
        <w:rPr>
          <w:rFonts w:ascii="Arial" w:cs="Arial" w:eastAsia="Arial" w:hAnsi="Arial"/>
          <w:sz w:val="16"/>
          <w:szCs w:val="16"/>
          <w:b w:val="1"/>
          <w:bCs w:val="1"/>
          <w:u w:val="single" w:color="auto"/>
          <w:color w:val="auto"/>
        </w:rPr>
        <w:t>Monthly Installments of Rent</w:t>
      </w:r>
      <w:r>
        <w:rPr>
          <w:rFonts w:ascii="Arial" w:cs="Arial" w:eastAsia="Arial" w:hAnsi="Arial"/>
          <w:sz w:val="16"/>
          <w:szCs w:val="16"/>
          <w:color w:val="auto"/>
        </w:rPr>
        <w:t>. Notwithstanding any provision of the Lease to the contrary, including Section 4 of the Third Amendment,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March 1, 2005, Tenant shall pay to Landlord Monthly Installments of rent for the Premises in lawful money of the United States in the following amounts: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76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Months</w:t>
            </w:r>
          </w:p>
        </w:tc>
        <w:tc>
          <w:tcPr>
            <w:tcW w:w="480" w:type="dxa"/>
            <w:vAlign w:val="bottom"/>
          </w:tcPr>
          <w:p>
            <w:pPr>
              <w:spacing w:after="0"/>
              <w:rPr>
                <w:sz w:val="14"/>
                <w:szCs w:val="14"/>
                <w:color w:val="auto"/>
              </w:rPr>
            </w:pPr>
          </w:p>
        </w:tc>
        <w:tc>
          <w:tcPr>
            <w:tcW w:w="22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color w:val="auto"/>
              </w:rPr>
              <w:t>Monthly Installment Amount</w:t>
            </w:r>
          </w:p>
        </w:tc>
      </w:tr>
      <w:tr>
        <w:trPr>
          <w:trHeight w:val="210"/>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2005 – September 30, 2005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7"/>
              </w:rPr>
              <w:t>78,555.00</w:t>
            </w: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October 1, 2005 – February 28, 2006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630"/>
              <w:spacing w:after="0"/>
              <w:rPr>
                <w:sz w:val="20"/>
                <w:szCs w:val="20"/>
                <w:color w:val="auto"/>
              </w:rPr>
            </w:pPr>
            <w:r>
              <w:rPr>
                <w:rFonts w:ascii="Arial" w:cs="Arial" w:eastAsia="Arial" w:hAnsi="Arial"/>
                <w:sz w:val="18"/>
                <w:szCs w:val="18"/>
                <w:color w:val="auto"/>
                <w:w w:val="86"/>
              </w:rPr>
              <w:t>127,568.40</w:t>
            </w: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2006 – February 28, 2007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86"/>
              </w:rPr>
              <w:t>131,395.45</w:t>
            </w: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March 1, 2007 – February 29, 2008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630"/>
              <w:spacing w:after="0"/>
              <w:rPr>
                <w:sz w:val="20"/>
                <w:szCs w:val="20"/>
                <w:color w:val="auto"/>
              </w:rPr>
            </w:pPr>
            <w:r>
              <w:rPr>
                <w:rFonts w:ascii="Arial" w:cs="Arial" w:eastAsia="Arial" w:hAnsi="Arial"/>
                <w:sz w:val="18"/>
                <w:szCs w:val="18"/>
                <w:color w:val="auto"/>
                <w:w w:val="86"/>
              </w:rPr>
              <w:t>135,337.32</w:t>
            </w: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2008 – February 28, 2009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86"/>
              </w:rPr>
              <w:t>139,397.44</w:t>
            </w: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March 1, 2009 – February 28, 2010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630"/>
              <w:spacing w:after="0"/>
              <w:rPr>
                <w:sz w:val="20"/>
                <w:szCs w:val="20"/>
                <w:color w:val="auto"/>
              </w:rPr>
            </w:pPr>
            <w:r>
              <w:rPr>
                <w:rFonts w:ascii="Arial" w:cs="Arial" w:eastAsia="Arial" w:hAnsi="Arial"/>
                <w:sz w:val="18"/>
                <w:szCs w:val="18"/>
                <w:color w:val="auto"/>
                <w:w w:val="86"/>
              </w:rPr>
              <w:t>143,579.36</w:t>
            </w: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2010 – February 28, 2011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86"/>
              </w:rPr>
              <w:t>147,886.74</w:t>
            </w: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March 1, 2011 – February 29, 2012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630"/>
              <w:spacing w:after="0"/>
              <w:rPr>
                <w:sz w:val="20"/>
                <w:szCs w:val="20"/>
                <w:color w:val="auto"/>
              </w:rPr>
            </w:pPr>
            <w:r>
              <w:rPr>
                <w:rFonts w:ascii="Arial" w:cs="Arial" w:eastAsia="Arial" w:hAnsi="Arial"/>
                <w:sz w:val="18"/>
                <w:szCs w:val="18"/>
                <w:color w:val="auto"/>
                <w:w w:val="86"/>
              </w:rPr>
              <w:t>152,323.34</w:t>
            </w: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0"/>
              </w:rPr>
              <w:t>March 1, 2012</w:t>
            </w:r>
          </w:p>
        </w:tc>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February 28, 2013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86"/>
              </w:rPr>
              <w:t>156,893.04</w:t>
            </w: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w w:val="90"/>
              </w:rPr>
              <w:t>March 1, 2013</w:t>
            </w:r>
          </w:p>
        </w:tc>
        <w:tc>
          <w:tcPr>
            <w:tcW w:w="7620" w:type="dxa"/>
            <w:vAlign w:val="bottom"/>
          </w:tcPr>
          <w:p>
            <w:pPr>
              <w:ind w:left="20"/>
              <w:spacing w:after="0"/>
              <w:rPr>
                <w:sz w:val="20"/>
                <w:szCs w:val="20"/>
                <w:color w:val="auto"/>
              </w:rPr>
            </w:pPr>
            <w:r>
              <w:rPr>
                <w:rFonts w:ascii="Arial" w:cs="Arial" w:eastAsia="Arial" w:hAnsi="Arial"/>
                <w:sz w:val="18"/>
                <w:szCs w:val="18"/>
                <w:color w:val="auto"/>
              </w:rPr>
              <w:t>– February 28, 2014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630"/>
              <w:spacing w:after="0"/>
              <w:rPr>
                <w:sz w:val="20"/>
                <w:szCs w:val="20"/>
                <w:color w:val="auto"/>
              </w:rPr>
            </w:pPr>
            <w:r>
              <w:rPr>
                <w:rFonts w:ascii="Arial" w:cs="Arial" w:eastAsia="Arial" w:hAnsi="Arial"/>
                <w:sz w:val="18"/>
                <w:szCs w:val="18"/>
                <w:color w:val="auto"/>
                <w:w w:val="86"/>
              </w:rPr>
              <w:t>161,599.83</w:t>
            </w: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0"/>
              </w:rPr>
              <w:t>March 1, 2014</w:t>
            </w:r>
          </w:p>
        </w:tc>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March 31, 2015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86"/>
              </w:rPr>
              <w:t>166,447.83</w:t>
            </w: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Nothing herein shall be construed as altering Tenant’s obligation under the Lease to pay all other charges coming due during the remainder of the Term for the Premises in accordance with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terms of the Lease, including without limitation Tenant’s Pro Rata Share of Common Area Charges, Property Taxes and insurance premiums.</w:t>
      </w:r>
    </w:p>
    <w:p>
      <w:pPr>
        <w:spacing w:after="0" w:line="113" w:lineRule="exact"/>
        <w:rPr>
          <w:sz w:val="20"/>
          <w:szCs w:val="20"/>
          <w:color w:val="auto"/>
        </w:rPr>
      </w:pPr>
    </w:p>
    <w:p>
      <w:pPr>
        <w:ind w:right="80" w:firstLine="233"/>
        <w:spacing w:after="0" w:line="282" w:lineRule="auto"/>
        <w:tabs>
          <w:tab w:leader="none" w:pos="405"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Operational Matters</w:t>
      </w:r>
      <w:r>
        <w:rPr>
          <w:rFonts w:ascii="Arial" w:cs="Arial" w:eastAsia="Arial" w:hAnsi="Arial"/>
          <w:sz w:val="18"/>
          <w:szCs w:val="18"/>
          <w:color w:val="auto"/>
        </w:rPr>
        <w:t>. In light of the pending lease with Adjacent Tenant for the remainder of Building B, and notwithstanding anything to the contrary</w:t>
      </w:r>
      <w:r>
        <w:rPr>
          <w:rFonts w:ascii="Arial" w:cs="Arial" w:eastAsia="Arial" w:hAnsi="Arial"/>
          <w:sz w:val="18"/>
          <w:szCs w:val="18"/>
          <w:b w:val="1"/>
          <w:bCs w:val="1"/>
          <w:color w:val="auto"/>
        </w:rPr>
        <w:t xml:space="preserve"> </w:t>
      </w:r>
      <w:r>
        <w:rPr>
          <w:rFonts w:ascii="Arial" w:cs="Arial" w:eastAsia="Arial" w:hAnsi="Arial"/>
          <w:sz w:val="18"/>
          <w:szCs w:val="18"/>
          <w:color w:val="auto"/>
        </w:rPr>
        <w:t>in the Lease, Landlord and Tenant agree as follows, effective as of the date hereof:</w:t>
      </w:r>
    </w:p>
    <w:p>
      <w:pPr>
        <w:spacing w:after="0" w:line="53" w:lineRule="exact"/>
        <w:rPr>
          <w:rFonts w:ascii="Arial" w:cs="Arial" w:eastAsia="Arial" w:hAnsi="Arial"/>
          <w:sz w:val="18"/>
          <w:szCs w:val="18"/>
          <w:color w:val="auto"/>
        </w:rPr>
      </w:pPr>
    </w:p>
    <w:p>
      <w:pPr>
        <w:ind w:right="160" w:firstLine="458"/>
        <w:spacing w:after="0" w:line="291" w:lineRule="auto"/>
        <w:tabs>
          <w:tab w:leader="none" w:pos="695" w:val="left"/>
        </w:tabs>
        <w:numPr>
          <w:ilvl w:val="1"/>
          <w:numId w:val="50"/>
        </w:numPr>
        <w:rPr>
          <w:rFonts w:ascii="Arial" w:cs="Arial" w:eastAsia="Arial" w:hAnsi="Arial"/>
          <w:sz w:val="16"/>
          <w:szCs w:val="16"/>
          <w:color w:val="auto"/>
        </w:rPr>
      </w:pPr>
      <w:r>
        <w:rPr>
          <w:rFonts w:ascii="Arial" w:cs="Arial" w:eastAsia="Arial" w:hAnsi="Arial"/>
          <w:sz w:val="16"/>
          <w:szCs w:val="16"/>
          <w:b w:val="1"/>
          <w:bCs w:val="1"/>
          <w:u w:val="single" w:color="auto"/>
          <w:color w:val="auto"/>
        </w:rPr>
        <w:t>Fire/Life Safety System</w:t>
      </w:r>
      <w:r>
        <w:rPr>
          <w:rFonts w:ascii="Arial" w:cs="Arial" w:eastAsia="Arial" w:hAnsi="Arial"/>
          <w:sz w:val="16"/>
          <w:szCs w:val="16"/>
          <w:color w:val="auto"/>
        </w:rPr>
        <w:t>. Throughout the Lease Term, the Building B fire/life safety system affecting the entirety of Building B shall be under</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Landlord’s sole control and Tenant shall not in any way interfere with the operation thereof (subject to emergency circumstances); provided, however, that Landlord shall cause Tenant’s emergency contact to be included on the telephone call list in conjunction with any fire/life safety emergencies at Building B. Landlord’s expenses incurred for the repair, maintenance and replacement of the Building B fire/life safety system shall be reimbursed by Tenant on a proportionate basis in accordance with the terms of the Lease as modified hereby. Nothing herein shall be construed to limit Tenant from installing and maintaining, at its sole cost, supplemental fire/life safety systems in the Expansion Premise for the benefit of the Expansion Premises so long as Tenant complies with the terms of Section 13 (Alterations) of the Original Lease. Without limiting the generality of the foregoing, if any such supplemental fire/life safety systems will need to tap into the Building B sprinkler system, Tenant shall obtain Landlord’s advance approval of Tenant’s plans for same.</w:t>
      </w:r>
    </w:p>
    <w:p>
      <w:pPr>
        <w:spacing w:after="0" w:line="52" w:lineRule="exact"/>
        <w:rPr>
          <w:rFonts w:ascii="Arial" w:cs="Arial" w:eastAsia="Arial" w:hAnsi="Arial"/>
          <w:sz w:val="16"/>
          <w:szCs w:val="16"/>
          <w:color w:val="auto"/>
        </w:rPr>
      </w:pPr>
    </w:p>
    <w:p>
      <w:pPr>
        <w:ind w:firstLine="458"/>
        <w:spacing w:after="0" w:line="270" w:lineRule="auto"/>
        <w:tabs>
          <w:tab w:leader="none" w:pos="705" w:val="left"/>
        </w:tabs>
        <w:numPr>
          <w:ilvl w:val="1"/>
          <w:numId w:val="50"/>
        </w:numPr>
        <w:rPr>
          <w:rFonts w:ascii="Arial" w:cs="Arial" w:eastAsia="Arial" w:hAnsi="Arial"/>
          <w:sz w:val="17"/>
          <w:szCs w:val="17"/>
          <w:color w:val="auto"/>
        </w:rPr>
      </w:pPr>
      <w:r>
        <w:rPr>
          <w:rFonts w:ascii="Arial" w:cs="Arial" w:eastAsia="Arial" w:hAnsi="Arial"/>
          <w:sz w:val="17"/>
          <w:szCs w:val="17"/>
          <w:b w:val="1"/>
          <w:bCs w:val="1"/>
          <w:u w:val="single" w:color="auto"/>
          <w:color w:val="auto"/>
        </w:rPr>
        <w:t>Roof</w:t>
      </w:r>
      <w:r>
        <w:rPr>
          <w:rFonts w:ascii="Arial" w:cs="Arial" w:eastAsia="Arial" w:hAnsi="Arial"/>
          <w:sz w:val="17"/>
          <w:szCs w:val="17"/>
          <w:color w:val="auto"/>
        </w:rPr>
        <w:t>. Landlord hereby reconfirms its obligation to install, at Landlord’s sole cost, a new roof membrane at both Building A and Building B by no</w:t>
      </w:r>
      <w:r>
        <w:rPr>
          <w:rFonts w:ascii="Arial" w:cs="Arial" w:eastAsia="Arial" w:hAnsi="Arial"/>
          <w:sz w:val="17"/>
          <w:szCs w:val="17"/>
          <w:b w:val="1"/>
          <w:bCs w:val="1"/>
          <w:color w:val="auto"/>
        </w:rPr>
        <w:t xml:space="preserve"> </w:t>
      </w:r>
      <w:r>
        <w:rPr>
          <w:rFonts w:ascii="Arial" w:cs="Arial" w:eastAsia="Arial" w:hAnsi="Arial"/>
          <w:sz w:val="17"/>
          <w:szCs w:val="17"/>
          <w:color w:val="auto"/>
        </w:rPr>
        <w:t>later than December 31, 2007. Throughout the Lease Term, the Building B roof structure and roof membrane shall be under Landlord’s sole control. Landlord’s expenses incurred for the repair, maintenance and replacement of the Building B roof structure shall be at Landlord’s sole cost, subject to the terms of the Lease, as amended hereby. Subject to Landlord’s obligation to install, at Landlord’s sole cost, a new roof membrane on both Building A and Building B by no later than December 31, 2007 as mentioned above, Landlord’s expenses thereafter incurred for the repair, maintenance and replacement of the Building B roof membrane shall be reimbursed by Tenant on a proportionate basis in accordance with the terms of the Lease as modified hereby, provided that in all events if the repairs are necessitated by the negligence or willful misconduct of Tenant or its employees, agents or invitees, then Tenant shall reimburse Landlord for all costs incurred. If Tenant proposes to perform any alterations or improvements to the Premises which will involve penetration of the roof, Tenant shall be required to use Landlord’s chosen roofing contractor for such work. In no event may Tenant perform any work affecting the roof which would violate the terms of, or nullify, the roof warranty.</w:t>
      </w:r>
    </w:p>
    <w:p>
      <w:pPr>
        <w:spacing w:after="0" w:line="69" w:lineRule="exact"/>
        <w:rPr>
          <w:rFonts w:ascii="Arial" w:cs="Arial" w:eastAsia="Arial" w:hAnsi="Arial"/>
          <w:sz w:val="17"/>
          <w:szCs w:val="17"/>
          <w:color w:val="auto"/>
        </w:rPr>
      </w:pPr>
    </w:p>
    <w:p>
      <w:pPr>
        <w:ind w:right="80" w:firstLine="458"/>
        <w:spacing w:after="0" w:line="277" w:lineRule="auto"/>
        <w:tabs>
          <w:tab w:leader="none" w:pos="695" w:val="left"/>
        </w:tabs>
        <w:numPr>
          <w:ilvl w:val="1"/>
          <w:numId w:val="50"/>
        </w:numPr>
        <w:rPr>
          <w:rFonts w:ascii="Arial" w:cs="Arial" w:eastAsia="Arial" w:hAnsi="Arial"/>
          <w:sz w:val="17"/>
          <w:szCs w:val="17"/>
          <w:color w:val="auto"/>
        </w:rPr>
      </w:pPr>
      <w:r>
        <w:rPr>
          <w:rFonts w:ascii="Arial" w:cs="Arial" w:eastAsia="Arial" w:hAnsi="Arial"/>
          <w:sz w:val="17"/>
          <w:szCs w:val="17"/>
          <w:b w:val="1"/>
          <w:bCs w:val="1"/>
          <w:u w:val="single" w:color="auto"/>
          <w:color w:val="auto"/>
        </w:rPr>
        <w:t>HVAC System</w:t>
      </w:r>
      <w:r>
        <w:rPr>
          <w:rFonts w:ascii="Arial" w:cs="Arial" w:eastAsia="Arial" w:hAnsi="Arial"/>
          <w:sz w:val="17"/>
          <w:szCs w:val="17"/>
          <w:color w:val="auto"/>
        </w:rPr>
        <w:t>. Notwithstanding anything to the contrary in Section 10 of the Third Amendment, effective immediately, the portion of the Building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 HVAC system serving the Expansion Premises shall be maintained and serviced by Tenant at its sole cost. A diagram showing the location of the HVAC units which currently serve the Expansion Premises is attached hereto and incorporated herein as </w:t>
      </w:r>
      <w:r>
        <w:rPr>
          <w:rFonts w:ascii="Arial" w:cs="Arial" w:eastAsia="Arial" w:hAnsi="Arial"/>
          <w:sz w:val="17"/>
          <w:szCs w:val="17"/>
          <w:u w:val="single" w:color="auto"/>
          <w:color w:val="auto"/>
        </w:rPr>
        <w:t>Exhibit B</w:t>
      </w:r>
      <w:r>
        <w:rPr>
          <w:rFonts w:ascii="Arial" w:cs="Arial" w:eastAsia="Arial" w:hAnsi="Arial"/>
          <w:sz w:val="17"/>
          <w:szCs w:val="17"/>
          <w:color w:val="auto"/>
        </w:rPr>
        <w:t>. Further, the parties agree that, effective immediately, Tenant shall assume responsibility, at Tenant’s sole cost, for the HVAC unit on the roof of Building C and shall maintain and repair same consistent with Tenant’s obligations for the HVAC units on Building A. Consistent with the terms of Section 10.B of the Original Lease,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9" w:name="page70"/>
    <w:bookmarkEnd w:id="69"/>
    <w:p>
      <w:pPr>
        <w:ind w:right="200"/>
        <w:spacing w:after="0" w:line="277" w:lineRule="auto"/>
        <w:rPr>
          <w:sz w:val="20"/>
          <w:szCs w:val="20"/>
          <w:color w:val="auto"/>
        </w:rPr>
      </w:pPr>
      <w:r>
        <w:rPr>
          <w:rFonts w:ascii="Arial" w:cs="Arial" w:eastAsia="Arial" w:hAnsi="Arial"/>
          <w:sz w:val="18"/>
          <w:szCs w:val="18"/>
          <w:color w:val="auto"/>
        </w:rPr>
        <w:t>Landlord shall have the right to perform any or all of the HVAC maintenance, repair and servicing responsibilities if Tenant fails to do so after notice from Landlord of same.</w:t>
      </w:r>
    </w:p>
    <w:p>
      <w:pPr>
        <w:spacing w:after="0" w:line="58" w:lineRule="exact"/>
        <w:rPr>
          <w:sz w:val="20"/>
          <w:szCs w:val="20"/>
          <w:color w:val="auto"/>
        </w:rPr>
      </w:pPr>
    </w:p>
    <w:p>
      <w:pPr>
        <w:ind w:firstLine="458"/>
        <w:spacing w:after="0" w:line="295" w:lineRule="auto"/>
        <w:tabs>
          <w:tab w:leader="none" w:pos="705" w:val="left"/>
        </w:tabs>
        <w:numPr>
          <w:ilvl w:val="1"/>
          <w:numId w:val="51"/>
        </w:numPr>
        <w:rPr>
          <w:rFonts w:ascii="Arial" w:cs="Arial" w:eastAsia="Arial" w:hAnsi="Arial"/>
          <w:sz w:val="16"/>
          <w:szCs w:val="16"/>
          <w:color w:val="auto"/>
        </w:rPr>
      </w:pPr>
      <w:r>
        <w:rPr>
          <w:rFonts w:ascii="Arial" w:cs="Arial" w:eastAsia="Arial" w:hAnsi="Arial"/>
          <w:sz w:val="16"/>
          <w:szCs w:val="16"/>
          <w:b w:val="1"/>
          <w:bCs w:val="1"/>
          <w:u w:val="single" w:color="auto"/>
          <w:color w:val="auto"/>
        </w:rPr>
        <w:t>Electrical Room: Installation of Cabling</w:t>
      </w:r>
      <w:r>
        <w:rPr>
          <w:rFonts w:ascii="Arial" w:cs="Arial" w:eastAsia="Arial" w:hAnsi="Arial"/>
          <w:sz w:val="16"/>
          <w:szCs w:val="16"/>
          <w:color w:val="auto"/>
        </w:rPr>
        <w:t>. Adjacent Tenant (or Landlord on behalf of Adjacent Tenant) will be installing conduits, wires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types of cabling (collectively, “</w:t>
      </w:r>
      <w:r>
        <w:rPr>
          <w:rFonts w:ascii="Arial" w:cs="Arial" w:eastAsia="Arial" w:hAnsi="Arial"/>
          <w:sz w:val="16"/>
          <w:szCs w:val="16"/>
          <w:b w:val="1"/>
          <w:bCs w:val="1"/>
          <w:color w:val="auto"/>
        </w:rPr>
        <w:t>Cabling</w:t>
      </w:r>
      <w:r>
        <w:rPr>
          <w:rFonts w:ascii="Arial" w:cs="Arial" w:eastAsia="Arial" w:hAnsi="Arial"/>
          <w:sz w:val="16"/>
          <w:szCs w:val="16"/>
          <w:color w:val="auto"/>
        </w:rPr>
        <w:t>”) connecting the Electrical Room with Adjacent Tenant’s premises. Such Cabling will run above the ceiling grid in the building plenum along a mutually acceptable path, and will not interfere with Tenant’s operation of its business in the Expansion Premises. Tenant shall not interfere with or otherwise disrupt such Cabling (or any other utility connections which run through the Expansion Premises but are for the benefit of the Adjacent Tenant’s premises) once installed. In the event any work Tenant proposes to perform in the Expansion Premises might disturb the Cabling or such other utility connections, Tenant shall first coordinate such work with Landlord to ensure that services provided to Adjacent Tenant are not disrupted.</w:t>
      </w:r>
    </w:p>
    <w:p>
      <w:pPr>
        <w:spacing w:after="0" w:line="47" w:lineRule="exact"/>
        <w:rPr>
          <w:rFonts w:ascii="Arial" w:cs="Arial" w:eastAsia="Arial" w:hAnsi="Arial"/>
          <w:sz w:val="16"/>
          <w:szCs w:val="16"/>
          <w:color w:val="auto"/>
        </w:rPr>
      </w:pPr>
    </w:p>
    <w:p>
      <w:pPr>
        <w:ind w:right="40" w:firstLine="458"/>
        <w:spacing w:after="0" w:line="281" w:lineRule="auto"/>
        <w:tabs>
          <w:tab w:leader="none" w:pos="695" w:val="left"/>
        </w:tabs>
        <w:numPr>
          <w:ilvl w:val="1"/>
          <w:numId w:val="51"/>
        </w:numPr>
        <w:rPr>
          <w:rFonts w:ascii="Arial" w:cs="Arial" w:eastAsia="Arial" w:hAnsi="Arial"/>
          <w:sz w:val="17"/>
          <w:szCs w:val="17"/>
          <w:color w:val="auto"/>
        </w:rPr>
      </w:pPr>
      <w:r>
        <w:rPr>
          <w:rFonts w:ascii="Arial" w:cs="Arial" w:eastAsia="Arial" w:hAnsi="Arial"/>
          <w:sz w:val="17"/>
          <w:szCs w:val="17"/>
          <w:b w:val="1"/>
          <w:bCs w:val="1"/>
          <w:u w:val="single" w:color="auto"/>
          <w:color w:val="auto"/>
        </w:rPr>
        <w:t>Electrical Room: Access by Tenant</w:t>
      </w:r>
      <w:r>
        <w:rPr>
          <w:rFonts w:ascii="Arial" w:cs="Arial" w:eastAsia="Arial" w:hAnsi="Arial"/>
          <w:sz w:val="17"/>
          <w:szCs w:val="17"/>
          <w:color w:val="auto"/>
        </w:rPr>
        <w:t>. Tenant shall have direct access to the Electrical Room from the Expansion Premises; provided, however, that</w:t>
      </w:r>
      <w:r>
        <w:rPr>
          <w:rFonts w:ascii="Arial" w:cs="Arial" w:eastAsia="Arial" w:hAnsi="Arial"/>
          <w:sz w:val="17"/>
          <w:szCs w:val="17"/>
          <w:b w:val="1"/>
          <w:bCs w:val="1"/>
          <w:color w:val="auto"/>
        </w:rPr>
        <w:t xml:space="preserve"> </w:t>
      </w:r>
      <w:r>
        <w:rPr>
          <w:rFonts w:ascii="Arial" w:cs="Arial" w:eastAsia="Arial" w:hAnsi="Arial"/>
          <w:sz w:val="17"/>
          <w:szCs w:val="17"/>
          <w:color w:val="auto"/>
        </w:rPr>
        <w:t>if Tenant plans to undertake any work in the Electrical Room that might alter or interfere with (i) Adjacent Tenant’s electrical panels, Cabling or any other equipment that impacts Adjacent Tenant’s premises, or (ii) Landlord’s equipment that serves all or any portion of the building, including without limitation the E-MON D-MON submetering systems, Tenant shall coordinate such work in advance with Landlord.</w:t>
      </w:r>
    </w:p>
    <w:p>
      <w:pPr>
        <w:spacing w:after="0" w:line="56" w:lineRule="exact"/>
        <w:rPr>
          <w:rFonts w:ascii="Arial" w:cs="Arial" w:eastAsia="Arial" w:hAnsi="Arial"/>
          <w:sz w:val="17"/>
          <w:szCs w:val="17"/>
          <w:color w:val="auto"/>
        </w:rPr>
      </w:pPr>
    </w:p>
    <w:p>
      <w:pPr>
        <w:ind w:right="20" w:firstLine="458"/>
        <w:spacing w:after="0" w:line="255" w:lineRule="auto"/>
        <w:tabs>
          <w:tab w:leader="none" w:pos="675" w:val="left"/>
        </w:tabs>
        <w:numPr>
          <w:ilvl w:val="1"/>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Electrical Room: Access by Adjacent Tenant</w:t>
      </w:r>
      <w:r>
        <w:rPr>
          <w:rFonts w:ascii="Arial" w:cs="Arial" w:eastAsia="Arial" w:hAnsi="Arial"/>
          <w:sz w:val="18"/>
          <w:szCs w:val="18"/>
          <w:color w:val="auto"/>
        </w:rPr>
        <w:t>. Tenant acknowledges that Adjacent Tenant may need to have access to the Electrical Room both in</w:t>
      </w:r>
      <w:r>
        <w:rPr>
          <w:rFonts w:ascii="Arial" w:cs="Arial" w:eastAsia="Arial" w:hAnsi="Arial"/>
          <w:sz w:val="18"/>
          <w:szCs w:val="18"/>
          <w:b w:val="1"/>
          <w:bCs w:val="1"/>
          <w:color w:val="auto"/>
        </w:rPr>
        <w:t xml:space="preserve"> </w:t>
      </w:r>
      <w:r>
        <w:rPr>
          <w:rFonts w:ascii="Arial" w:cs="Arial" w:eastAsia="Arial" w:hAnsi="Arial"/>
          <w:sz w:val="18"/>
          <w:szCs w:val="18"/>
          <w:color w:val="auto"/>
        </w:rPr>
        <w:t>conjunction with the installation of the Cabling and from time to time thereafter for maintenance, repair and inspection purposes. Landlord agrees that Adjacent Tenant will not be granted direct access to the Electrical Room, but will be required to coordinate any such access with Landlord and be accompanied by Landlord or Landlord’s agent during any period of such access. At Landlord’s option, Landlord may delegate to Tenant responsibility for accompanying Adjacent Tenant into the Electrical Room when Adjacent Tenant requires such access. If Landlord is aware that the work to be undertaken by Adjacent Tenant in the Electrical Room might impact Tenant’s utilities or Tenant’s operations, Landlord will so advise Tenant in advance, which notice may be in writing or via telephone.</w:t>
      </w:r>
    </w:p>
    <w:p>
      <w:pPr>
        <w:spacing w:after="0" w:line="81" w:lineRule="exact"/>
        <w:rPr>
          <w:rFonts w:ascii="Arial" w:cs="Arial" w:eastAsia="Arial" w:hAnsi="Arial"/>
          <w:sz w:val="18"/>
          <w:szCs w:val="18"/>
          <w:color w:val="auto"/>
        </w:rPr>
      </w:pPr>
    </w:p>
    <w:p>
      <w:pPr>
        <w:ind w:right="40" w:firstLine="458"/>
        <w:spacing w:after="0" w:line="281" w:lineRule="auto"/>
        <w:tabs>
          <w:tab w:leader="none" w:pos="705" w:val="left"/>
        </w:tabs>
        <w:numPr>
          <w:ilvl w:val="1"/>
          <w:numId w:val="51"/>
        </w:numPr>
        <w:rPr>
          <w:rFonts w:ascii="Arial" w:cs="Arial" w:eastAsia="Arial" w:hAnsi="Arial"/>
          <w:sz w:val="17"/>
          <w:szCs w:val="17"/>
          <w:color w:val="auto"/>
        </w:rPr>
      </w:pPr>
      <w:r>
        <w:rPr>
          <w:rFonts w:ascii="Arial" w:cs="Arial" w:eastAsia="Arial" w:hAnsi="Arial"/>
          <w:sz w:val="17"/>
          <w:szCs w:val="17"/>
          <w:b w:val="1"/>
          <w:bCs w:val="1"/>
          <w:u w:val="single" w:color="auto"/>
          <w:color w:val="auto"/>
        </w:rPr>
        <w:t>Electrical Service</w:t>
      </w:r>
      <w:r>
        <w:rPr>
          <w:rFonts w:ascii="Arial" w:cs="Arial" w:eastAsia="Arial" w:hAnsi="Arial"/>
          <w:sz w:val="17"/>
          <w:szCs w:val="17"/>
          <w:color w:val="auto"/>
        </w:rPr>
        <w:t>. Tenant acknowledges that the Building has a total of approximately 4,000 amps of power and Landlord has made available a</w:t>
      </w:r>
      <w:r>
        <w:rPr>
          <w:rFonts w:ascii="Arial" w:cs="Arial" w:eastAsia="Arial" w:hAnsi="Arial"/>
          <w:sz w:val="17"/>
          <w:szCs w:val="17"/>
          <w:b w:val="1"/>
          <w:bCs w:val="1"/>
          <w:color w:val="auto"/>
        </w:rPr>
        <w:t xml:space="preserve"> </w:t>
      </w:r>
      <w:r>
        <w:rPr>
          <w:rFonts w:ascii="Arial" w:cs="Arial" w:eastAsia="Arial" w:hAnsi="Arial"/>
          <w:sz w:val="17"/>
          <w:szCs w:val="17"/>
          <w:color w:val="auto"/>
        </w:rPr>
        <w:t>maximum of 2,100 amps of capacity for Tenant’s use in the Expansion Premises. Tenant shall not use electrical capacity beyond the 2,100 amps described in the preceding sentence; notwithstanding the foregoing, if Tenant determines that it needs more capacity than that allocated to it hereunder, Landlord will reasonably cooperate with Tenant at Tenant’s sole cost and expense to bring more power to the Expansion Premises.</w:t>
      </w:r>
    </w:p>
    <w:p>
      <w:pPr>
        <w:spacing w:after="0" w:line="56" w:lineRule="exact"/>
        <w:rPr>
          <w:rFonts w:ascii="Arial" w:cs="Arial" w:eastAsia="Arial" w:hAnsi="Arial"/>
          <w:sz w:val="17"/>
          <w:szCs w:val="17"/>
          <w:color w:val="auto"/>
        </w:rPr>
      </w:pPr>
    </w:p>
    <w:p>
      <w:pPr>
        <w:ind w:right="820" w:firstLine="233"/>
        <w:spacing w:after="0" w:line="282" w:lineRule="auto"/>
        <w:tabs>
          <w:tab w:leader="none" w:pos="405" w:val="left"/>
        </w:tabs>
        <w:numPr>
          <w:ilvl w:val="0"/>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 Improvement Allowance</w:t>
      </w:r>
      <w:r>
        <w:rPr>
          <w:rFonts w:ascii="Arial" w:cs="Arial" w:eastAsia="Arial" w:hAnsi="Arial"/>
          <w:sz w:val="18"/>
          <w:szCs w:val="18"/>
          <w:color w:val="auto"/>
        </w:rPr>
        <w:t>. Notwithstanding anything to the contrary in the Third Amendment, all requests for funding of the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 Allowance (therein defined) must be received by August 31, 2006 (as opposed to February 28, 2006).</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70" w:name="page71"/>
    <w:bookmarkEnd w:id="70"/>
    <w:p>
      <w:pPr>
        <w:ind w:right="20" w:firstLine="233"/>
        <w:spacing w:after="0" w:line="274" w:lineRule="auto"/>
        <w:tabs>
          <w:tab w:leader="none" w:pos="405" w:val="left"/>
        </w:tabs>
        <w:numPr>
          <w:ilvl w:val="1"/>
          <w:numId w:val="53"/>
        </w:numPr>
        <w:rPr>
          <w:rFonts w:ascii="Arial" w:cs="Arial" w:eastAsia="Arial" w:hAnsi="Arial"/>
          <w:sz w:val="17"/>
          <w:szCs w:val="17"/>
          <w:color w:val="auto"/>
        </w:rPr>
      </w:pPr>
      <w:r>
        <w:rPr>
          <w:rFonts w:ascii="Arial" w:cs="Arial" w:eastAsia="Arial" w:hAnsi="Arial"/>
          <w:sz w:val="17"/>
          <w:szCs w:val="17"/>
          <w:b w:val="1"/>
          <w:bCs w:val="1"/>
          <w:u w:val="single" w:color="auto"/>
          <w:color w:val="auto"/>
        </w:rPr>
        <w:t>Real Estate Brokers</w:t>
      </w:r>
      <w:r>
        <w:rPr>
          <w:rFonts w:ascii="Arial" w:cs="Arial" w:eastAsia="Arial" w:hAnsi="Arial"/>
          <w:sz w:val="17"/>
          <w:szCs w:val="17"/>
          <w:color w:val="auto"/>
        </w:rPr>
        <w:t>. Tenant and Landlord warrant that they have had no dealings with any brokers or agents in connection with this Amendment other</w:t>
      </w:r>
      <w:r>
        <w:rPr>
          <w:rFonts w:ascii="Arial" w:cs="Arial" w:eastAsia="Arial" w:hAnsi="Arial"/>
          <w:sz w:val="17"/>
          <w:szCs w:val="17"/>
          <w:b w:val="1"/>
          <w:bCs w:val="1"/>
          <w:color w:val="auto"/>
        </w:rPr>
        <w:t xml:space="preserve"> </w:t>
      </w:r>
      <w:r>
        <w:rPr>
          <w:rFonts w:ascii="Arial" w:cs="Arial" w:eastAsia="Arial" w:hAnsi="Arial"/>
          <w:sz w:val="17"/>
          <w:szCs w:val="17"/>
          <w:color w:val="auto"/>
        </w:rPr>
        <w:t>than CB Richard Ellis and Cornish &amp; Carey Commercial, whose commissions, if any, shall be paid by Landlord pursuant to a separate agreement. Landlord covenants to pay, hold harmless and indemnify Tenant from and against any and all cost, expense or liability for any compensation, commissions or charges claimed by any other broker or agent utilized by Landlord with respect to this Amendment or the negotiation hereof. Tenant covenants to pay, hold harmless and indemnify Landlord from and against any and all cost, expense or liability for any compensation, commissions or charges claimed by any other broker or agent utilized by Tenant with respect to this Amendment or the negotiation hereof.</w:t>
      </w:r>
    </w:p>
    <w:p>
      <w:pPr>
        <w:spacing w:after="0" w:line="65" w:lineRule="exact"/>
        <w:rPr>
          <w:rFonts w:ascii="Arial" w:cs="Arial" w:eastAsia="Arial" w:hAnsi="Arial"/>
          <w:sz w:val="17"/>
          <w:szCs w:val="17"/>
          <w:color w:val="auto"/>
        </w:rPr>
      </w:pPr>
    </w:p>
    <w:p>
      <w:pPr>
        <w:ind w:left="420" w:hanging="187"/>
        <w:spacing w:after="0"/>
        <w:tabs>
          <w:tab w:leader="none" w:pos="420" w:val="left"/>
        </w:tabs>
        <w:numPr>
          <w:ilvl w:val="1"/>
          <w:numId w:val="53"/>
        </w:numPr>
        <w:rPr>
          <w:rFonts w:ascii="Arial" w:cs="Arial" w:eastAsia="Arial" w:hAnsi="Arial"/>
          <w:sz w:val="17"/>
          <w:szCs w:val="17"/>
          <w:color w:val="auto"/>
        </w:rPr>
      </w:pPr>
      <w:r>
        <w:rPr>
          <w:rFonts w:ascii="Arial" w:cs="Arial" w:eastAsia="Arial" w:hAnsi="Arial"/>
          <w:sz w:val="17"/>
          <w:szCs w:val="17"/>
          <w:b w:val="1"/>
          <w:bCs w:val="1"/>
          <w:u w:val="single" w:color="auto"/>
          <w:color w:val="auto"/>
        </w:rPr>
        <w:t>Guaranty of Lease</w:t>
      </w:r>
      <w:r>
        <w:rPr>
          <w:rFonts w:ascii="Arial" w:cs="Arial" w:eastAsia="Arial" w:hAnsi="Arial"/>
          <w:sz w:val="17"/>
          <w:szCs w:val="17"/>
          <w:color w:val="auto"/>
        </w:rPr>
        <w:t>. As a condition to this Amendment, Tenant’s parent company, Western Digital Corporation, a Delaware corporation, formerly</w:t>
      </w:r>
    </w:p>
    <w:p>
      <w:pPr>
        <w:spacing w:after="0" w:line="38" w:lineRule="exact"/>
        <w:rPr>
          <w:rFonts w:ascii="Arial" w:cs="Arial" w:eastAsia="Arial" w:hAnsi="Arial"/>
          <w:sz w:val="17"/>
          <w:szCs w:val="17"/>
          <w:color w:val="auto"/>
        </w:rPr>
      </w:pPr>
    </w:p>
    <w:p>
      <w:pPr>
        <w:ind w:right="40"/>
        <w:spacing w:after="0" w:line="261" w:lineRule="auto"/>
        <w:rPr>
          <w:rFonts w:ascii="Arial" w:cs="Arial" w:eastAsia="Arial" w:hAnsi="Arial"/>
          <w:sz w:val="17"/>
          <w:szCs w:val="17"/>
          <w:color w:val="auto"/>
        </w:rPr>
      </w:pPr>
      <w:r>
        <w:rPr>
          <w:rFonts w:ascii="Arial" w:cs="Arial" w:eastAsia="Arial" w:hAnsi="Arial"/>
          <w:sz w:val="18"/>
          <w:szCs w:val="18"/>
          <w:color w:val="auto"/>
        </w:rPr>
        <w:t>known as Western Digital Holdings, Inc., shall execute and deliver to Landlord a copy of this Amendment in which they have acknowledged their continuing liability under the Guaranty of Lease previously executed by Western Digital Corporation.</w:t>
      </w:r>
    </w:p>
    <w:p>
      <w:pPr>
        <w:spacing w:after="0" w:line="71" w:lineRule="exact"/>
        <w:rPr>
          <w:rFonts w:ascii="Arial" w:cs="Arial" w:eastAsia="Arial" w:hAnsi="Arial"/>
          <w:sz w:val="17"/>
          <w:szCs w:val="17"/>
          <w:color w:val="auto"/>
        </w:rPr>
      </w:pPr>
    </w:p>
    <w:p>
      <w:pPr>
        <w:ind w:left="420" w:hanging="187"/>
        <w:spacing w:after="0"/>
        <w:tabs>
          <w:tab w:leader="none" w:pos="420" w:val="left"/>
        </w:tabs>
        <w:numPr>
          <w:ilvl w:val="1"/>
          <w:numId w:val="53"/>
        </w:numPr>
        <w:rPr>
          <w:rFonts w:ascii="Arial" w:cs="Arial" w:eastAsia="Arial" w:hAnsi="Arial"/>
          <w:sz w:val="16"/>
          <w:szCs w:val="16"/>
          <w:color w:val="auto"/>
        </w:rPr>
      </w:pPr>
      <w:r>
        <w:rPr>
          <w:rFonts w:ascii="Arial" w:cs="Arial" w:eastAsia="Arial" w:hAnsi="Arial"/>
          <w:sz w:val="16"/>
          <w:szCs w:val="16"/>
          <w:b w:val="1"/>
          <w:bCs w:val="1"/>
          <w:u w:val="single" w:color="auto"/>
          <w:color w:val="auto"/>
        </w:rPr>
        <w:t>Tenant’s Authority</w:t>
      </w:r>
      <w:r>
        <w:rPr>
          <w:rFonts w:ascii="Arial" w:cs="Arial" w:eastAsia="Arial" w:hAnsi="Arial"/>
          <w:sz w:val="16"/>
          <w:szCs w:val="16"/>
          <w:color w:val="auto"/>
        </w:rPr>
        <w:t>. Tenant hereby covenants and warrants that (a) Tenant is in good standing under the laws of the States of California and Delaware;</w:t>
      </w:r>
    </w:p>
    <w:p>
      <w:pPr>
        <w:spacing w:after="0" w:line="50" w:lineRule="exact"/>
        <w:rPr>
          <w:rFonts w:ascii="Arial" w:cs="Arial" w:eastAsia="Arial" w:hAnsi="Arial"/>
          <w:sz w:val="16"/>
          <w:szCs w:val="16"/>
          <w:color w:val="auto"/>
        </w:rPr>
      </w:pPr>
    </w:p>
    <w:p>
      <w:pPr>
        <w:ind w:firstLine="8"/>
        <w:spacing w:after="0" w:line="255" w:lineRule="auto"/>
        <w:tabs>
          <w:tab w:leader="none" w:pos="2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Tenant has full power and authority to enter into this Amendment and to perform all Tenant’s obligations under the Lease, as amended by this Amendment; and (c) each person (and all of the persons if more than one signs) signing this Amendment on behalf of Tenant is duly and validly authorized to do so.</w:t>
      </w:r>
    </w:p>
    <w:p>
      <w:pPr>
        <w:spacing w:after="0" w:line="78" w:lineRule="exact"/>
        <w:rPr>
          <w:rFonts w:ascii="Arial" w:cs="Arial" w:eastAsia="Arial" w:hAnsi="Arial"/>
          <w:sz w:val="18"/>
          <w:szCs w:val="18"/>
          <w:color w:val="auto"/>
        </w:rPr>
      </w:pPr>
    </w:p>
    <w:p>
      <w:pPr>
        <w:ind w:right="100" w:firstLine="233"/>
        <w:spacing w:after="0" w:line="261" w:lineRule="auto"/>
        <w:tabs>
          <w:tab w:leader="none" w:pos="495" w:val="left"/>
        </w:tabs>
        <w:numPr>
          <w:ilvl w:val="1"/>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Landlord’s Authority</w:t>
      </w:r>
      <w:r>
        <w:rPr>
          <w:rFonts w:ascii="Arial" w:cs="Arial" w:eastAsia="Arial" w:hAnsi="Arial"/>
          <w:sz w:val="18"/>
          <w:szCs w:val="18"/>
          <w:color w:val="auto"/>
        </w:rPr>
        <w:t>. Landlord hereby covenants and warrants that (a) Landlord is in good standing under the laws of the States of California and</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(b) Landlord has full power and authority to enter into this Amendment and to perform all Landlord’s obligations under the Lease, as amended by this Amendment; and (c) each person (and all of the persons if more than one signs) signing this Amendment on behalf of Landlord is duly and validly authorized to do so.</w:t>
      </w:r>
    </w:p>
    <w:p>
      <w:pPr>
        <w:spacing w:after="0" w:line="71" w:lineRule="exact"/>
        <w:rPr>
          <w:rFonts w:ascii="Arial" w:cs="Arial" w:eastAsia="Arial" w:hAnsi="Arial"/>
          <w:sz w:val="18"/>
          <w:szCs w:val="18"/>
          <w:color w:val="auto"/>
        </w:rPr>
      </w:pPr>
    </w:p>
    <w:p>
      <w:pPr>
        <w:ind w:right="100" w:firstLine="233"/>
        <w:spacing w:after="0" w:line="313" w:lineRule="auto"/>
        <w:tabs>
          <w:tab w:leader="none" w:pos="488" w:val="left"/>
        </w:tabs>
        <w:numPr>
          <w:ilvl w:val="1"/>
          <w:numId w:val="54"/>
        </w:numPr>
        <w:rPr>
          <w:rFonts w:ascii="Arial" w:cs="Arial" w:eastAsia="Arial" w:hAnsi="Arial"/>
          <w:sz w:val="17"/>
          <w:szCs w:val="17"/>
          <w:color w:val="auto"/>
        </w:rPr>
      </w:pPr>
      <w:r>
        <w:rPr>
          <w:rFonts w:ascii="Arial" w:cs="Arial" w:eastAsia="Arial" w:hAnsi="Arial"/>
          <w:sz w:val="17"/>
          <w:szCs w:val="17"/>
          <w:b w:val="1"/>
          <w:bCs w:val="1"/>
          <w:u w:val="single" w:color="auto"/>
          <w:color w:val="auto"/>
        </w:rPr>
        <w:t>No Offer</w:t>
      </w:r>
      <w:r>
        <w:rPr>
          <w:rFonts w:ascii="Arial" w:cs="Arial" w:eastAsia="Arial" w:hAnsi="Arial"/>
          <w:sz w:val="17"/>
          <w:szCs w:val="17"/>
          <w:color w:val="auto"/>
        </w:rPr>
        <w:t>. Submission of this instrument for examination and signature by Tenant does not constitute an offer to lease or a reservation of or option for</w:t>
      </w:r>
      <w:r>
        <w:rPr>
          <w:rFonts w:ascii="Arial" w:cs="Arial" w:eastAsia="Arial" w:hAnsi="Arial"/>
          <w:sz w:val="17"/>
          <w:szCs w:val="17"/>
          <w:b w:val="1"/>
          <w:bCs w:val="1"/>
          <w:color w:val="auto"/>
        </w:rPr>
        <w:t xml:space="preserve"> </w:t>
      </w:r>
      <w:r>
        <w:rPr>
          <w:rFonts w:ascii="Arial" w:cs="Arial" w:eastAsia="Arial" w:hAnsi="Arial"/>
          <w:sz w:val="17"/>
          <w:szCs w:val="17"/>
          <w:color w:val="auto"/>
        </w:rPr>
        <w:t>lease, and this instrument is not effective as a lease amendment or otherwise until executed and delivered by both Landlord and Tenant.</w:t>
      </w:r>
    </w:p>
    <w:p>
      <w:pPr>
        <w:spacing w:after="0" w:line="30" w:lineRule="exact"/>
        <w:rPr>
          <w:rFonts w:ascii="Arial" w:cs="Arial" w:eastAsia="Arial" w:hAnsi="Arial"/>
          <w:sz w:val="17"/>
          <w:szCs w:val="17"/>
          <w:color w:val="auto"/>
        </w:rPr>
      </w:pPr>
    </w:p>
    <w:p>
      <w:pPr>
        <w:ind w:right="120" w:firstLine="233"/>
        <w:spacing w:after="0" w:line="261" w:lineRule="auto"/>
        <w:tabs>
          <w:tab w:leader="none" w:pos="495" w:val="left"/>
        </w:tabs>
        <w:numPr>
          <w:ilvl w:val="1"/>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Amendment contains the entire understanding between the parties with respect to the matters contained herein. No</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warranties, covenants or agreements have been made concerning or affecting the subject matter of this Amendment, except as are contained herein and in the Lease. This Amendment may not be changed orally, but only by an agreement in writing signed by the party against whom enforcement of any waiver, change or modification is sought.</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71" w:name="page72"/>
    <w:bookmarkEnd w:id="71"/>
    <w:p>
      <w:pPr>
        <w:jc w:val="both"/>
        <w:ind w:right="220" w:firstLine="233"/>
        <w:spacing w:after="0" w:line="289" w:lineRule="auto"/>
        <w:tabs>
          <w:tab w:leader="none" w:pos="495" w:val="left"/>
        </w:tabs>
        <w:numPr>
          <w:ilvl w:val="0"/>
          <w:numId w:val="55"/>
        </w:numPr>
        <w:rPr>
          <w:rFonts w:ascii="Arial" w:cs="Arial" w:eastAsia="Arial" w:hAnsi="Arial"/>
          <w:sz w:val="17"/>
          <w:szCs w:val="17"/>
          <w:color w:val="auto"/>
        </w:rPr>
      </w:pPr>
      <w:r>
        <w:rPr>
          <w:rFonts w:ascii="Arial" w:cs="Arial" w:eastAsia="Arial" w:hAnsi="Arial"/>
          <w:sz w:val="17"/>
          <w:szCs w:val="17"/>
          <w:b w:val="1"/>
          <w:bCs w:val="1"/>
          <w:u w:val="single" w:color="auto"/>
          <w:color w:val="auto"/>
        </w:rPr>
        <w:t>Lease in Full Force and Effect</w:t>
      </w:r>
      <w:r>
        <w:rPr>
          <w:rFonts w:ascii="Arial" w:cs="Arial" w:eastAsia="Arial" w:hAnsi="Arial"/>
          <w:sz w:val="17"/>
          <w:szCs w:val="17"/>
          <w:color w:val="auto"/>
        </w:rPr>
        <w:t>. Tenant hereby affirms that, as of the Reference Date hereof, Landlord has fulfilled all its duties in compliance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Lease, no breach or default by either party has occurred, and the Lease, and all of its terms, conditions, covenants, agreements and provisions, except as hereby modified, (i) is hereby ratified and (ii) is in full force and effect with no defenses or offsets thereto.</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Landlord and Tenant have executed this Amendment as of the date first set forth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LANDLORD:</w:t>
            </w:r>
          </w:p>
        </w:tc>
        <w:tc>
          <w:tcPr>
            <w:tcW w:w="6220" w:type="dxa"/>
            <w:vAlign w:val="bottom"/>
            <w:gridSpan w:val="2"/>
          </w:tcPr>
          <w:p>
            <w:pPr>
              <w:ind w:left="600"/>
              <w:spacing w:after="0"/>
              <w:rPr>
                <w:sz w:val="20"/>
                <w:szCs w:val="20"/>
                <w:color w:val="auto"/>
              </w:rPr>
            </w:pPr>
            <w:r>
              <w:rPr>
                <w:rFonts w:ascii="Arial" w:cs="Arial" w:eastAsia="Arial" w:hAnsi="Arial"/>
                <w:sz w:val="18"/>
                <w:szCs w:val="18"/>
                <w:b w:val="1"/>
                <w:bCs w:val="1"/>
                <w:color w:val="auto"/>
              </w:rPr>
              <w:t>TENANT:</w:t>
            </w:r>
          </w:p>
        </w:tc>
      </w:tr>
      <w:tr>
        <w:trPr>
          <w:trHeight w:val="418"/>
        </w:trPr>
        <w:tc>
          <w:tcPr>
            <w:tcW w:w="5200" w:type="dxa"/>
            <w:vAlign w:val="bottom"/>
            <w:gridSpan w:val="2"/>
          </w:tcPr>
          <w:p>
            <w:pPr>
              <w:spacing w:after="0"/>
              <w:rPr>
                <w:sz w:val="20"/>
                <w:szCs w:val="20"/>
                <w:color w:val="auto"/>
              </w:rPr>
            </w:pPr>
            <w:r>
              <w:rPr>
                <w:rFonts w:ascii="Arial" w:cs="Arial" w:eastAsia="Arial" w:hAnsi="Arial"/>
                <w:sz w:val="18"/>
                <w:szCs w:val="18"/>
                <w:color w:val="auto"/>
              </w:rPr>
              <w:t>TRINET ESSENTIAL FACILITIES XXVI,</w:t>
            </w:r>
          </w:p>
        </w:tc>
        <w:tc>
          <w:tcPr>
            <w:tcW w:w="6220" w:type="dxa"/>
            <w:vAlign w:val="bottom"/>
            <w:gridSpan w:val="2"/>
          </w:tcPr>
          <w:p>
            <w:pPr>
              <w:ind w:left="600"/>
              <w:spacing w:after="0"/>
              <w:rPr>
                <w:sz w:val="20"/>
                <w:szCs w:val="20"/>
                <w:color w:val="auto"/>
              </w:rPr>
            </w:pPr>
            <w:r>
              <w:rPr>
                <w:rFonts w:ascii="Arial" w:cs="Arial" w:eastAsia="Arial" w:hAnsi="Arial"/>
                <w:sz w:val="18"/>
                <w:szCs w:val="18"/>
                <w:color w:val="auto"/>
              </w:rPr>
              <w:t>WESTERN DIGITAL TECHNOLOGIES, INC.,</w:t>
            </w: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INC., a Maryland corporation</w:t>
            </w:r>
          </w:p>
        </w:tc>
        <w:tc>
          <w:tcPr>
            <w:tcW w:w="6220" w:type="dxa"/>
            <w:vAlign w:val="bottom"/>
            <w:gridSpan w:val="2"/>
          </w:tcPr>
          <w:p>
            <w:pPr>
              <w:ind w:left="600"/>
              <w:spacing w:after="0"/>
              <w:rPr>
                <w:sz w:val="20"/>
                <w:szCs w:val="20"/>
                <w:color w:val="auto"/>
              </w:rPr>
            </w:pPr>
            <w:r>
              <w:rPr>
                <w:rFonts w:ascii="Arial" w:cs="Arial" w:eastAsia="Arial" w:hAnsi="Arial"/>
                <w:sz w:val="18"/>
                <w:szCs w:val="18"/>
                <w:color w:val="auto"/>
              </w:rPr>
              <w:t>a Delaware corporation</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Erich Stiger</w:t>
            </w:r>
          </w:p>
        </w:tc>
        <w:tc>
          <w:tcPr>
            <w:tcW w:w="1200" w:type="dxa"/>
            <w:vAlign w:val="bottom"/>
          </w:tcPr>
          <w:p>
            <w:pPr>
              <w:ind w:left="6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Cindy M. Campos</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spacing w:after="0"/>
              <w:rPr>
                <w:sz w:val="20"/>
                <w:szCs w:val="20"/>
                <w:color w:val="auto"/>
              </w:rPr>
            </w:pPr>
            <w:r>
              <w:rPr>
                <w:rFonts w:ascii="Arial" w:cs="Arial" w:eastAsia="Arial" w:hAnsi="Arial"/>
                <w:sz w:val="18"/>
                <w:szCs w:val="18"/>
                <w:color w:val="auto"/>
              </w:rPr>
              <w:t>Erich Stiger</w:t>
            </w:r>
          </w:p>
        </w:tc>
        <w:tc>
          <w:tcPr>
            <w:tcW w:w="1200" w:type="dxa"/>
            <w:vAlign w:val="bottom"/>
          </w:tcPr>
          <w:p>
            <w:pPr>
              <w:ind w:left="60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Cindy M. Campos</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Senior Vice President</w:t>
            </w:r>
          </w:p>
        </w:tc>
        <w:tc>
          <w:tcPr>
            <w:tcW w:w="1200" w:type="dxa"/>
            <w:vAlign w:val="bottom"/>
          </w:tcPr>
          <w:p>
            <w:pPr>
              <w:ind w:left="600"/>
              <w:spacing w:after="0"/>
              <w:rPr>
                <w:sz w:val="20"/>
                <w:szCs w:val="20"/>
                <w:color w:val="auto"/>
              </w:rPr>
            </w:pPr>
            <w:r>
              <w:rPr>
                <w:rFonts w:ascii="Arial" w:cs="Arial" w:eastAsia="Arial" w:hAnsi="Arial"/>
                <w:sz w:val="18"/>
                <w:szCs w:val="18"/>
                <w:color w:val="auto"/>
              </w:rPr>
              <w:t>Its:</w:t>
            </w:r>
          </w:p>
        </w:tc>
        <w:tc>
          <w:tcPr>
            <w:tcW w:w="5020" w:type="dxa"/>
            <w:vAlign w:val="bottom"/>
          </w:tcPr>
          <w:p>
            <w:pPr>
              <w:spacing w:after="0"/>
              <w:rPr>
                <w:sz w:val="20"/>
                <w:szCs w:val="20"/>
                <w:color w:val="auto"/>
              </w:rPr>
            </w:pPr>
            <w:r>
              <w:rPr>
                <w:rFonts w:ascii="Arial" w:cs="Arial" w:eastAsia="Arial" w:hAnsi="Arial"/>
                <w:sz w:val="18"/>
                <w:szCs w:val="18"/>
                <w:color w:val="auto"/>
              </w:rPr>
              <w:t>Real Estate Specialist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Guarantor’s Acknowledgment</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undersigned Guarantor, pursuant to that certain Guaranty of Lease dated as of March ___, 2005, hereby reaffirms and ratifies the guaranty of Tenant’s obligations under the Lease, as amended by the foregoing Fourth Amendment to Lease.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40" w:type="dxa"/>
            <w:vAlign w:val="bottom"/>
          </w:tcPr>
          <w:p>
            <w:pPr>
              <w:ind w:left="2060"/>
              <w:spacing w:after="0"/>
              <w:rPr>
                <w:sz w:val="20"/>
                <w:szCs w:val="20"/>
                <w:color w:val="auto"/>
              </w:rPr>
            </w:pPr>
            <w:r>
              <w:rPr>
                <w:rFonts w:ascii="Arial" w:cs="Arial" w:eastAsia="Arial" w:hAnsi="Arial"/>
                <w:sz w:val="18"/>
                <w:szCs w:val="18"/>
                <w:b w:val="1"/>
                <w:bCs w:val="1"/>
                <w:color w:val="auto"/>
              </w:rPr>
              <w:t>GUARANTOR:</w:t>
            </w:r>
          </w:p>
        </w:tc>
        <w:tc>
          <w:tcPr>
            <w:tcW w:w="6980" w:type="dxa"/>
            <w:vAlign w:val="bottom"/>
            <w:gridSpan w:val="2"/>
          </w:tcPr>
          <w:p>
            <w:pPr>
              <w:ind w:left="1140"/>
              <w:spacing w:after="0"/>
              <w:rPr>
                <w:sz w:val="20"/>
                <w:szCs w:val="20"/>
                <w:color w:val="auto"/>
              </w:rPr>
            </w:pPr>
            <w:r>
              <w:rPr>
                <w:rFonts w:ascii="Arial" w:cs="Arial" w:eastAsia="Arial" w:hAnsi="Arial"/>
                <w:sz w:val="18"/>
                <w:szCs w:val="18"/>
                <w:color w:val="auto"/>
              </w:rPr>
              <w:t>WESTERN DIGITAL CORPORATION,</w:t>
            </w:r>
          </w:p>
        </w:tc>
      </w:tr>
      <w:tr>
        <w:trPr>
          <w:trHeight w:val="230"/>
        </w:trPr>
        <w:tc>
          <w:tcPr>
            <w:tcW w:w="4440" w:type="dxa"/>
            <w:vAlign w:val="bottom"/>
          </w:tcPr>
          <w:p>
            <w:pPr>
              <w:spacing w:after="0"/>
              <w:rPr>
                <w:sz w:val="20"/>
                <w:szCs w:val="20"/>
                <w:color w:val="auto"/>
              </w:rPr>
            </w:pPr>
          </w:p>
        </w:tc>
        <w:tc>
          <w:tcPr>
            <w:tcW w:w="6980" w:type="dxa"/>
            <w:vAlign w:val="bottom"/>
            <w:gridSpan w:val="2"/>
          </w:tcPr>
          <w:p>
            <w:pPr>
              <w:ind w:left="1140"/>
              <w:spacing w:after="0"/>
              <w:rPr>
                <w:sz w:val="20"/>
                <w:szCs w:val="20"/>
                <w:color w:val="auto"/>
              </w:rPr>
            </w:pPr>
            <w:r>
              <w:rPr>
                <w:rFonts w:ascii="Arial" w:cs="Arial" w:eastAsia="Arial" w:hAnsi="Arial"/>
                <w:sz w:val="18"/>
                <w:szCs w:val="18"/>
                <w:color w:val="auto"/>
              </w:rPr>
              <w:t>a Delaware corporation</w:t>
            </w:r>
          </w:p>
        </w:tc>
      </w:tr>
      <w:tr>
        <w:trPr>
          <w:trHeight w:val="432"/>
        </w:trPr>
        <w:tc>
          <w:tcPr>
            <w:tcW w:w="4440" w:type="dxa"/>
            <w:vAlign w:val="bottom"/>
          </w:tcPr>
          <w:p>
            <w:pPr>
              <w:spacing w:after="0"/>
              <w:rPr>
                <w:sz w:val="24"/>
                <w:szCs w:val="24"/>
                <w:color w:val="auto"/>
              </w:rPr>
            </w:pPr>
          </w:p>
        </w:tc>
        <w:tc>
          <w:tcPr>
            <w:tcW w:w="1840" w:type="dxa"/>
            <w:vAlign w:val="bottom"/>
          </w:tcPr>
          <w:p>
            <w:pPr>
              <w:ind w:left="11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M. Bukaty</w:t>
            </w:r>
          </w:p>
        </w:tc>
      </w:tr>
      <w:tr>
        <w:trPr>
          <w:trHeight w:val="209"/>
        </w:trPr>
        <w:tc>
          <w:tcPr>
            <w:tcW w:w="4440" w:type="dxa"/>
            <w:vAlign w:val="bottom"/>
          </w:tcPr>
          <w:p>
            <w:pPr>
              <w:spacing w:after="0"/>
              <w:rPr>
                <w:sz w:val="18"/>
                <w:szCs w:val="18"/>
                <w:color w:val="auto"/>
              </w:rPr>
            </w:pPr>
          </w:p>
        </w:tc>
        <w:tc>
          <w:tcPr>
            <w:tcW w:w="1840" w:type="dxa"/>
            <w:vAlign w:val="bottom"/>
          </w:tcPr>
          <w:p>
            <w:pPr>
              <w:ind w:left="1140"/>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Raymond M. Bukaty</w:t>
            </w:r>
          </w:p>
        </w:tc>
      </w:tr>
      <w:tr>
        <w:trPr>
          <w:trHeight w:val="216"/>
        </w:trPr>
        <w:tc>
          <w:tcPr>
            <w:tcW w:w="4440" w:type="dxa"/>
            <w:vAlign w:val="bottom"/>
          </w:tcPr>
          <w:p>
            <w:pPr>
              <w:spacing w:after="0"/>
              <w:rPr>
                <w:sz w:val="18"/>
                <w:szCs w:val="18"/>
                <w:color w:val="auto"/>
              </w:rPr>
            </w:pPr>
          </w:p>
        </w:tc>
        <w:tc>
          <w:tcPr>
            <w:tcW w:w="1840" w:type="dxa"/>
            <w:vAlign w:val="bottom"/>
          </w:tcPr>
          <w:p>
            <w:pPr>
              <w:ind w:left="114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Senior Vice President Administrator</w:t>
            </w:r>
          </w:p>
        </w:tc>
      </w:tr>
      <w:tr>
        <w:trPr>
          <w:trHeight w:val="230"/>
        </w:trPr>
        <w:tc>
          <w:tcPr>
            <w:tcW w:w="4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General Counsel and Secretary</w:t>
            </w:r>
          </w:p>
        </w:tc>
      </w:tr>
      <w:tr>
        <w:trPr>
          <w:trHeight w:val="432"/>
        </w:trPr>
        <w:tc>
          <w:tcPr>
            <w:tcW w:w="4440" w:type="dxa"/>
            <w:vAlign w:val="bottom"/>
          </w:tcPr>
          <w:p>
            <w:pPr>
              <w:spacing w:after="0"/>
              <w:rPr>
                <w:sz w:val="24"/>
                <w:szCs w:val="24"/>
                <w:color w:val="auto"/>
              </w:rPr>
            </w:pPr>
          </w:p>
        </w:tc>
        <w:tc>
          <w:tcPr>
            <w:tcW w:w="1840" w:type="dxa"/>
            <w:vAlign w:val="bottom"/>
          </w:tcPr>
          <w:p>
            <w:pPr>
              <w:ind w:left="1140"/>
              <w:spacing w:after="0"/>
              <w:rPr>
                <w:sz w:val="20"/>
                <w:szCs w:val="20"/>
                <w:color w:val="auto"/>
              </w:rPr>
            </w:pPr>
            <w:r>
              <w:rPr>
                <w:rFonts w:ascii="Arial" w:cs="Arial" w:eastAsia="Arial" w:hAnsi="Arial"/>
                <w:sz w:val="18"/>
                <w:szCs w:val="18"/>
                <w:color w:val="auto"/>
              </w:rPr>
              <w:t>Dated:</w:t>
            </w:r>
          </w:p>
        </w:tc>
        <w:tc>
          <w:tcPr>
            <w:tcW w:w="5140" w:type="dxa"/>
            <w:vAlign w:val="bottom"/>
          </w:tcPr>
          <w:p>
            <w:pPr>
              <w:spacing w:after="0"/>
              <w:rPr>
                <w:sz w:val="20"/>
                <w:szCs w:val="20"/>
                <w:color w:val="auto"/>
              </w:rPr>
            </w:pPr>
            <w:r>
              <w:rPr>
                <w:rFonts w:ascii="Arial" w:cs="Arial" w:eastAsia="Arial" w:hAnsi="Arial"/>
                <w:sz w:val="18"/>
                <w:szCs w:val="18"/>
                <w:color w:val="auto"/>
              </w:rPr>
              <w:t>December 21, 2005</w:t>
            </w:r>
          </w:p>
        </w:tc>
      </w:tr>
      <w:tr>
        <w:trPr>
          <w:trHeight w:val="405"/>
        </w:trPr>
        <w:tc>
          <w:tcPr>
            <w:tcW w:w="444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Arial" w:cs="Arial" w:eastAsia="Arial" w:hAnsi="Arial"/>
                <w:sz w:val="18"/>
                <w:szCs w:val="18"/>
                <w:color w:val="auto"/>
              </w:rPr>
              <w:t>6</w:t>
            </w:r>
          </w:p>
        </w:tc>
        <w:tc>
          <w:tcPr>
            <w:tcW w:w="5140" w:type="dxa"/>
            <w:vAlign w:val="bottom"/>
          </w:tcPr>
          <w:p>
            <w:pPr>
              <w:spacing w:after="0"/>
              <w:rPr>
                <w:sz w:val="24"/>
                <w:szCs w:val="24"/>
                <w:color w:val="auto"/>
              </w:rPr>
            </w:pPr>
          </w:p>
        </w:tc>
      </w:tr>
      <w:tr>
        <w:trPr>
          <w:trHeight w:val="226"/>
        </w:trPr>
        <w:tc>
          <w:tcPr>
            <w:tcW w:w="444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EXHIBIT 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DIAGRAM OF BUILDING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SHOWING LOCATION OF EXPANSION PREMISES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attached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1898650</wp:posOffset>
            </wp:positionH>
            <wp:positionV relativeFrom="page">
              <wp:posOffset>620395</wp:posOffset>
            </wp:positionV>
            <wp:extent cx="3773170" cy="48367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3773170" cy="4836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157480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4" w:name="page75"/>
    <w:bookmarkEnd w:id="74"/>
    <w:p>
      <w:pPr>
        <w:jc w:val="center"/>
        <w:ind w:right="-20"/>
        <w:spacing w:after="0"/>
        <w:rPr>
          <w:sz w:val="20"/>
          <w:szCs w:val="20"/>
          <w:color w:val="auto"/>
        </w:rPr>
      </w:pPr>
      <w:r>
        <w:rPr>
          <w:rFonts w:ascii="Arial" w:cs="Arial" w:eastAsia="Arial" w:hAnsi="Arial"/>
          <w:sz w:val="18"/>
          <w:szCs w:val="18"/>
          <w:b w:val="1"/>
          <w:bCs w:val="1"/>
          <w:color w:val="auto"/>
        </w:rPr>
        <w:t>EXHIBIT B</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DIAGRAM OF EXPANSION PREMISES SHOWING</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LOCATION OF HVAC UNITS CURRENTLY SERVING THE EXPANSION PREMISES</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attached</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Note: Area A on the attached Diagram</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shows the location of the HVAC Units currently serving the Expansion Premises.</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1864360</wp:posOffset>
            </wp:positionH>
            <wp:positionV relativeFrom="page">
              <wp:posOffset>620395</wp:posOffset>
            </wp:positionV>
            <wp:extent cx="3833495" cy="50253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3833495" cy="5025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B-2</w:t>
      </w:r>
    </w:p>
    <w:p>
      <w:pPr>
        <w:sectPr>
          <w:pgSz w:w="11900" w:h="16838" w:orient="portrait"/>
          <w:cols w:equalWidth="0" w:num="1">
            <w:col w:w="9019"/>
          </w:cols>
          <w:pgMar w:left="1440" w:top="1440" w:right="1440" w:bottom="1440" w:gutter="0" w:footer="0" w:header="0"/>
        </w:sectPr>
      </w:pPr>
    </w:p>
    <w:bookmarkStart w:id="76" w:name="page77"/>
    <w:bookmarkEnd w:id="76"/>
    <w:p>
      <w:pPr>
        <w:ind w:left="10260"/>
        <w:spacing w:after="0"/>
        <w:rPr>
          <w:sz w:val="20"/>
          <w:szCs w:val="20"/>
          <w:color w:val="auto"/>
        </w:rPr>
      </w:pPr>
      <w:r>
        <w:rPr>
          <w:rFonts w:ascii="Arial" w:cs="Arial" w:eastAsia="Arial" w:hAnsi="Arial"/>
          <w:sz w:val="16"/>
          <w:szCs w:val="16"/>
          <w:b w:val="1"/>
          <w:bCs w:val="1"/>
          <w:color w:val="auto"/>
        </w:rPr>
        <w:t>Exhibit 10.29.2</w:t>
      </w:r>
    </w:p>
    <w:p>
      <w:pPr>
        <w:spacing w:after="0" w:line="1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PORTIONS DENOTED WITH [***] HAVE BEEN OMITTED AND FILED SEPARATELY WITH THE SECURITIES AND EXCHANGE COMMISSION PURSUANT TO A REQUEST FOR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48895</wp:posOffset>
            </wp:positionV>
            <wp:extent cx="18783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 VOLUME PURCHASE AGREEMENT</w:t>
      </w:r>
    </w:p>
    <w:p>
      <w:pPr>
        <w:spacing w:after="0" w:line="117" w:lineRule="exact"/>
        <w:rPr>
          <w:sz w:val="20"/>
          <w:szCs w:val="20"/>
          <w:color w:val="auto"/>
        </w:rPr>
      </w:pPr>
    </w:p>
    <w:p>
      <w:pPr>
        <w:ind w:right="160" w:firstLine="222"/>
        <w:spacing w:after="0" w:line="266" w:lineRule="auto"/>
        <w:rPr>
          <w:sz w:val="20"/>
          <w:szCs w:val="20"/>
          <w:color w:val="auto"/>
        </w:rPr>
      </w:pPr>
      <w:r>
        <w:rPr>
          <w:rFonts w:ascii="Arial" w:cs="Arial" w:eastAsia="Arial" w:hAnsi="Arial"/>
          <w:sz w:val="18"/>
          <w:szCs w:val="18"/>
          <w:color w:val="auto"/>
        </w:rPr>
        <w:t>This Amendment No. 2 to the Volume Purchase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dated as of November 29, 2005, and is made by and between Komag USA (Malaysia) Sdn., a Malaysia unlimited liability company (“</w:t>
      </w:r>
      <w:r>
        <w:rPr>
          <w:rFonts w:ascii="Arial" w:cs="Arial" w:eastAsia="Arial" w:hAnsi="Arial"/>
          <w:sz w:val="18"/>
          <w:szCs w:val="18"/>
          <w:b w:val="1"/>
          <w:bCs w:val="1"/>
          <w:color w:val="auto"/>
        </w:rPr>
        <w:t>Komag</w:t>
      </w:r>
      <w:r>
        <w:rPr>
          <w:rFonts w:ascii="Arial" w:cs="Arial" w:eastAsia="Arial" w:hAnsi="Arial"/>
          <w:sz w:val="18"/>
          <w:szCs w:val="18"/>
          <w:color w:val="auto"/>
        </w:rPr>
        <w:t>”), Komag, Incorporated, a Delaware Corporation (“</w:t>
      </w:r>
      <w:r>
        <w:rPr>
          <w:rFonts w:ascii="Arial" w:cs="Arial" w:eastAsia="Arial" w:hAnsi="Arial"/>
          <w:sz w:val="18"/>
          <w:szCs w:val="18"/>
          <w:b w:val="1"/>
          <w:bCs w:val="1"/>
          <w:color w:val="auto"/>
        </w:rPr>
        <w:t>Komag Inc.</w:t>
      </w:r>
      <w:r>
        <w:rPr>
          <w:rFonts w:ascii="Arial" w:cs="Arial" w:eastAsia="Arial" w:hAnsi="Arial"/>
          <w:sz w:val="18"/>
          <w:szCs w:val="18"/>
          <w:color w:val="auto"/>
        </w:rPr>
        <w:t>”), and Western Digital Technologies, Inc., a Delaware corporation (“</w:t>
      </w:r>
      <w:r>
        <w:rPr>
          <w:rFonts w:ascii="Arial" w:cs="Arial" w:eastAsia="Arial" w:hAnsi="Arial"/>
          <w:sz w:val="18"/>
          <w:szCs w:val="18"/>
          <w:b w:val="1"/>
          <w:bCs w:val="1"/>
          <w:color w:val="auto"/>
        </w:rPr>
        <w:t>WDC</w:t>
      </w:r>
      <w:r>
        <w:rPr>
          <w:rFonts w:ascii="Arial" w:cs="Arial" w:eastAsia="Arial" w:hAnsi="Arial"/>
          <w:sz w:val="18"/>
          <w:szCs w:val="18"/>
          <w:color w:val="auto"/>
        </w:rPr>
        <w: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ind w:right="360" w:firstLine="215"/>
        <w:spacing w:after="0" w:line="277" w:lineRule="auto"/>
        <w:rPr>
          <w:sz w:val="20"/>
          <w:szCs w:val="20"/>
          <w:color w:val="auto"/>
        </w:rPr>
      </w:pPr>
      <w:r>
        <w:rPr>
          <w:rFonts w:ascii="Arial" w:cs="Arial" w:eastAsia="Arial" w:hAnsi="Arial"/>
          <w:sz w:val="18"/>
          <w:szCs w:val="18"/>
          <w:color w:val="auto"/>
        </w:rPr>
        <w:t>A. WDC, Komag and Komag Inc. previously executed a Volume Purchase Agreement effective as of June 6, 2005 and amended by Amendment No. 1 dated July 22, 2005 (the “</w:t>
      </w:r>
      <w:r>
        <w:rPr>
          <w:rFonts w:ascii="Arial" w:cs="Arial" w:eastAsia="Arial" w:hAnsi="Arial"/>
          <w:sz w:val="18"/>
          <w:szCs w:val="18"/>
          <w:b w:val="1"/>
          <w:bCs w:val="1"/>
          <w:color w:val="auto"/>
        </w:rPr>
        <w:t>VPA</w:t>
      </w:r>
      <w:r>
        <w:rPr>
          <w:rFonts w:ascii="Arial" w:cs="Arial" w:eastAsia="Arial" w:hAnsi="Arial"/>
          <w:sz w:val="18"/>
          <w:szCs w:val="18"/>
          <w:color w:val="auto"/>
        </w:rPr>
        <w:t>”).</w:t>
      </w:r>
    </w:p>
    <w:p>
      <w:pPr>
        <w:spacing w:after="0" w:line="62"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B. WDC, Komag and Komag Inc. now desire to amend the Agreement in the manner and upon the terms and conditions hereinafter provided in this Amendment.</w:t>
      </w:r>
    </w:p>
    <w:p>
      <w:pPr>
        <w:spacing w:after="0" w:line="62"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NOW, THEREFORE, for and in consideration of the mutual covenants herein contained and for other good and valuable consideration, the receipt and sufficiency of which are hereby acknowledged, the parties executing this Amendment hereby agree as follows: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17" w:lineRule="exact"/>
        <w:rPr>
          <w:sz w:val="20"/>
          <w:szCs w:val="20"/>
          <w:color w:val="auto"/>
        </w:rPr>
      </w:pPr>
    </w:p>
    <w:p>
      <w:pPr>
        <w:ind w:left="420" w:hanging="187"/>
        <w:spacing w:after="0"/>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Defined Terms</w:t>
      </w:r>
      <w:r>
        <w:rPr>
          <w:rFonts w:ascii="Arial" w:cs="Arial" w:eastAsia="Arial" w:hAnsi="Arial"/>
          <w:sz w:val="18"/>
          <w:szCs w:val="18"/>
          <w:color w:val="auto"/>
        </w:rPr>
        <w:t>. Capitalized terms not defined herein shall have the meanings set forth in the VPA.</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The second page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b w:val="1"/>
          <w:bCs w:val="1"/>
          <w:color w:val="auto"/>
        </w:rPr>
        <w:t xml:space="preserve"> </w:t>
      </w:r>
      <w:r>
        <w:rPr>
          <w:rFonts w:ascii="Arial" w:cs="Arial" w:eastAsia="Arial" w:hAnsi="Arial"/>
          <w:sz w:val="18"/>
          <w:szCs w:val="18"/>
          <w:color w:val="auto"/>
        </w:rPr>
        <w:t>of the VPA is hereby deleted in its entirety and replaced with Exhibit B attached hereto.</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D</w:t>
      </w:r>
      <w:r>
        <w:rPr>
          <w:rFonts w:ascii="Arial" w:cs="Arial" w:eastAsia="Arial" w:hAnsi="Arial"/>
          <w:sz w:val="18"/>
          <w:szCs w:val="18"/>
          <w:b w:val="1"/>
          <w:bCs w:val="1"/>
          <w:color w:val="auto"/>
        </w:rPr>
        <w:t xml:space="preserve"> </w:t>
      </w:r>
      <w:r>
        <w:rPr>
          <w:rFonts w:ascii="Arial" w:cs="Arial" w:eastAsia="Arial" w:hAnsi="Arial"/>
          <w:sz w:val="18"/>
          <w:szCs w:val="18"/>
          <w:color w:val="auto"/>
        </w:rPr>
        <w:t>of the VPA is hereby deleted in its entirety and replaced with Exhibit D attached hereto.</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Exhibit F</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F</w:t>
      </w:r>
      <w:r>
        <w:rPr>
          <w:rFonts w:ascii="Arial" w:cs="Arial" w:eastAsia="Arial" w:hAnsi="Arial"/>
          <w:sz w:val="18"/>
          <w:szCs w:val="18"/>
          <w:b w:val="1"/>
          <w:bCs w:val="1"/>
          <w:color w:val="auto"/>
        </w:rPr>
        <w:t xml:space="preserve"> </w:t>
      </w:r>
      <w:r>
        <w:rPr>
          <w:rFonts w:ascii="Arial" w:cs="Arial" w:eastAsia="Arial" w:hAnsi="Arial"/>
          <w:sz w:val="18"/>
          <w:szCs w:val="18"/>
          <w:color w:val="auto"/>
        </w:rPr>
        <w:t>of the VPA is hereby deleted in its entirety and replaced with Exhibit F attached hereto.</w:t>
      </w:r>
    </w:p>
    <w:p>
      <w:pPr>
        <w:spacing w:after="0" w:line="117" w:lineRule="exact"/>
        <w:rPr>
          <w:rFonts w:ascii="Arial" w:cs="Arial" w:eastAsia="Arial" w:hAnsi="Arial"/>
          <w:sz w:val="18"/>
          <w:szCs w:val="18"/>
          <w:color w:val="auto"/>
        </w:rPr>
      </w:pPr>
    </w:p>
    <w:p>
      <w:pPr>
        <w:ind w:right="160" w:firstLine="233"/>
        <w:spacing w:after="0" w:line="266" w:lineRule="auto"/>
        <w:tabs>
          <w:tab w:leader="none" w:pos="405"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w:t>
      </w:r>
      <w:r>
        <w:rPr>
          <w:rFonts w:ascii="Arial" w:cs="Arial" w:eastAsia="Arial" w:hAnsi="Arial"/>
          <w:sz w:val="18"/>
          <w:szCs w:val="18"/>
          <w:color w:val="auto"/>
        </w:rPr>
        <w:t>. The effectiveness of this Amendment shall be conditioned upon 1) approval from WDC’s board of directors and 2) approval from WDC’s</w:t>
      </w:r>
      <w:r>
        <w:rPr>
          <w:rFonts w:ascii="Arial" w:cs="Arial" w:eastAsia="Arial" w:hAnsi="Arial"/>
          <w:sz w:val="18"/>
          <w:szCs w:val="18"/>
          <w:b w:val="1"/>
          <w:bCs w:val="1"/>
          <w:color w:val="auto"/>
        </w:rPr>
        <w:t xml:space="preserve"> </w:t>
      </w:r>
      <w:r>
        <w:rPr>
          <w:rFonts w:ascii="Arial" w:cs="Arial" w:eastAsia="Arial" w:hAnsi="Arial"/>
          <w:sz w:val="18"/>
          <w:szCs w:val="18"/>
          <w:color w:val="auto"/>
        </w:rPr>
        <w:t>bank lenders. Notwithstanding anything herein to the contrary, this Amendment shall have no force or effect unless or until such approvals have been received.</w:t>
      </w:r>
    </w:p>
    <w:p>
      <w:pPr>
        <w:spacing w:after="0" w:line="68" w:lineRule="exact"/>
        <w:rPr>
          <w:rFonts w:ascii="Arial" w:cs="Arial" w:eastAsia="Arial" w:hAnsi="Arial"/>
          <w:sz w:val="18"/>
          <w:szCs w:val="18"/>
          <w:color w:val="auto"/>
        </w:rPr>
      </w:pPr>
    </w:p>
    <w:p>
      <w:pPr>
        <w:jc w:val="both"/>
        <w:ind w:right="280" w:firstLine="233"/>
        <w:spacing w:after="0" w:line="266" w:lineRule="auto"/>
        <w:tabs>
          <w:tab w:leader="none" w:pos="405"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Ratification of VPA</w:t>
      </w:r>
      <w:r>
        <w:rPr>
          <w:rFonts w:ascii="Arial" w:cs="Arial" w:eastAsia="Arial" w:hAnsi="Arial"/>
          <w:sz w:val="18"/>
          <w:szCs w:val="18"/>
          <w:color w:val="auto"/>
        </w:rPr>
        <w:t>. In the event of an inconsistency between the terms of this Amendment and the terms of the VPA, the terms of this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control. Except as amended hereby, the VPA is ratified, approved and confirmed and shall remain in full force and effect in accordance with its terms without modification.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7" w:name="page78"/>
    <w:bookmarkEnd w:id="77"/>
    <w:p>
      <w:pPr>
        <w:spacing w:after="0" w:line="277" w:lineRule="auto"/>
        <w:rPr>
          <w:sz w:val="20"/>
          <w:szCs w:val="20"/>
          <w:color w:val="auto"/>
        </w:rPr>
      </w:pPr>
      <w:r>
        <w:rPr>
          <w:rFonts w:ascii="Arial" w:cs="Arial" w:eastAsia="Arial" w:hAnsi="Arial"/>
          <w:sz w:val="18"/>
          <w:szCs w:val="18"/>
          <w:color w:val="auto"/>
        </w:rPr>
        <w:t>PORTIONS DENOTED WITH [***] HAVE BEEN OMITTED AND FILED SEPARATELY WITH THE SECURITIES AND EXCHANGE COMMISSION PURSUANT TO A REQUEST FOR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48895</wp:posOffset>
            </wp:positionV>
            <wp:extent cx="18783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27" w:lineRule="exact"/>
        <w:rPr>
          <w:sz w:val="20"/>
          <w:szCs w:val="20"/>
          <w:color w:val="auto"/>
        </w:rPr>
      </w:pPr>
    </w:p>
    <w:p>
      <w:pPr>
        <w:ind w:right="240" w:firstLine="233"/>
        <w:spacing w:after="0" w:line="282" w:lineRule="auto"/>
        <w:tabs>
          <w:tab w:leader="none" w:pos="405"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Each party agrees that the terms and conditions, but not the existence, of this Amendment will be treated as the other’s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subject to Section 11 of the VPA.</w:t>
      </w:r>
    </w:p>
    <w:p>
      <w:pPr>
        <w:spacing w:after="0" w:line="53" w:lineRule="exact"/>
        <w:rPr>
          <w:rFonts w:ascii="Arial" w:cs="Arial" w:eastAsia="Arial" w:hAnsi="Arial"/>
          <w:sz w:val="18"/>
          <w:szCs w:val="18"/>
          <w:color w:val="auto"/>
        </w:rPr>
      </w:pPr>
    </w:p>
    <w:p>
      <w:pPr>
        <w:jc w:val="both"/>
        <w:ind w:right="180" w:firstLine="233"/>
        <w:spacing w:after="0" w:line="266" w:lineRule="auto"/>
        <w:tabs>
          <w:tab w:leader="none" w:pos="405"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The VPA, Exhibits, and specific Purchase Orders and Pull Requests and this Amendment No. 1 set forth the complete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parties regarding their subject matter and replace all prior or contemporaneous communications, understandings or agreements, written or oral, about this subject.</w:t>
      </w:r>
    </w:p>
    <w:p>
      <w:pPr>
        <w:spacing w:after="0" w:line="68" w:lineRule="exact"/>
        <w:rPr>
          <w:rFonts w:ascii="Arial" w:cs="Arial" w:eastAsia="Arial" w:hAnsi="Arial"/>
          <w:sz w:val="18"/>
          <w:szCs w:val="18"/>
          <w:color w:val="auto"/>
        </w:rPr>
      </w:pPr>
    </w:p>
    <w:p>
      <w:pPr>
        <w:ind w:right="60" w:firstLine="233"/>
        <w:spacing w:after="0" w:line="282" w:lineRule="auto"/>
        <w:tabs>
          <w:tab w:leader="none" w:pos="405"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Amendment may be executed in one or more counterparts, each of which will be deemed to be an original, but all of which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one and the same instrument. A photocopy of a signature or a facsimile of a signature shall be as valid as an original.</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8" w:name="page79"/>
    <w:bookmarkEnd w:id="78"/>
    <w:p>
      <w:pPr>
        <w:ind w:right="40"/>
        <w:spacing w:after="0" w:line="277" w:lineRule="auto"/>
        <w:rPr>
          <w:sz w:val="20"/>
          <w:szCs w:val="20"/>
          <w:color w:val="auto"/>
        </w:rPr>
      </w:pPr>
      <w:r>
        <w:rPr>
          <w:rFonts w:ascii="Arial" w:cs="Arial" w:eastAsia="Arial" w:hAnsi="Arial"/>
          <w:sz w:val="18"/>
          <w:szCs w:val="18"/>
          <w:color w:val="auto"/>
        </w:rPr>
        <w:t>PORTIONS DENOTED WITH [***] HAVE BEEN OMITTED AND FILED SEPARATELY WITH THE SECURITIES AND EXCHANGE COMMISSION PURSUANT TO A REQUEST FOR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48895</wp:posOffset>
            </wp:positionV>
            <wp:extent cx="18783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31"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IN WITNESS WHEREOF, the parties have caused this Amendment No. 2 to Volume Purchase Agreement to be signed and accepted by their duly authorized representatives, effective as of the Effective Date.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Western Digital Technologies, Inc.,</w:t>
            </w:r>
          </w:p>
        </w:tc>
        <w:tc>
          <w:tcPr>
            <w:tcW w:w="6060" w:type="dxa"/>
            <w:vAlign w:val="bottom"/>
            <w:gridSpan w:val="3"/>
          </w:tcPr>
          <w:p>
            <w:pPr>
              <w:ind w:left="680"/>
              <w:spacing w:after="0"/>
              <w:rPr>
                <w:sz w:val="20"/>
                <w:szCs w:val="20"/>
                <w:color w:val="auto"/>
              </w:rPr>
            </w:pPr>
            <w:r>
              <w:rPr>
                <w:rFonts w:ascii="Arial" w:cs="Arial" w:eastAsia="Arial" w:hAnsi="Arial"/>
                <w:sz w:val="18"/>
                <w:szCs w:val="18"/>
                <w:color w:val="auto"/>
              </w:rPr>
              <w:t>Komag USA (Malaysia) Sdn.</w:t>
            </w: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a Delaware corporation.</w:t>
            </w:r>
          </w:p>
        </w:tc>
        <w:tc>
          <w:tcPr>
            <w:tcW w:w="6060" w:type="dxa"/>
            <w:vAlign w:val="bottom"/>
            <w:gridSpan w:val="3"/>
          </w:tcPr>
          <w:p>
            <w:pPr>
              <w:ind w:left="680"/>
              <w:spacing w:after="0"/>
              <w:rPr>
                <w:sz w:val="20"/>
                <w:szCs w:val="20"/>
                <w:color w:val="auto"/>
              </w:rPr>
            </w:pPr>
            <w:r>
              <w:rPr>
                <w:rFonts w:ascii="Arial" w:cs="Arial" w:eastAsia="Arial" w:hAnsi="Arial"/>
                <w:sz w:val="18"/>
                <w:szCs w:val="18"/>
                <w:color w:val="auto"/>
              </w:rPr>
              <w:t>a Malaysian corporation</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Tom Nieto</w:t>
            </w:r>
          </w:p>
        </w:tc>
        <w:tc>
          <w:tcPr>
            <w:tcW w:w="1200" w:type="dxa"/>
            <w:vAlign w:val="bottom"/>
          </w:tcPr>
          <w:p>
            <w:pPr>
              <w:ind w:left="680"/>
              <w:spacing w:after="0"/>
              <w:rPr>
                <w:sz w:val="20"/>
                <w:szCs w:val="20"/>
                <w:color w:val="auto"/>
              </w:rPr>
            </w:pPr>
            <w:r>
              <w:rPr>
                <w:rFonts w:ascii="Arial" w:cs="Arial" w:eastAsia="Arial" w:hAnsi="Arial"/>
                <w:sz w:val="18"/>
                <w:szCs w:val="18"/>
                <w:color w:val="auto"/>
              </w:rPr>
              <w:t>By:</w:t>
            </w:r>
          </w:p>
        </w:tc>
        <w:tc>
          <w:tcPr>
            <w:tcW w:w="4860" w:type="dxa"/>
            <w:vAlign w:val="bottom"/>
            <w:gridSpan w:val="2"/>
          </w:tcPr>
          <w:p>
            <w:pPr>
              <w:ind w:left="60"/>
              <w:spacing w:after="0"/>
              <w:rPr>
                <w:sz w:val="20"/>
                <w:szCs w:val="20"/>
                <w:color w:val="auto"/>
              </w:rPr>
            </w:pPr>
            <w:r>
              <w:rPr>
                <w:rFonts w:ascii="Arial" w:cs="Arial" w:eastAsia="Arial" w:hAnsi="Arial"/>
                <w:sz w:val="18"/>
                <w:szCs w:val="18"/>
                <w:color w:val="auto"/>
              </w:rPr>
              <w:t>/s/ Kheng Huat Oung</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Tom Nieto</w:t>
            </w:r>
          </w:p>
        </w:tc>
        <w:tc>
          <w:tcPr>
            <w:tcW w:w="1200" w:type="dxa"/>
            <w:vAlign w:val="bottom"/>
          </w:tcPr>
          <w:p>
            <w:pPr>
              <w:ind w:left="680"/>
              <w:spacing w:after="0"/>
              <w:rPr>
                <w:sz w:val="20"/>
                <w:szCs w:val="20"/>
                <w:color w:val="auto"/>
              </w:rPr>
            </w:pPr>
            <w:r>
              <w:rPr>
                <w:rFonts w:ascii="Arial" w:cs="Arial" w:eastAsia="Arial" w:hAnsi="Arial"/>
                <w:sz w:val="18"/>
                <w:szCs w:val="18"/>
                <w:color w:val="auto"/>
                <w:w w:val="94"/>
              </w:rPr>
              <w:t>Name:</w:t>
            </w:r>
          </w:p>
        </w:tc>
        <w:tc>
          <w:tcPr>
            <w:tcW w:w="60" w:type="dxa"/>
            <w:vAlign w:val="bottom"/>
          </w:tcPr>
          <w:p>
            <w:pPr>
              <w:spacing w:after="0"/>
              <w:rPr>
                <w:sz w:val="19"/>
                <w:szCs w:val="19"/>
                <w:color w:val="auto"/>
              </w:rPr>
            </w:pPr>
          </w:p>
        </w:tc>
        <w:tc>
          <w:tcPr>
            <w:tcW w:w="4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Kheng Huat Oung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Vice President, Materials</w:t>
            </w:r>
          </w:p>
        </w:tc>
        <w:tc>
          <w:tcPr>
            <w:tcW w:w="1200" w:type="dxa"/>
            <w:vAlign w:val="bottom"/>
          </w:tcPr>
          <w:p>
            <w:pPr>
              <w:ind w:left="680"/>
              <w:spacing w:after="0"/>
              <w:rPr>
                <w:sz w:val="20"/>
                <w:szCs w:val="20"/>
                <w:color w:val="auto"/>
              </w:rPr>
            </w:pPr>
            <w:r>
              <w:rPr>
                <w:rFonts w:ascii="Arial" w:cs="Arial" w:eastAsia="Arial" w:hAnsi="Arial"/>
                <w:sz w:val="18"/>
                <w:szCs w:val="18"/>
                <w:color w:val="auto"/>
              </w:rPr>
              <w:t>Title:</w:t>
            </w:r>
          </w:p>
        </w:tc>
        <w:tc>
          <w:tcPr>
            <w:tcW w:w="4860" w:type="dxa"/>
            <w:vAlign w:val="bottom"/>
            <w:gridSpan w:val="2"/>
          </w:tcPr>
          <w:p>
            <w:pPr>
              <w:ind w:left="60"/>
              <w:spacing w:after="0"/>
              <w:rPr>
                <w:sz w:val="20"/>
                <w:szCs w:val="20"/>
                <w:color w:val="auto"/>
              </w:rPr>
            </w:pPr>
            <w:r>
              <w:rPr>
                <w:rFonts w:ascii="Arial" w:cs="Arial" w:eastAsia="Arial" w:hAnsi="Arial"/>
                <w:sz w:val="18"/>
                <w:szCs w:val="18"/>
                <w:color w:val="auto"/>
              </w:rPr>
              <w:t>Managing Director</w:t>
            </w:r>
          </w:p>
        </w:tc>
      </w:tr>
      <w:tr>
        <w:trPr>
          <w:trHeight w:val="431"/>
        </w:trPr>
        <w:tc>
          <w:tcPr>
            <w:tcW w:w="5360" w:type="dxa"/>
            <w:vAlign w:val="bottom"/>
            <w:gridSpan w:val="2"/>
          </w:tcPr>
          <w:p>
            <w:pPr>
              <w:spacing w:after="0"/>
              <w:rPr>
                <w:sz w:val="20"/>
                <w:szCs w:val="20"/>
                <w:color w:val="auto"/>
              </w:rPr>
            </w:pPr>
            <w:r>
              <w:rPr>
                <w:rFonts w:ascii="Arial" w:cs="Arial" w:eastAsia="Arial" w:hAnsi="Arial"/>
                <w:sz w:val="18"/>
                <w:szCs w:val="18"/>
                <w:color w:val="auto"/>
              </w:rPr>
              <w:t>Komag Incorporated</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a Delaware corporation</w:t>
            </w: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 L. Martin</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Ray L. Martin</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Executive Vice President, Customer Sales and Service</w:t>
            </w: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405"/>
        </w:trPr>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26"/>
        </w:trPr>
        <w:tc>
          <w:tcPr>
            <w:tcW w:w="580" w:type="dxa"/>
            <w:vAlign w:val="bottom"/>
            <w:tcBorders>
              <w:bottom w:val="single" w:sz="8" w:color="808080"/>
            </w:tcBorders>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9" w:name="page80"/>
    <w:bookmarkEnd w:id="79"/>
    <w:p>
      <w:pPr>
        <w:spacing w:after="0" w:line="277" w:lineRule="auto"/>
        <w:rPr>
          <w:sz w:val="20"/>
          <w:szCs w:val="20"/>
          <w:color w:val="auto"/>
        </w:rPr>
      </w:pPr>
      <w:r>
        <w:rPr>
          <w:rFonts w:ascii="Arial" w:cs="Arial" w:eastAsia="Arial" w:hAnsi="Arial"/>
          <w:sz w:val="18"/>
          <w:szCs w:val="18"/>
          <w:color w:val="auto"/>
        </w:rPr>
        <w:t>PORTIONS DENOTED WITH [***] HAVE BEEN OMITTED AND FILED SEPARATELY WITH THE SECURITIES AND EXCHANGE COMMISSION PURSUANT TO A REQUEST FOR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48895</wp:posOffset>
            </wp:positionV>
            <wp:extent cx="18783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B</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PRICES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(Page 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ADDITIONAL PAYMENT TERMS</w:t>
      </w:r>
    </w:p>
    <w:p>
      <w:pPr>
        <w:spacing w:after="0" w:line="117"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WDC shall make [***] payments to Komag Inc. in accordance with the schedule set forth below [***] to be applied against [***] purchases of Product in accordance with this Exhibit as set forth below:</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right="120" w:firstLine="233"/>
        <w:spacing w:after="0" w:line="282"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Payment [***] shall be made subject to [***]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 The parties acknowledge that the [***] have already been paid and received. [***] Payment [***] shall be repaid by Komag, Inc. to WDC solely in accordance with [***] Section 6.7 and 4.3.3 of the VPA.</w:t>
      </w:r>
    </w:p>
    <w:p>
      <w:pPr>
        <w:spacing w:after="0" w:line="58" w:lineRule="exact"/>
        <w:rPr>
          <w:sz w:val="20"/>
          <w:szCs w:val="20"/>
          <w:color w:val="auto"/>
        </w:rPr>
      </w:pPr>
    </w:p>
    <w:p>
      <w:pPr>
        <w:ind w:right="780" w:firstLine="222"/>
        <w:spacing w:after="0" w:line="277" w:lineRule="auto"/>
        <w:rPr>
          <w:sz w:val="20"/>
          <w:szCs w:val="20"/>
          <w:color w:val="auto"/>
        </w:rPr>
      </w:pPr>
      <w:r>
        <w:rPr>
          <w:rFonts w:ascii="Arial" w:cs="Arial" w:eastAsia="Arial" w:hAnsi="Arial"/>
          <w:sz w:val="18"/>
          <w:szCs w:val="18"/>
          <w:color w:val="auto"/>
        </w:rPr>
        <w:t>The parties agree that it is their mutual intent that [***] Payment [***] be used by the Komag Group solely for manufacturing and operations in connection with the [***], and not for the Komag Group’s general working capital purposes.</w:t>
      </w:r>
    </w:p>
    <w:p>
      <w:pPr>
        <w:spacing w:after="0" w:line="62" w:lineRule="exact"/>
        <w:rPr>
          <w:sz w:val="20"/>
          <w:szCs w:val="20"/>
          <w:color w:val="auto"/>
        </w:rPr>
      </w:pPr>
    </w:p>
    <w:p>
      <w:pPr>
        <w:jc w:val="both"/>
        <w:ind w:right="40" w:firstLine="225"/>
        <w:spacing w:after="0" w:line="279" w:lineRule="auto"/>
        <w:rPr>
          <w:sz w:val="20"/>
          <w:szCs w:val="20"/>
          <w:color w:val="auto"/>
        </w:rPr>
      </w:pPr>
      <w:r>
        <w:rPr>
          <w:rFonts w:ascii="Arial" w:cs="Arial" w:eastAsia="Arial" w:hAnsi="Arial"/>
          <w:sz w:val="17"/>
          <w:szCs w:val="17"/>
          <w:color w:val="auto"/>
        </w:rPr>
        <w:t>Starting no earlier than the first date that first production comes off the [***] and no later than [***], Komag Inc. shall make payments monthly to WDC equal to [***] for each Unit invoiced during the fiscal month, within 7 days after the fiscal month-end (regardless of whether such Unit was a result of [***] or previously existing capacity) (the “</w:t>
      </w:r>
      <w:r>
        <w:rPr>
          <w:rFonts w:ascii="Arial" w:cs="Arial" w:eastAsia="Arial" w:hAnsi="Arial"/>
          <w:sz w:val="17"/>
          <w:szCs w:val="17"/>
          <w:b w:val="1"/>
          <w:bCs w:val="1"/>
          <w:u w:val="single" w:color="auto"/>
          <w:color w:val="auto"/>
        </w:rPr>
        <w:t>Per Unit Offset</w:t>
      </w:r>
      <w:r>
        <w:rPr>
          <w:rFonts w:ascii="Arial" w:cs="Arial" w:eastAsia="Arial" w:hAnsi="Arial"/>
          <w:sz w:val="17"/>
          <w:szCs w:val="17"/>
          <w:color w:val="auto"/>
        </w:rPr>
        <w:t>”) [***], then the remainder of the [***] shall become due and payable to WDC at the end of the Initial Term, and Komag Inc. shall make such payment in a reasonable period of time not to exceed 15 Days.</w:t>
      </w:r>
    </w:p>
    <w:p>
      <w:pPr>
        <w:spacing w:after="0" w:line="63"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Notwithstanding the foregoing, in the event WDC makes payment to Komag in accordance with Section 6.5 of the VPA for Units invoiced during [***], then the Per Unit Offset to be paid monthly by Komag Inc. to WDC referenced in the previous paragraph shall increase [***].</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80" w:name="page81"/>
    <w:bookmarkEnd w:id="80"/>
    <w:p>
      <w:pPr>
        <w:spacing w:after="0" w:line="277" w:lineRule="auto"/>
        <w:rPr>
          <w:sz w:val="20"/>
          <w:szCs w:val="20"/>
          <w:color w:val="auto"/>
        </w:rPr>
      </w:pPr>
      <w:r>
        <w:rPr>
          <w:rFonts w:ascii="Arial" w:cs="Arial" w:eastAsia="Arial" w:hAnsi="Arial"/>
          <w:sz w:val="18"/>
          <w:szCs w:val="18"/>
          <w:color w:val="auto"/>
        </w:rPr>
        <w:t>PORTIONS DENOTED WITH [***] HAVE BEEN OMITTED AND FILED SEPARATELY WITH THE SECURITIES AND EXCHANGE COMMISSION PURSUANT TO A REQUEST FOR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48895</wp:posOffset>
            </wp:positionV>
            <wp:extent cx="18783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Progress Milestones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1" w:name="page82"/>
    <w:bookmarkEnd w:id="81"/>
    <w:p>
      <w:pPr>
        <w:ind w:right="40"/>
        <w:spacing w:after="0" w:line="277" w:lineRule="auto"/>
        <w:rPr>
          <w:sz w:val="20"/>
          <w:szCs w:val="20"/>
          <w:color w:val="auto"/>
        </w:rPr>
      </w:pPr>
      <w:r>
        <w:rPr>
          <w:rFonts w:ascii="Arial" w:cs="Arial" w:eastAsia="Arial" w:hAnsi="Arial"/>
          <w:sz w:val="18"/>
          <w:szCs w:val="18"/>
          <w:color w:val="auto"/>
        </w:rPr>
        <w:t>PORTIONS DENOTED WITH [***] HAVE BEEN OMITTED AND FILED SEPARATELY WITH THE SECURITIES AND EXCHANGE COMMISSION PURSUANT TO A REQUEST FOR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48895</wp:posOffset>
            </wp:positionV>
            <wp:extent cx="18783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0" w:type="dxa"/>
            <w:vAlign w:val="bottom"/>
            <w:gridSpan w:val="3"/>
          </w:tcPr>
          <w:p>
            <w:pPr>
              <w:jc w:val="center"/>
              <w:spacing w:after="0"/>
              <w:rPr>
                <w:sz w:val="20"/>
                <w:szCs w:val="20"/>
                <w:color w:val="auto"/>
              </w:rPr>
            </w:pPr>
            <w:r>
              <w:rPr>
                <w:rFonts w:ascii="Arial" w:cs="Arial" w:eastAsia="Arial" w:hAnsi="Arial"/>
                <w:sz w:val="18"/>
                <w:szCs w:val="18"/>
                <w:b w:val="1"/>
                <w:bCs w:val="1"/>
                <w:color w:val="auto"/>
              </w:rPr>
              <w:t>EXHIBIT F</w:t>
            </w:r>
          </w:p>
        </w:tc>
      </w:tr>
      <w:tr>
        <w:trPr>
          <w:trHeight w:val="324"/>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6080" w:type="dxa"/>
            <w:vAlign w:val="bottom"/>
            <w:gridSpan w:val="2"/>
          </w:tcPr>
          <w:p>
            <w:pPr>
              <w:jc w:val="center"/>
              <w:ind w:right="5259"/>
              <w:spacing w:after="0"/>
              <w:rPr>
                <w:sz w:val="20"/>
                <w:szCs w:val="20"/>
                <w:color w:val="auto"/>
              </w:rPr>
            </w:pPr>
            <w:r>
              <w:rPr>
                <w:rFonts w:ascii="Arial" w:cs="Arial" w:eastAsia="Arial" w:hAnsi="Arial"/>
                <w:sz w:val="18"/>
                <w:szCs w:val="18"/>
                <w:b w:val="1"/>
                <w:bCs w:val="1"/>
                <w:color w:val="auto"/>
                <w:w w:val="87"/>
              </w:rPr>
              <w:t>Volumes</w:t>
            </w:r>
          </w:p>
        </w:tc>
      </w:tr>
      <w:tr>
        <w:trPr>
          <w:trHeight w:val="365"/>
        </w:trPr>
        <w:tc>
          <w:tcPr>
            <w:tcW w:w="20" w:type="dxa"/>
            <w:vAlign w:val="bottom"/>
          </w:tcPr>
          <w:p>
            <w:pPr>
              <w:spacing w:after="0"/>
              <w:rPr>
                <w:sz w:val="24"/>
                <w:szCs w:val="24"/>
                <w:color w:val="auto"/>
              </w:rPr>
            </w:pPr>
          </w:p>
        </w:tc>
        <w:tc>
          <w:tcPr>
            <w:tcW w:w="532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Quarter</w:t>
            </w:r>
          </w:p>
        </w:tc>
        <w:tc>
          <w:tcPr>
            <w:tcW w:w="740" w:type="dxa"/>
            <w:vAlign w:val="bottom"/>
          </w:tcPr>
          <w:p>
            <w:pPr>
              <w:spacing w:after="0"/>
              <w:rPr>
                <w:sz w:val="24"/>
                <w:szCs w:val="24"/>
                <w:color w:val="auto"/>
              </w:rPr>
            </w:pPr>
          </w:p>
        </w:tc>
        <w:tc>
          <w:tcPr>
            <w:tcW w:w="5340" w:type="dxa"/>
            <w:vAlign w:val="bottom"/>
            <w:tcBorders>
              <w:bottom w:val="single" w:sz="8" w:color="auto"/>
            </w:tcBorders>
          </w:tcPr>
          <w:p>
            <w:pPr>
              <w:jc w:val="right"/>
              <w:ind w:right="1939"/>
              <w:spacing w:after="0"/>
              <w:rPr>
                <w:sz w:val="20"/>
                <w:szCs w:val="20"/>
                <w:color w:val="auto"/>
              </w:rPr>
            </w:pPr>
            <w:r>
              <w:rPr>
                <w:rFonts w:ascii="Arial" w:cs="Arial" w:eastAsia="Arial" w:hAnsi="Arial"/>
                <w:sz w:val="14"/>
                <w:szCs w:val="14"/>
                <w:b w:val="1"/>
                <w:bCs w:val="1"/>
                <w:color w:val="auto"/>
              </w:rPr>
              <w:t>Volume Requirement</w:t>
            </w:r>
          </w:p>
        </w:tc>
      </w:tr>
      <w:tr>
        <w:trPr>
          <w:trHeight w:val="224"/>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 Fiscal Quarter for [***] (i.e., the quarter ending [***])</w:t>
            </w:r>
          </w:p>
        </w:tc>
        <w:tc>
          <w:tcPr>
            <w:tcW w:w="740" w:type="dxa"/>
            <w:vAlign w:val="bottom"/>
          </w:tcPr>
          <w:p>
            <w:pPr>
              <w:spacing w:after="0"/>
              <w:rPr>
                <w:sz w:val="19"/>
                <w:szCs w:val="19"/>
                <w:color w:val="auto"/>
              </w:rPr>
            </w:pPr>
          </w:p>
        </w:tc>
        <w:tc>
          <w:tcPr>
            <w:tcW w:w="5340" w:type="dxa"/>
            <w:vAlign w:val="bottom"/>
          </w:tcPr>
          <w:p>
            <w:pPr>
              <w:jc w:val="right"/>
              <w:ind w:right="4439"/>
              <w:spacing w:after="0"/>
              <w:rPr>
                <w:sz w:val="20"/>
                <w:szCs w:val="20"/>
                <w:color w:val="auto"/>
              </w:rPr>
            </w:pPr>
            <w:r>
              <w:rPr>
                <w:rFonts w:ascii="Arial" w:cs="Arial" w:eastAsia="Arial" w:hAnsi="Arial"/>
                <w:sz w:val="18"/>
                <w:szCs w:val="18"/>
                <w:color w:val="auto"/>
              </w:rPr>
              <w:t>[***] Units</w:t>
            </w:r>
          </w:p>
        </w:tc>
      </w:tr>
      <w:tr>
        <w:trPr>
          <w:trHeight w:val="418"/>
        </w:trPr>
        <w:tc>
          <w:tcPr>
            <w:tcW w:w="5340" w:type="dxa"/>
            <w:vAlign w:val="bottom"/>
            <w:gridSpan w:val="2"/>
          </w:tcPr>
          <w:p>
            <w:pPr>
              <w:spacing w:after="0"/>
              <w:rPr>
                <w:sz w:val="20"/>
                <w:szCs w:val="20"/>
                <w:color w:val="auto"/>
              </w:rPr>
            </w:pPr>
            <w:r>
              <w:rPr>
                <w:rFonts w:ascii="Arial" w:cs="Arial" w:eastAsia="Arial" w:hAnsi="Arial"/>
                <w:sz w:val="18"/>
                <w:szCs w:val="18"/>
                <w:color w:val="auto"/>
              </w:rPr>
              <w:t>[***] Fiscal Quarter for [***] (i.e., the quarter ending [***])</w:t>
            </w:r>
          </w:p>
        </w:tc>
        <w:tc>
          <w:tcPr>
            <w:tcW w:w="6080" w:type="dxa"/>
            <w:vAlign w:val="bottom"/>
            <w:gridSpan w:val="2"/>
          </w:tcPr>
          <w:p>
            <w:pPr>
              <w:jc w:val="right"/>
              <w:ind w:right="4439"/>
              <w:spacing w:after="0"/>
              <w:rPr>
                <w:sz w:val="20"/>
                <w:szCs w:val="20"/>
                <w:color w:val="auto"/>
              </w:rPr>
            </w:pPr>
            <w:r>
              <w:rPr>
                <w:rFonts w:ascii="Arial" w:cs="Arial" w:eastAsia="Arial" w:hAnsi="Arial"/>
                <w:sz w:val="18"/>
                <w:szCs w:val="18"/>
                <w:color w:val="auto"/>
              </w:rPr>
              <w:t>[***] Units</w:t>
            </w:r>
          </w:p>
        </w:tc>
      </w:tr>
      <w:tr>
        <w:trPr>
          <w:trHeight w:val="432"/>
        </w:trPr>
        <w:tc>
          <w:tcPr>
            <w:tcW w:w="5340" w:type="dxa"/>
            <w:vAlign w:val="bottom"/>
            <w:gridSpan w:val="2"/>
          </w:tcPr>
          <w:p>
            <w:pPr>
              <w:spacing w:after="0"/>
              <w:rPr>
                <w:sz w:val="20"/>
                <w:szCs w:val="20"/>
                <w:color w:val="auto"/>
              </w:rPr>
            </w:pPr>
            <w:r>
              <w:rPr>
                <w:rFonts w:ascii="Arial" w:cs="Arial" w:eastAsia="Arial" w:hAnsi="Arial"/>
                <w:sz w:val="18"/>
                <w:szCs w:val="18"/>
                <w:color w:val="auto"/>
              </w:rPr>
              <w:t>[***] Fiscal Quarter for [***] (i.e., the quarter ending [***])</w:t>
            </w:r>
          </w:p>
        </w:tc>
        <w:tc>
          <w:tcPr>
            <w:tcW w:w="6080" w:type="dxa"/>
            <w:vAlign w:val="bottom"/>
            <w:gridSpan w:val="2"/>
          </w:tcPr>
          <w:p>
            <w:pPr>
              <w:jc w:val="right"/>
              <w:ind w:right="4439"/>
              <w:spacing w:after="0"/>
              <w:rPr>
                <w:sz w:val="20"/>
                <w:szCs w:val="20"/>
                <w:color w:val="auto"/>
              </w:rPr>
            </w:pPr>
            <w:r>
              <w:rPr>
                <w:rFonts w:ascii="Arial" w:cs="Arial" w:eastAsia="Arial" w:hAnsi="Arial"/>
                <w:sz w:val="18"/>
                <w:szCs w:val="18"/>
                <w:color w:val="auto"/>
              </w:rPr>
              <w:t>[***] Units</w:t>
            </w:r>
          </w:p>
        </w:tc>
      </w:tr>
      <w:tr>
        <w:trPr>
          <w:trHeight w:val="432"/>
        </w:trPr>
        <w:tc>
          <w:tcPr>
            <w:tcW w:w="5340" w:type="dxa"/>
            <w:vAlign w:val="bottom"/>
            <w:gridSpan w:val="2"/>
          </w:tcPr>
          <w:p>
            <w:pPr>
              <w:spacing w:after="0"/>
              <w:rPr>
                <w:sz w:val="20"/>
                <w:szCs w:val="20"/>
                <w:color w:val="auto"/>
              </w:rPr>
            </w:pPr>
            <w:r>
              <w:rPr>
                <w:rFonts w:ascii="Arial" w:cs="Arial" w:eastAsia="Arial" w:hAnsi="Arial"/>
                <w:sz w:val="18"/>
                <w:szCs w:val="18"/>
                <w:color w:val="auto"/>
              </w:rPr>
              <w:t>[***] Fiscal Quarter for [***] (i.e., the quarter ending [***])</w:t>
            </w:r>
          </w:p>
        </w:tc>
        <w:tc>
          <w:tcPr>
            <w:tcW w:w="6080" w:type="dxa"/>
            <w:vAlign w:val="bottom"/>
            <w:gridSpan w:val="2"/>
          </w:tcPr>
          <w:p>
            <w:pPr>
              <w:jc w:val="right"/>
              <w:ind w:right="4439"/>
              <w:spacing w:after="0"/>
              <w:rPr>
                <w:sz w:val="20"/>
                <w:szCs w:val="20"/>
                <w:color w:val="auto"/>
              </w:rPr>
            </w:pPr>
            <w:r>
              <w:rPr>
                <w:rFonts w:ascii="Arial" w:cs="Arial" w:eastAsia="Arial" w:hAnsi="Arial"/>
                <w:sz w:val="18"/>
                <w:szCs w:val="18"/>
                <w:color w:val="auto"/>
              </w:rPr>
              <w:t>[***] Units</w:t>
            </w:r>
          </w:p>
        </w:tc>
      </w:tr>
      <w:tr>
        <w:trPr>
          <w:trHeight w:val="432"/>
        </w:trPr>
        <w:tc>
          <w:tcPr>
            <w:tcW w:w="5340" w:type="dxa"/>
            <w:vAlign w:val="bottom"/>
            <w:gridSpan w:val="2"/>
          </w:tcPr>
          <w:p>
            <w:pPr>
              <w:spacing w:after="0"/>
              <w:rPr>
                <w:sz w:val="20"/>
                <w:szCs w:val="20"/>
                <w:color w:val="auto"/>
              </w:rPr>
            </w:pPr>
            <w:r>
              <w:rPr>
                <w:rFonts w:ascii="Arial" w:cs="Arial" w:eastAsia="Arial" w:hAnsi="Arial"/>
                <w:sz w:val="18"/>
                <w:szCs w:val="18"/>
                <w:color w:val="auto"/>
              </w:rPr>
              <w:t>[***] Fiscal Quarter for [***] (i.e., the quarter ending [***])</w:t>
            </w:r>
          </w:p>
        </w:tc>
        <w:tc>
          <w:tcPr>
            <w:tcW w:w="6080" w:type="dxa"/>
            <w:vAlign w:val="bottom"/>
            <w:gridSpan w:val="2"/>
          </w:tcPr>
          <w:p>
            <w:pPr>
              <w:jc w:val="right"/>
              <w:ind w:right="4439"/>
              <w:spacing w:after="0"/>
              <w:rPr>
                <w:sz w:val="20"/>
                <w:szCs w:val="20"/>
                <w:color w:val="auto"/>
              </w:rPr>
            </w:pPr>
            <w:r>
              <w:rPr>
                <w:rFonts w:ascii="Arial" w:cs="Arial" w:eastAsia="Arial" w:hAnsi="Arial"/>
                <w:sz w:val="18"/>
                <w:szCs w:val="18"/>
                <w:color w:val="auto"/>
              </w:rPr>
              <w:t>[***] Units</w:t>
            </w:r>
          </w:p>
        </w:tc>
      </w:tr>
      <w:tr>
        <w:trPr>
          <w:trHeight w:val="432"/>
        </w:trPr>
        <w:tc>
          <w:tcPr>
            <w:tcW w:w="5340" w:type="dxa"/>
            <w:vAlign w:val="bottom"/>
            <w:gridSpan w:val="2"/>
          </w:tcPr>
          <w:p>
            <w:pPr>
              <w:spacing w:after="0"/>
              <w:rPr>
                <w:sz w:val="20"/>
                <w:szCs w:val="20"/>
                <w:color w:val="auto"/>
              </w:rPr>
            </w:pPr>
            <w:r>
              <w:rPr>
                <w:rFonts w:ascii="Arial" w:cs="Arial" w:eastAsia="Arial" w:hAnsi="Arial"/>
                <w:sz w:val="18"/>
                <w:szCs w:val="18"/>
                <w:color w:val="auto"/>
              </w:rPr>
              <w:t>[***] Fiscal Quarter for [***] (i.e., the quarter ending [***])</w:t>
            </w:r>
          </w:p>
        </w:tc>
        <w:tc>
          <w:tcPr>
            <w:tcW w:w="6080" w:type="dxa"/>
            <w:vAlign w:val="bottom"/>
            <w:gridSpan w:val="2"/>
          </w:tcPr>
          <w:p>
            <w:pPr>
              <w:jc w:val="right"/>
              <w:ind w:right="4439"/>
              <w:spacing w:after="0"/>
              <w:rPr>
                <w:sz w:val="20"/>
                <w:szCs w:val="20"/>
                <w:color w:val="auto"/>
              </w:rPr>
            </w:pPr>
            <w:r>
              <w:rPr>
                <w:rFonts w:ascii="Arial" w:cs="Arial" w:eastAsia="Arial" w:hAnsi="Arial"/>
                <w:sz w:val="18"/>
                <w:szCs w:val="18"/>
                <w:color w:val="auto"/>
              </w:rPr>
              <w:t>[***] Units</w:t>
            </w:r>
          </w:p>
        </w:tc>
      </w:tr>
      <w:tr>
        <w:trPr>
          <w:trHeight w:val="418"/>
        </w:trPr>
        <w:tc>
          <w:tcPr>
            <w:tcW w:w="5340" w:type="dxa"/>
            <w:vAlign w:val="bottom"/>
            <w:gridSpan w:val="2"/>
          </w:tcPr>
          <w:p>
            <w:pPr>
              <w:spacing w:after="0"/>
              <w:rPr>
                <w:sz w:val="20"/>
                <w:szCs w:val="20"/>
                <w:color w:val="auto"/>
              </w:rPr>
            </w:pPr>
            <w:r>
              <w:rPr>
                <w:rFonts w:ascii="Arial" w:cs="Arial" w:eastAsia="Arial" w:hAnsi="Arial"/>
                <w:sz w:val="18"/>
                <w:szCs w:val="18"/>
                <w:color w:val="auto"/>
              </w:rPr>
              <w:t>Each WDC Fiscal Quarter following the [***] Fiscal Quarter for [***]</w:t>
            </w:r>
          </w:p>
        </w:tc>
        <w:tc>
          <w:tcPr>
            <w:tcW w:w="74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230"/>
        </w:trPr>
        <w:tc>
          <w:tcPr>
            <w:tcW w:w="5340" w:type="dxa"/>
            <w:vAlign w:val="bottom"/>
            <w:gridSpan w:val="2"/>
          </w:tcPr>
          <w:p>
            <w:pPr>
              <w:spacing w:after="0"/>
              <w:rPr>
                <w:sz w:val="20"/>
                <w:szCs w:val="20"/>
                <w:color w:val="auto"/>
              </w:rPr>
            </w:pPr>
            <w:r>
              <w:rPr>
                <w:rFonts w:ascii="Arial" w:cs="Arial" w:eastAsia="Arial" w:hAnsi="Arial"/>
                <w:sz w:val="18"/>
                <w:szCs w:val="18"/>
                <w:color w:val="auto"/>
                <w:w w:val="93"/>
              </w:rPr>
              <w:t>(i.e., each quarter after the quarter ending [***]) for the term of this VPA.</w:t>
            </w:r>
          </w:p>
        </w:tc>
        <w:tc>
          <w:tcPr>
            <w:tcW w:w="6080" w:type="dxa"/>
            <w:vAlign w:val="bottom"/>
            <w:gridSpan w:val="2"/>
          </w:tcPr>
          <w:p>
            <w:pPr>
              <w:jc w:val="right"/>
              <w:ind w:right="4439"/>
              <w:spacing w:after="0"/>
              <w:rPr>
                <w:sz w:val="20"/>
                <w:szCs w:val="20"/>
                <w:color w:val="auto"/>
              </w:rPr>
            </w:pPr>
            <w:r>
              <w:rPr>
                <w:rFonts w:ascii="Arial" w:cs="Arial" w:eastAsia="Arial" w:hAnsi="Arial"/>
                <w:sz w:val="18"/>
                <w:szCs w:val="18"/>
                <w:color w:val="auto"/>
              </w:rPr>
              <w:t>[***] Units</w:t>
            </w:r>
          </w:p>
        </w:tc>
      </w:tr>
      <w:tr>
        <w:trPr>
          <w:trHeight w:val="392"/>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5340" w:type="dxa"/>
            <w:vAlign w:val="bottom"/>
          </w:tcPr>
          <w:p>
            <w:pPr>
              <w:spacing w:after="0"/>
              <w:rPr>
                <w:sz w:val="24"/>
                <w:szCs w:val="24"/>
                <w:color w:val="auto"/>
              </w:rPr>
            </w:pPr>
          </w:p>
        </w:tc>
      </w:tr>
    </w:tbl>
    <w:p>
      <w:pPr>
        <w:sectPr>
          <w:pgSz w:w="11900" w:h="16838" w:orient="portrait"/>
          <w:cols w:equalWidth="0" w:num="1">
            <w:col w:w="11420"/>
          </w:cols>
          <w:pgMar w:left="240" w:top="935" w:right="239" w:bottom="1440" w:gutter="0" w:footer="0" w:header="0"/>
        </w:sectPr>
      </w:pPr>
    </w:p>
    <w:bookmarkStart w:id="82" w:name="page83"/>
    <w:bookmarkEnd w:id="82"/>
    <w:p>
      <w:pPr>
        <w:ind w:left="10260"/>
        <w:spacing w:after="0"/>
        <w:rPr>
          <w:sz w:val="20"/>
          <w:szCs w:val="20"/>
          <w:color w:val="auto"/>
        </w:rPr>
      </w:pPr>
      <w:r>
        <w:rPr>
          <w:rFonts w:ascii="Arial" w:cs="Arial" w:eastAsia="Arial" w:hAnsi="Arial"/>
          <w:sz w:val="16"/>
          <w:szCs w:val="16"/>
          <w:b w:val="1"/>
          <w:bCs w:val="1"/>
          <w:color w:val="auto"/>
        </w:rPr>
        <w:t>Exhibit 10.29.3</w:t>
      </w:r>
    </w:p>
    <w:p>
      <w:pPr>
        <w:spacing w:after="0" w:line="1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PORTIONS DENOTED WITH [***] HAVE BEEN OMITTED AND FILED SEPARATELY WITH THE SECURITIES AND EXCHANGE COMMISSION PURSUANT TO A REQUEST FOR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48895</wp:posOffset>
            </wp:positionV>
            <wp:extent cx="18783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 TO VOLUME PURCHASE AGREEMENT</w:t>
      </w:r>
    </w:p>
    <w:p>
      <w:pPr>
        <w:spacing w:after="0" w:line="117" w:lineRule="exact"/>
        <w:rPr>
          <w:sz w:val="20"/>
          <w:szCs w:val="20"/>
          <w:color w:val="auto"/>
        </w:rPr>
      </w:pPr>
    </w:p>
    <w:p>
      <w:pPr>
        <w:jc w:val="both"/>
        <w:ind w:right="360" w:firstLine="222"/>
        <w:spacing w:after="0" w:line="266" w:lineRule="auto"/>
        <w:rPr>
          <w:sz w:val="20"/>
          <w:szCs w:val="20"/>
          <w:color w:val="auto"/>
        </w:rPr>
      </w:pPr>
      <w:r>
        <w:rPr>
          <w:rFonts w:ascii="Arial" w:cs="Arial" w:eastAsia="Arial" w:hAnsi="Arial"/>
          <w:sz w:val="18"/>
          <w:szCs w:val="18"/>
          <w:color w:val="auto"/>
        </w:rPr>
        <w:t>This Amendment No. 3 to the Volume Purchase Agreement (this “</w:t>
      </w: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is dated as of January 31, 2006, and is made by and between Komag USA (Malaysia) Sdn., a Malaysia unlimited liability company (“</w:t>
      </w:r>
      <w:r>
        <w:rPr>
          <w:rFonts w:ascii="Arial" w:cs="Arial" w:eastAsia="Arial" w:hAnsi="Arial"/>
          <w:sz w:val="18"/>
          <w:szCs w:val="18"/>
          <w:b w:val="1"/>
          <w:bCs w:val="1"/>
          <w:u w:val="single" w:color="auto"/>
          <w:color w:val="auto"/>
        </w:rPr>
        <w:t>Komag</w:t>
      </w:r>
      <w:r>
        <w:rPr>
          <w:rFonts w:ascii="Arial" w:cs="Arial" w:eastAsia="Arial" w:hAnsi="Arial"/>
          <w:sz w:val="18"/>
          <w:szCs w:val="18"/>
          <w:color w:val="auto"/>
        </w:rPr>
        <w:t>”), Komag, Incorporated, a Delaware Corporation (“</w:t>
      </w:r>
      <w:r>
        <w:rPr>
          <w:rFonts w:ascii="Arial" w:cs="Arial" w:eastAsia="Arial" w:hAnsi="Arial"/>
          <w:sz w:val="18"/>
          <w:szCs w:val="18"/>
          <w:b w:val="1"/>
          <w:bCs w:val="1"/>
          <w:u w:val="single" w:color="auto"/>
          <w:color w:val="auto"/>
        </w:rPr>
        <w:t>Komag Inc.</w:t>
      </w:r>
      <w:r>
        <w:rPr>
          <w:rFonts w:ascii="Arial" w:cs="Arial" w:eastAsia="Arial" w:hAnsi="Arial"/>
          <w:sz w:val="18"/>
          <w:szCs w:val="18"/>
          <w:color w:val="auto"/>
        </w:rPr>
        <w:t>”), and Western Digital Technologies, Inc., a Delaware corporation (“</w:t>
      </w:r>
      <w:r>
        <w:rPr>
          <w:rFonts w:ascii="Arial" w:cs="Arial" w:eastAsia="Arial" w:hAnsi="Arial"/>
          <w:sz w:val="18"/>
          <w:szCs w:val="18"/>
          <w:b w:val="1"/>
          <w:bCs w:val="1"/>
          <w:u w:val="single" w:color="auto"/>
          <w:color w:val="auto"/>
        </w:rPr>
        <w:t>WDC</w:t>
      </w:r>
      <w:r>
        <w:rPr>
          <w:rFonts w:ascii="Arial" w:cs="Arial" w:eastAsia="Arial" w:hAnsi="Arial"/>
          <w:sz w:val="18"/>
          <w:szCs w:val="18"/>
          <w:color w:val="auto"/>
        </w:rPr>
        <w: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jc w:val="both"/>
        <w:ind w:right="360" w:firstLine="215"/>
        <w:spacing w:after="0" w:line="277" w:lineRule="auto"/>
        <w:rPr>
          <w:sz w:val="20"/>
          <w:szCs w:val="20"/>
          <w:color w:val="auto"/>
        </w:rPr>
      </w:pPr>
      <w:r>
        <w:rPr>
          <w:rFonts w:ascii="Arial" w:cs="Arial" w:eastAsia="Arial" w:hAnsi="Arial"/>
          <w:sz w:val="18"/>
          <w:szCs w:val="18"/>
          <w:color w:val="auto"/>
        </w:rPr>
        <w:t>A. WDC, Komag and Komag Inc. previously executed a Volume Purchase Agreement effective as of June 6, 2005 and amended by Amendment No. 1 dated July 22, 2005 and Amendment No. 2 dated November 29, 2005 (the “</w:t>
      </w:r>
      <w:r>
        <w:rPr>
          <w:rFonts w:ascii="Arial" w:cs="Arial" w:eastAsia="Arial" w:hAnsi="Arial"/>
          <w:sz w:val="18"/>
          <w:szCs w:val="18"/>
          <w:b w:val="1"/>
          <w:bCs w:val="1"/>
          <w:u w:val="single" w:color="auto"/>
          <w:color w:val="auto"/>
        </w:rPr>
        <w:t>VPA</w:t>
      </w:r>
      <w:r>
        <w:rPr>
          <w:rFonts w:ascii="Arial" w:cs="Arial" w:eastAsia="Arial" w:hAnsi="Arial"/>
          <w:sz w:val="18"/>
          <w:szCs w:val="18"/>
          <w:color w:val="auto"/>
        </w:rPr>
        <w:t>”).</w:t>
      </w:r>
    </w:p>
    <w:p>
      <w:pPr>
        <w:spacing w:after="0" w:line="62"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B. WDC, Komag and Komag Inc. now desire to amend the Agreement in the manner and upon the terms and conditions hereinafter provided in this Amendment.</w:t>
      </w:r>
    </w:p>
    <w:p>
      <w:pPr>
        <w:spacing w:after="0" w:line="62"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NOW, THEREFORE, for and in consideration of the mutual covenants herein contained and for other good and valuable consideration, the receipt and sufficiency of which are hereby acknowledged, the parties executing this Amendment hereby agree as follows: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17" w:lineRule="exact"/>
        <w:rPr>
          <w:sz w:val="20"/>
          <w:szCs w:val="20"/>
          <w:color w:val="auto"/>
        </w:rPr>
      </w:pPr>
    </w:p>
    <w:p>
      <w:pPr>
        <w:ind w:left="420" w:hanging="187"/>
        <w:spacing w:after="0"/>
        <w:tabs>
          <w:tab w:leader="none" w:pos="42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Defined Terms</w:t>
      </w:r>
      <w:r>
        <w:rPr>
          <w:rFonts w:ascii="Arial" w:cs="Arial" w:eastAsia="Arial" w:hAnsi="Arial"/>
          <w:sz w:val="18"/>
          <w:szCs w:val="18"/>
          <w:color w:val="auto"/>
        </w:rPr>
        <w:t>. Capitalized terms not defined herein shall have the meanings set forth in the VPA.</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The second page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b w:val="1"/>
          <w:bCs w:val="1"/>
          <w:color w:val="auto"/>
        </w:rPr>
        <w:t xml:space="preserve"> </w:t>
      </w:r>
      <w:r>
        <w:rPr>
          <w:rFonts w:ascii="Arial" w:cs="Arial" w:eastAsia="Arial" w:hAnsi="Arial"/>
          <w:sz w:val="18"/>
          <w:szCs w:val="18"/>
          <w:color w:val="auto"/>
        </w:rPr>
        <w:t>of the VPA is hereby deleted in its entirety and replaced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D</w:t>
      </w:r>
      <w:r>
        <w:rPr>
          <w:rFonts w:ascii="Arial" w:cs="Arial" w:eastAsia="Arial" w:hAnsi="Arial"/>
          <w:sz w:val="18"/>
          <w:szCs w:val="18"/>
          <w:b w:val="1"/>
          <w:bCs w:val="1"/>
          <w:color w:val="auto"/>
        </w:rPr>
        <w:t xml:space="preserve"> </w:t>
      </w:r>
      <w:r>
        <w:rPr>
          <w:rFonts w:ascii="Arial" w:cs="Arial" w:eastAsia="Arial" w:hAnsi="Arial"/>
          <w:sz w:val="18"/>
          <w:szCs w:val="18"/>
          <w:color w:val="auto"/>
        </w:rPr>
        <w:t>of the VPA is hereby deleted in its entirety and replaced with Exhibit D attached hereto.</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Exhibit F</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F</w:t>
      </w:r>
      <w:r>
        <w:rPr>
          <w:rFonts w:ascii="Arial" w:cs="Arial" w:eastAsia="Arial" w:hAnsi="Arial"/>
          <w:sz w:val="18"/>
          <w:szCs w:val="18"/>
          <w:b w:val="1"/>
          <w:bCs w:val="1"/>
          <w:color w:val="auto"/>
        </w:rPr>
        <w:t xml:space="preserve"> </w:t>
      </w:r>
      <w:r>
        <w:rPr>
          <w:rFonts w:ascii="Arial" w:cs="Arial" w:eastAsia="Arial" w:hAnsi="Arial"/>
          <w:sz w:val="18"/>
          <w:szCs w:val="18"/>
          <w:color w:val="auto"/>
        </w:rPr>
        <w:t>of the VPA is hereby deleted in its entirety and replaced with Exhibit F attached hereto.</w:t>
      </w:r>
    </w:p>
    <w:p>
      <w:pPr>
        <w:spacing w:after="0" w:line="117" w:lineRule="exact"/>
        <w:rPr>
          <w:rFonts w:ascii="Arial" w:cs="Arial" w:eastAsia="Arial" w:hAnsi="Arial"/>
          <w:sz w:val="18"/>
          <w:szCs w:val="18"/>
          <w:color w:val="auto"/>
        </w:rPr>
      </w:pPr>
    </w:p>
    <w:p>
      <w:pPr>
        <w:ind w:right="160" w:firstLine="233"/>
        <w:spacing w:after="0" w:line="266" w:lineRule="auto"/>
        <w:tabs>
          <w:tab w:leader="none" w:pos="405"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w:t>
      </w:r>
      <w:r>
        <w:rPr>
          <w:rFonts w:ascii="Arial" w:cs="Arial" w:eastAsia="Arial" w:hAnsi="Arial"/>
          <w:sz w:val="18"/>
          <w:szCs w:val="18"/>
          <w:color w:val="auto"/>
        </w:rPr>
        <w:t>. The effectiveness of this Amendment shall be conditioned upon 1) approval from WDC’s board of directors and 2) approval from WDC’s</w:t>
      </w:r>
      <w:r>
        <w:rPr>
          <w:rFonts w:ascii="Arial" w:cs="Arial" w:eastAsia="Arial" w:hAnsi="Arial"/>
          <w:sz w:val="18"/>
          <w:szCs w:val="18"/>
          <w:b w:val="1"/>
          <w:bCs w:val="1"/>
          <w:color w:val="auto"/>
        </w:rPr>
        <w:t xml:space="preserve"> </w:t>
      </w:r>
      <w:r>
        <w:rPr>
          <w:rFonts w:ascii="Arial" w:cs="Arial" w:eastAsia="Arial" w:hAnsi="Arial"/>
          <w:sz w:val="18"/>
          <w:szCs w:val="18"/>
          <w:color w:val="auto"/>
        </w:rPr>
        <w:t>bank lenders. Notwithstanding anything herein to the contrary, this Amendment shall have no force or effect unless or until such approvals have been received.</w:t>
      </w:r>
    </w:p>
    <w:p>
      <w:pPr>
        <w:spacing w:after="0" w:line="68" w:lineRule="exact"/>
        <w:rPr>
          <w:rFonts w:ascii="Arial" w:cs="Arial" w:eastAsia="Arial" w:hAnsi="Arial"/>
          <w:sz w:val="18"/>
          <w:szCs w:val="18"/>
          <w:color w:val="auto"/>
        </w:rPr>
      </w:pPr>
    </w:p>
    <w:p>
      <w:pPr>
        <w:jc w:val="both"/>
        <w:ind w:right="280" w:firstLine="233"/>
        <w:spacing w:after="0" w:line="266" w:lineRule="auto"/>
        <w:tabs>
          <w:tab w:leader="none" w:pos="405"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Ratification of VPA</w:t>
      </w:r>
      <w:r>
        <w:rPr>
          <w:rFonts w:ascii="Arial" w:cs="Arial" w:eastAsia="Arial" w:hAnsi="Arial"/>
          <w:sz w:val="18"/>
          <w:szCs w:val="18"/>
          <w:color w:val="auto"/>
        </w:rPr>
        <w:t>. In the event of an inconsistency between the terms of this Amendment and the terms of the VPA, the terms of this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control. Except as amended hereby, the VPA is ratified, approved and confirmed and shall remain in full force and effect in accordance with its terms without modification.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3" w:name="page84"/>
    <w:bookmarkEnd w:id="83"/>
    <w:p>
      <w:pPr>
        <w:spacing w:after="0" w:line="277" w:lineRule="auto"/>
        <w:rPr>
          <w:sz w:val="20"/>
          <w:szCs w:val="20"/>
          <w:color w:val="auto"/>
        </w:rPr>
      </w:pPr>
      <w:r>
        <w:rPr>
          <w:rFonts w:ascii="Arial" w:cs="Arial" w:eastAsia="Arial" w:hAnsi="Arial"/>
          <w:sz w:val="18"/>
          <w:szCs w:val="18"/>
          <w:color w:val="auto"/>
        </w:rPr>
        <w:t>PORTIONS DENOTED WITH [***] HAVE BEEN OMITTED AND FILED SEPARATELY WITH THE SECURITIES AND EXCHANGE COMMISSION PURSUANT TO A REQUEST FOR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48895</wp:posOffset>
            </wp:positionV>
            <wp:extent cx="18783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27" w:lineRule="exact"/>
        <w:rPr>
          <w:sz w:val="20"/>
          <w:szCs w:val="20"/>
          <w:color w:val="auto"/>
        </w:rPr>
      </w:pPr>
    </w:p>
    <w:p>
      <w:pPr>
        <w:ind w:right="240" w:firstLine="233"/>
        <w:spacing w:after="0" w:line="282" w:lineRule="auto"/>
        <w:tabs>
          <w:tab w:leader="none" w:pos="405"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Each party agrees that the terms and conditions, but not the existence, of this Amendment will be treated as the other’s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subject to Section 11 of the VPA.</w:t>
      </w:r>
    </w:p>
    <w:p>
      <w:pPr>
        <w:spacing w:after="0" w:line="53" w:lineRule="exact"/>
        <w:rPr>
          <w:rFonts w:ascii="Arial" w:cs="Arial" w:eastAsia="Arial" w:hAnsi="Arial"/>
          <w:sz w:val="18"/>
          <w:szCs w:val="18"/>
          <w:color w:val="auto"/>
        </w:rPr>
      </w:pPr>
    </w:p>
    <w:p>
      <w:pPr>
        <w:jc w:val="both"/>
        <w:ind w:right="180" w:firstLine="233"/>
        <w:spacing w:after="0" w:line="266" w:lineRule="auto"/>
        <w:tabs>
          <w:tab w:leader="none" w:pos="405"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The VPA, Exhibits, and specific Purchase Orders and Pull Requests and this Amendment No. 3 set forth the complete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parties regarding their subject matter and replace all prior or contemporaneous communications, understandings or agreements, written or oral, about this subject.</w:t>
      </w:r>
    </w:p>
    <w:p>
      <w:pPr>
        <w:spacing w:after="0" w:line="68" w:lineRule="exact"/>
        <w:rPr>
          <w:rFonts w:ascii="Arial" w:cs="Arial" w:eastAsia="Arial" w:hAnsi="Arial"/>
          <w:sz w:val="18"/>
          <w:szCs w:val="18"/>
          <w:color w:val="auto"/>
        </w:rPr>
      </w:pPr>
    </w:p>
    <w:p>
      <w:pPr>
        <w:ind w:right="60" w:firstLine="233"/>
        <w:spacing w:after="0" w:line="282" w:lineRule="auto"/>
        <w:tabs>
          <w:tab w:leader="none" w:pos="405"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Amendment may be executed in one or more counterparts, each of which will be deemed to be an original, but all of which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one and the same instrument. A photocopy of a signature or a facsimile of a signature shall be as valid as an original.</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4" w:name="page85"/>
    <w:bookmarkEnd w:id="84"/>
    <w:p>
      <w:pPr>
        <w:ind w:right="40"/>
        <w:spacing w:after="0" w:line="277" w:lineRule="auto"/>
        <w:rPr>
          <w:sz w:val="20"/>
          <w:szCs w:val="20"/>
          <w:color w:val="auto"/>
        </w:rPr>
      </w:pPr>
      <w:r>
        <w:rPr>
          <w:rFonts w:ascii="Arial" w:cs="Arial" w:eastAsia="Arial" w:hAnsi="Arial"/>
          <w:sz w:val="18"/>
          <w:szCs w:val="18"/>
          <w:color w:val="auto"/>
        </w:rPr>
        <w:t>PORTIONS DENOTED WITH [***] HAVE BEEN OMITTED AND FILED SEPARATELY WITH THE SECURITIES AND EXCHANGE COMMISSION PURSUANT TO A REQUEST FOR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48895</wp:posOffset>
            </wp:positionV>
            <wp:extent cx="18783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31"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IN WITNESS WHEREOF, the parties have caused this Amendment No. 3 to Volume Purchase Agreement to be signed and accepted by their duly authorized representatives, effective as of the Effective Date.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Western Digital Technologies, Inc.,</w:t>
            </w:r>
          </w:p>
        </w:tc>
        <w:tc>
          <w:tcPr>
            <w:tcW w:w="6060" w:type="dxa"/>
            <w:vAlign w:val="bottom"/>
            <w:gridSpan w:val="3"/>
          </w:tcPr>
          <w:p>
            <w:pPr>
              <w:ind w:left="780"/>
              <w:spacing w:after="0"/>
              <w:rPr>
                <w:sz w:val="20"/>
                <w:szCs w:val="20"/>
                <w:color w:val="auto"/>
              </w:rPr>
            </w:pPr>
            <w:r>
              <w:rPr>
                <w:rFonts w:ascii="Arial" w:cs="Arial" w:eastAsia="Arial" w:hAnsi="Arial"/>
                <w:sz w:val="18"/>
                <w:szCs w:val="18"/>
                <w:color w:val="auto"/>
              </w:rPr>
              <w:t>Komag USA (Malaysia) Sdn.</w:t>
            </w: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a Delaware corporation.</w:t>
            </w:r>
          </w:p>
        </w:tc>
        <w:tc>
          <w:tcPr>
            <w:tcW w:w="6060" w:type="dxa"/>
            <w:vAlign w:val="bottom"/>
            <w:gridSpan w:val="3"/>
          </w:tcPr>
          <w:p>
            <w:pPr>
              <w:ind w:left="780"/>
              <w:spacing w:after="0"/>
              <w:rPr>
                <w:sz w:val="20"/>
                <w:szCs w:val="20"/>
                <w:color w:val="auto"/>
              </w:rPr>
            </w:pPr>
            <w:r>
              <w:rPr>
                <w:rFonts w:ascii="Arial" w:cs="Arial" w:eastAsia="Arial" w:hAnsi="Arial"/>
                <w:sz w:val="18"/>
                <w:szCs w:val="18"/>
                <w:color w:val="auto"/>
              </w:rPr>
              <w:t>a Malaysian corporation</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Tom Nieto</w:t>
            </w:r>
          </w:p>
        </w:tc>
        <w:tc>
          <w:tcPr>
            <w:tcW w:w="1320" w:type="dxa"/>
            <w:vAlign w:val="bottom"/>
          </w:tcPr>
          <w:p>
            <w:pPr>
              <w:ind w:left="780"/>
              <w:spacing w:after="0"/>
              <w:rPr>
                <w:sz w:val="20"/>
                <w:szCs w:val="20"/>
                <w:color w:val="auto"/>
              </w:rPr>
            </w:pPr>
            <w:r>
              <w:rPr>
                <w:rFonts w:ascii="Arial" w:cs="Arial" w:eastAsia="Arial" w:hAnsi="Arial"/>
                <w:sz w:val="18"/>
                <w:szCs w:val="18"/>
                <w:color w:val="auto"/>
              </w:rPr>
              <w:t>By:</w:t>
            </w:r>
          </w:p>
        </w:tc>
        <w:tc>
          <w:tcPr>
            <w:tcW w:w="4740" w:type="dxa"/>
            <w:vAlign w:val="bottom"/>
            <w:gridSpan w:val="2"/>
          </w:tcPr>
          <w:p>
            <w:pPr>
              <w:ind w:left="60"/>
              <w:spacing w:after="0"/>
              <w:rPr>
                <w:sz w:val="20"/>
                <w:szCs w:val="20"/>
                <w:color w:val="auto"/>
              </w:rPr>
            </w:pPr>
            <w:r>
              <w:rPr>
                <w:rFonts w:ascii="Arial" w:cs="Arial" w:eastAsia="Arial" w:hAnsi="Arial"/>
                <w:sz w:val="18"/>
                <w:szCs w:val="18"/>
                <w:color w:val="auto"/>
              </w:rPr>
              <w:t>/s/ Kheng Huat Oung</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Tom Nieto</w:t>
            </w:r>
          </w:p>
        </w:tc>
        <w:tc>
          <w:tcPr>
            <w:tcW w:w="1320" w:type="dxa"/>
            <w:vAlign w:val="bottom"/>
          </w:tcPr>
          <w:p>
            <w:pPr>
              <w:ind w:left="780"/>
              <w:spacing w:after="0"/>
              <w:rPr>
                <w:sz w:val="20"/>
                <w:szCs w:val="20"/>
                <w:color w:val="auto"/>
              </w:rPr>
            </w:pPr>
            <w:r>
              <w:rPr>
                <w:rFonts w:ascii="Arial" w:cs="Arial" w:eastAsia="Arial" w:hAnsi="Arial"/>
                <w:sz w:val="18"/>
                <w:szCs w:val="18"/>
                <w:color w:val="auto"/>
                <w:w w:val="98"/>
              </w:rPr>
              <w:t>Name:</w:t>
            </w:r>
          </w:p>
        </w:tc>
        <w:tc>
          <w:tcPr>
            <w:tcW w:w="60" w:type="dxa"/>
            <w:vAlign w:val="bottom"/>
          </w:tcPr>
          <w:p>
            <w:pPr>
              <w:spacing w:after="0"/>
              <w:rPr>
                <w:sz w:val="19"/>
                <w:szCs w:val="19"/>
                <w:color w:val="auto"/>
              </w:rPr>
            </w:pPr>
          </w:p>
        </w:tc>
        <w:tc>
          <w:tcPr>
            <w:tcW w:w="4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Kheng Huat Oung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Vice President, Materials</w:t>
            </w:r>
          </w:p>
        </w:tc>
        <w:tc>
          <w:tcPr>
            <w:tcW w:w="1320" w:type="dxa"/>
            <w:vAlign w:val="bottom"/>
          </w:tcPr>
          <w:p>
            <w:pPr>
              <w:ind w:left="780"/>
              <w:spacing w:after="0"/>
              <w:rPr>
                <w:sz w:val="20"/>
                <w:szCs w:val="20"/>
                <w:color w:val="auto"/>
              </w:rPr>
            </w:pPr>
            <w:r>
              <w:rPr>
                <w:rFonts w:ascii="Arial" w:cs="Arial" w:eastAsia="Arial" w:hAnsi="Arial"/>
                <w:sz w:val="18"/>
                <w:szCs w:val="18"/>
                <w:color w:val="auto"/>
              </w:rPr>
              <w:t>Title:</w:t>
            </w:r>
          </w:p>
        </w:tc>
        <w:tc>
          <w:tcPr>
            <w:tcW w:w="4740" w:type="dxa"/>
            <w:vAlign w:val="bottom"/>
            <w:gridSpan w:val="2"/>
          </w:tcPr>
          <w:p>
            <w:pPr>
              <w:ind w:left="60"/>
              <w:spacing w:after="0"/>
              <w:rPr>
                <w:sz w:val="20"/>
                <w:szCs w:val="20"/>
                <w:color w:val="auto"/>
              </w:rPr>
            </w:pPr>
            <w:r>
              <w:rPr>
                <w:rFonts w:ascii="Arial" w:cs="Arial" w:eastAsia="Arial" w:hAnsi="Arial"/>
                <w:sz w:val="18"/>
                <w:szCs w:val="18"/>
                <w:color w:val="auto"/>
              </w:rPr>
              <w:t>Managing Director</w:t>
            </w:r>
          </w:p>
        </w:tc>
      </w:tr>
      <w:tr>
        <w:trPr>
          <w:trHeight w:val="431"/>
        </w:trPr>
        <w:tc>
          <w:tcPr>
            <w:tcW w:w="5360" w:type="dxa"/>
            <w:vAlign w:val="bottom"/>
            <w:gridSpan w:val="2"/>
          </w:tcPr>
          <w:p>
            <w:pPr>
              <w:spacing w:after="0"/>
              <w:rPr>
                <w:sz w:val="20"/>
                <w:szCs w:val="20"/>
                <w:color w:val="auto"/>
              </w:rPr>
            </w:pPr>
            <w:r>
              <w:rPr>
                <w:rFonts w:ascii="Arial" w:cs="Arial" w:eastAsia="Arial" w:hAnsi="Arial"/>
                <w:sz w:val="18"/>
                <w:szCs w:val="18"/>
                <w:color w:val="auto"/>
              </w:rPr>
              <w:t>Komag Incorporated</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a Delaware corporation</w:t>
            </w: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 L. Martin</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Ray L. Martin</w:t>
            </w: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Executive Vice President, Customer Sales and Service</w:t>
            </w: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405"/>
        </w:trPr>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320" w:type="dxa"/>
            <w:vAlign w:val="bottom"/>
          </w:tcPr>
          <w:p>
            <w:pPr>
              <w:ind w:left="3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26"/>
        </w:trPr>
        <w:tc>
          <w:tcPr>
            <w:tcW w:w="580" w:type="dxa"/>
            <w:vAlign w:val="bottom"/>
            <w:tcBorders>
              <w:bottom w:val="single" w:sz="8" w:color="808080"/>
            </w:tcBorders>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5" w:name="page86"/>
    <w:bookmarkEnd w:id="85"/>
    <w:p>
      <w:pPr>
        <w:spacing w:after="0" w:line="277" w:lineRule="auto"/>
        <w:rPr>
          <w:sz w:val="20"/>
          <w:szCs w:val="20"/>
          <w:color w:val="auto"/>
        </w:rPr>
      </w:pPr>
      <w:r>
        <w:rPr>
          <w:rFonts w:ascii="Arial" w:cs="Arial" w:eastAsia="Arial" w:hAnsi="Arial"/>
          <w:sz w:val="18"/>
          <w:szCs w:val="18"/>
          <w:color w:val="auto"/>
        </w:rPr>
        <w:t>PORTIONS DENOTED WITH [***] HAVE BEEN OMITTED AND FILED SEPARATELY WITH THE SECURITIES AND EXCHANGE COMMISSION PURSUANT TO A REQUEST FOR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48895</wp:posOffset>
            </wp:positionV>
            <wp:extent cx="18783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B</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PRICES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(Page 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ADDITIONAL PAYMENT TERMS</w:t>
      </w:r>
    </w:p>
    <w:p>
      <w:pPr>
        <w:spacing w:after="0" w:line="117"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WDC shall make [***] payments to Komag Inc. in accordance with the schedule set forth below [***] to be applied against [***] purchases of Product in accordance with this Exhibit as set forth below:</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right="120" w:firstLine="233"/>
        <w:spacing w:after="0" w:line="282"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Payment [***] shall be made subject to [***]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 The parties acknowledge that the [***] have already been paid and received. [***] Payment [***] shall be repaid by Komag, Inc. to WDC solely in accordance with [***] Section 6.7 and 4.3.3 of the VPA.</w:t>
      </w:r>
    </w:p>
    <w:p>
      <w:pPr>
        <w:spacing w:after="0" w:line="58" w:lineRule="exact"/>
        <w:rPr>
          <w:sz w:val="20"/>
          <w:szCs w:val="20"/>
          <w:color w:val="auto"/>
        </w:rPr>
      </w:pPr>
    </w:p>
    <w:p>
      <w:pPr>
        <w:ind w:right="780" w:firstLine="222"/>
        <w:spacing w:after="0" w:line="277" w:lineRule="auto"/>
        <w:rPr>
          <w:sz w:val="20"/>
          <w:szCs w:val="20"/>
          <w:color w:val="auto"/>
        </w:rPr>
      </w:pPr>
      <w:r>
        <w:rPr>
          <w:rFonts w:ascii="Arial" w:cs="Arial" w:eastAsia="Arial" w:hAnsi="Arial"/>
          <w:sz w:val="18"/>
          <w:szCs w:val="18"/>
          <w:color w:val="auto"/>
        </w:rPr>
        <w:t>The parties agree that it is their mutual intent that [***] Payment [***] be used by the Komag Group solely for manufacturing and operations in connection with the [***], and not for the Komag Group’s general working capital purposes.</w:t>
      </w:r>
    </w:p>
    <w:p>
      <w:pPr>
        <w:spacing w:after="0" w:line="62" w:lineRule="exact"/>
        <w:rPr>
          <w:sz w:val="20"/>
          <w:szCs w:val="20"/>
          <w:color w:val="auto"/>
        </w:rPr>
      </w:pPr>
    </w:p>
    <w:p>
      <w:pPr>
        <w:jc w:val="both"/>
        <w:ind w:right="40" w:firstLine="225"/>
        <w:spacing w:after="0" w:line="279" w:lineRule="auto"/>
        <w:rPr>
          <w:sz w:val="20"/>
          <w:szCs w:val="20"/>
          <w:color w:val="auto"/>
        </w:rPr>
      </w:pPr>
      <w:r>
        <w:rPr>
          <w:rFonts w:ascii="Arial" w:cs="Arial" w:eastAsia="Arial" w:hAnsi="Arial"/>
          <w:sz w:val="17"/>
          <w:szCs w:val="17"/>
          <w:color w:val="auto"/>
        </w:rPr>
        <w:t>Starting no earlier than the first date that first production comes off the [***] and no later than [***], Komag Inc. shall make payments monthly to WDC equal to [***] for each Unit invoiced during the fiscal month, within 7 days after the fiscal month-end (regardless of whether such Unit was a result of [***] or previously existing capacity) (the “</w:t>
      </w:r>
      <w:r>
        <w:rPr>
          <w:rFonts w:ascii="Arial" w:cs="Arial" w:eastAsia="Arial" w:hAnsi="Arial"/>
          <w:sz w:val="17"/>
          <w:szCs w:val="17"/>
          <w:b w:val="1"/>
          <w:bCs w:val="1"/>
          <w:u w:val="single" w:color="auto"/>
          <w:color w:val="auto"/>
        </w:rPr>
        <w:t>Per Unit Offset</w:t>
      </w:r>
      <w:r>
        <w:rPr>
          <w:rFonts w:ascii="Arial" w:cs="Arial" w:eastAsia="Arial" w:hAnsi="Arial"/>
          <w:sz w:val="17"/>
          <w:szCs w:val="17"/>
          <w:color w:val="auto"/>
        </w:rPr>
        <w:t>”) [***], then the remainder of the [***] shall become due and payable to WDC at the end of the Initial Term, and Komag Inc. shall make such payment in a reasonable period of time not to exceed 15 Days.</w:t>
      </w:r>
    </w:p>
    <w:p>
      <w:pPr>
        <w:spacing w:after="0" w:line="63"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Notwithstanding the foregoing, in the event WDC makes payment to Komag in accordance with Section 6.5 of the VPA for Units invoiced during [***], then the Per Unit Offset to be paid monthly by Komag Inc. to WDC referenced in the previous paragraph shall increase [***].</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6" w:name="page87"/>
    <w:bookmarkEnd w:id="86"/>
    <w:p>
      <w:pPr>
        <w:spacing w:after="0" w:line="277" w:lineRule="auto"/>
        <w:rPr>
          <w:sz w:val="20"/>
          <w:szCs w:val="20"/>
          <w:color w:val="auto"/>
        </w:rPr>
      </w:pPr>
      <w:r>
        <w:rPr>
          <w:rFonts w:ascii="Arial" w:cs="Arial" w:eastAsia="Arial" w:hAnsi="Arial"/>
          <w:sz w:val="18"/>
          <w:szCs w:val="18"/>
          <w:color w:val="auto"/>
        </w:rPr>
        <w:t>PORTIONS DENOTED WITH [***] HAVE BEEN OMITTED AND FILED SEPARATELY WITH THE SECURITIES AND EXCHANGE COMMISSION PURSUANT TO A REQUEST FOR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48895</wp:posOffset>
            </wp:positionV>
            <wp:extent cx="18783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Progress Milestones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87" w:name="page88"/>
    <w:bookmarkEnd w:id="87"/>
    <w:p>
      <w:pPr>
        <w:ind w:right="40"/>
        <w:spacing w:after="0" w:line="277" w:lineRule="auto"/>
        <w:rPr>
          <w:sz w:val="20"/>
          <w:szCs w:val="20"/>
          <w:color w:val="auto"/>
        </w:rPr>
      </w:pPr>
      <w:r>
        <w:rPr>
          <w:rFonts w:ascii="Arial" w:cs="Arial" w:eastAsia="Arial" w:hAnsi="Arial"/>
          <w:sz w:val="18"/>
          <w:szCs w:val="18"/>
          <w:color w:val="auto"/>
        </w:rPr>
        <w:t>PORTIONS DENOTED WITH [***] HAVE BEEN OMITTED AND FILED SEPARATELY WITH THE SECURITIES AND EXCHANGE COMMISSION PURSUANT TO A REQUEST FOR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48895</wp:posOffset>
            </wp:positionV>
            <wp:extent cx="18783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6260" w:type="dxa"/>
            <w:vAlign w:val="bottom"/>
            <w:gridSpan w:val="2"/>
          </w:tcPr>
          <w:p>
            <w:pPr>
              <w:jc w:val="center"/>
              <w:ind w:right="5052"/>
              <w:spacing w:after="0"/>
              <w:rPr>
                <w:sz w:val="20"/>
                <w:szCs w:val="20"/>
                <w:color w:val="auto"/>
              </w:rPr>
            </w:pPr>
            <w:r>
              <w:rPr>
                <w:rFonts w:ascii="Arial" w:cs="Arial" w:eastAsia="Arial" w:hAnsi="Arial"/>
                <w:sz w:val="18"/>
                <w:szCs w:val="18"/>
                <w:b w:val="1"/>
                <w:bCs w:val="1"/>
                <w:color w:val="auto"/>
              </w:rPr>
              <w:t>EXHIBIT F</w:t>
            </w:r>
          </w:p>
        </w:tc>
      </w:tr>
      <w:tr>
        <w:trPr>
          <w:trHeight w:val="324"/>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6260" w:type="dxa"/>
            <w:vAlign w:val="bottom"/>
            <w:gridSpan w:val="2"/>
          </w:tcPr>
          <w:p>
            <w:pPr>
              <w:jc w:val="center"/>
              <w:ind w:right="5072"/>
              <w:spacing w:after="0"/>
              <w:rPr>
                <w:sz w:val="20"/>
                <w:szCs w:val="20"/>
                <w:color w:val="auto"/>
              </w:rPr>
            </w:pPr>
            <w:r>
              <w:rPr>
                <w:rFonts w:ascii="Arial" w:cs="Arial" w:eastAsia="Arial" w:hAnsi="Arial"/>
                <w:sz w:val="18"/>
                <w:szCs w:val="18"/>
                <w:b w:val="1"/>
                <w:bCs w:val="1"/>
                <w:color w:val="auto"/>
                <w:w w:val="87"/>
              </w:rPr>
              <w:t>Volumes</w:t>
            </w:r>
          </w:p>
        </w:tc>
      </w:tr>
      <w:tr>
        <w:trPr>
          <w:trHeight w:val="365"/>
        </w:trPr>
        <w:tc>
          <w:tcPr>
            <w:tcW w:w="20" w:type="dxa"/>
            <w:vAlign w:val="bottom"/>
          </w:tcPr>
          <w:p>
            <w:pPr>
              <w:spacing w:after="0"/>
              <w:rPr>
                <w:sz w:val="24"/>
                <w:szCs w:val="24"/>
                <w:color w:val="auto"/>
              </w:rPr>
            </w:pPr>
          </w:p>
        </w:tc>
        <w:tc>
          <w:tcPr>
            <w:tcW w:w="5140" w:type="dxa"/>
            <w:vAlign w:val="bottom"/>
            <w:tcBorders>
              <w:bottom w:val="single" w:sz="8" w:color="auto"/>
            </w:tcBorders>
          </w:tcPr>
          <w:p>
            <w:pPr>
              <w:ind w:left="2300"/>
              <w:spacing w:after="0"/>
              <w:rPr>
                <w:sz w:val="20"/>
                <w:szCs w:val="20"/>
                <w:color w:val="auto"/>
              </w:rPr>
            </w:pPr>
            <w:r>
              <w:rPr>
                <w:rFonts w:ascii="Arial" w:cs="Arial" w:eastAsia="Arial" w:hAnsi="Arial"/>
                <w:sz w:val="14"/>
                <w:szCs w:val="14"/>
                <w:b w:val="1"/>
                <w:bCs w:val="1"/>
                <w:color w:val="auto"/>
              </w:rPr>
              <w:t>Quarter</w:t>
            </w:r>
          </w:p>
        </w:tc>
        <w:tc>
          <w:tcPr>
            <w:tcW w:w="1120" w:type="dxa"/>
            <w:vAlign w:val="bottom"/>
          </w:tcPr>
          <w:p>
            <w:pPr>
              <w:spacing w:after="0"/>
              <w:rPr>
                <w:sz w:val="24"/>
                <w:szCs w:val="24"/>
                <w:color w:val="auto"/>
              </w:rPr>
            </w:pPr>
          </w:p>
        </w:tc>
        <w:tc>
          <w:tcPr>
            <w:tcW w:w="5140" w:type="dxa"/>
            <w:vAlign w:val="bottom"/>
            <w:tcBorders>
              <w:bottom w:val="single" w:sz="8" w:color="auto"/>
            </w:tcBorders>
          </w:tcPr>
          <w:p>
            <w:pPr>
              <w:ind w:left="1920"/>
              <w:spacing w:after="0"/>
              <w:rPr>
                <w:sz w:val="20"/>
                <w:szCs w:val="20"/>
                <w:color w:val="auto"/>
              </w:rPr>
            </w:pPr>
            <w:r>
              <w:rPr>
                <w:rFonts w:ascii="Arial" w:cs="Arial" w:eastAsia="Arial" w:hAnsi="Arial"/>
                <w:sz w:val="14"/>
                <w:szCs w:val="14"/>
                <w:b w:val="1"/>
                <w:bCs w:val="1"/>
                <w:color w:val="auto"/>
              </w:rPr>
              <w:t>Volume Requirement</w:t>
            </w:r>
          </w:p>
        </w:tc>
      </w:tr>
      <w:tr>
        <w:trPr>
          <w:trHeight w:val="224"/>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 Fiscal Quarter for [***] (i.e., the quarter ending [***])</w:t>
            </w:r>
          </w:p>
        </w:tc>
        <w:tc>
          <w:tcPr>
            <w:tcW w:w="11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 Units</w:t>
            </w:r>
          </w:p>
        </w:tc>
      </w:tr>
      <w:tr>
        <w:trPr>
          <w:trHeight w:val="418"/>
        </w:trPr>
        <w:tc>
          <w:tcPr>
            <w:tcW w:w="5160" w:type="dxa"/>
            <w:vAlign w:val="bottom"/>
            <w:gridSpan w:val="2"/>
          </w:tcPr>
          <w:p>
            <w:pPr>
              <w:spacing w:after="0"/>
              <w:rPr>
                <w:sz w:val="20"/>
                <w:szCs w:val="20"/>
                <w:color w:val="auto"/>
              </w:rPr>
            </w:pPr>
            <w:r>
              <w:rPr>
                <w:rFonts w:ascii="Arial" w:cs="Arial" w:eastAsia="Arial" w:hAnsi="Arial"/>
                <w:sz w:val="18"/>
                <w:szCs w:val="18"/>
                <w:color w:val="auto"/>
              </w:rPr>
              <w:t>[***] Fiscal Quarter for [***] (i.e., the quarter ending [***])</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 Units</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 Fiscal Quarter for [***] (i.e., the quarter ending [***])</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 Units</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 Fiscal Quarter for [***] (i.e., the quarter ending [***])</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 Units</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 Fiscal Quarter for [***] (i.e., the quarter ending [***])</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 Units</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 Fiscal Quarter for [***] (i.e., the quarter ending [***])</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 Units*</w:t>
            </w:r>
          </w:p>
        </w:tc>
      </w:tr>
      <w:tr>
        <w:trPr>
          <w:trHeight w:val="418"/>
        </w:trPr>
        <w:tc>
          <w:tcPr>
            <w:tcW w:w="5160" w:type="dxa"/>
            <w:vAlign w:val="bottom"/>
            <w:gridSpan w:val="2"/>
          </w:tcPr>
          <w:p>
            <w:pPr>
              <w:spacing w:after="0"/>
              <w:rPr>
                <w:sz w:val="20"/>
                <w:szCs w:val="20"/>
                <w:color w:val="auto"/>
              </w:rPr>
            </w:pPr>
            <w:r>
              <w:rPr>
                <w:rFonts w:ascii="Arial" w:cs="Arial" w:eastAsia="Arial" w:hAnsi="Arial"/>
                <w:sz w:val="18"/>
                <w:szCs w:val="18"/>
                <w:color w:val="auto"/>
                <w:w w:val="97"/>
              </w:rPr>
              <w:t>Each WDC Fiscal Quarter following the [***] Fiscal Quarter for [***]</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w w:val="97"/>
              </w:rPr>
              <w:t>(i.e., each quarter after the quarter ending [***]) for the term of this</w:t>
            </w:r>
          </w:p>
        </w:tc>
        <w:tc>
          <w:tcPr>
            <w:tcW w:w="112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VPA.</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 Units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13036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60" w:right="20" w:hanging="452"/>
        <w:spacing w:after="0" w:line="259"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later than [***], Komag shall deliver notice to WDC in writing confirming whether it can deliver [***] Units for [***] Fiscal Quarter for [***] (i.e., the quarter ending [***]). Failure to deliver such notice shall be deemed confirmation of its ability to deliver the [***] Units. In the event such notice states that Komag is unable to deliver [***] Units, the [***] requirement shall be [***] Units for the [***] Fiscal Quarter for [***] (i.e., the quarter ending [***]) and [***] Units for all subsequent quarters.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936"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10.35.1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875030" cy="2489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7503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Western Digital Corporation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20511 Lake Forest Drive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Lake Forest, California 92630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17,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Mr. John F. Coyne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20511 Lake Forest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Lake Forest, CA 92630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John:</w:t>
      </w:r>
    </w:p>
    <w:p>
      <w:pPr>
        <w:spacing w:after="0" w:line="117" w:lineRule="exact"/>
        <w:rPr>
          <w:sz w:val="20"/>
          <w:szCs w:val="20"/>
          <w:color w:val="auto"/>
        </w:rPr>
      </w:pPr>
    </w:p>
    <w:p>
      <w:pPr>
        <w:ind w:right="500" w:firstLine="222"/>
        <w:spacing w:after="0" w:line="279" w:lineRule="auto"/>
        <w:rPr>
          <w:sz w:val="20"/>
          <w:szCs w:val="20"/>
          <w:color w:val="auto"/>
        </w:rPr>
      </w:pPr>
      <w:r>
        <w:rPr>
          <w:rFonts w:ascii="Arial" w:cs="Arial" w:eastAsia="Arial" w:hAnsi="Arial"/>
          <w:sz w:val="17"/>
          <w:szCs w:val="17"/>
          <w:color w:val="auto"/>
        </w:rPr>
        <w:t>When countersigned by you below, this letter shall constitute our agreement that the entire Performance Share Award granted by Western Digital Corporation (the “Company”), to you on May 25, 2005, in accordance with that certain Letter Agreement, dated May 25, 2005, between you and the Company and that certain Notice of Grant of Performance Share Awards and Performance Share Award Agreement, dated on or about May 25, 2005, is hereby terminated and you have no further rights with respect to, or in respect of, such Performance Share Award.</w:t>
      </w:r>
    </w:p>
    <w:p>
      <w:pPr>
        <w:spacing w:after="0" w:line="63"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This letter agreement, which is entered for good and valuable consideration, the receipt and sufficiency of which is hereby acknowledged, shall be interpreted and construed in accordance with the laws of the State of Delaware (without regard to conflict of law principles) and applicable federal law. This letter agreement constitutes the entire agreement and supersedes all prior understandings and agreements, written or oral, of the parties hereto with respect to the subject matter hereof.</w:t>
      </w:r>
    </w:p>
    <w:p>
      <w:pPr>
        <w:spacing w:after="0" w:line="18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Western Digital Corporation</w:t>
      </w:r>
    </w:p>
    <w:p>
      <w:pPr>
        <w:spacing w:after="0" w:line="225"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Raymond M. Bukaty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Raymond M. Bukaty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 Administration,</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F. Coyne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F. Coyne</w:t>
      </w:r>
    </w:p>
    <w:p>
      <w:pPr>
        <w:sectPr>
          <w:pgSz w:w="11900" w:h="16838" w:orient="portrait"/>
          <w:cols w:equalWidth="0" w:num="1">
            <w:col w:w="11420"/>
          </w:cols>
          <w:pgMar w:left="240" w:top="93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Arif Shakeel, certify that:</w:t>
      </w:r>
    </w:p>
    <w:p>
      <w:pPr>
        <w:spacing w:after="0" w:line="117" w:lineRule="exact"/>
        <w:rPr>
          <w:sz w:val="20"/>
          <w:szCs w:val="20"/>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60" w:hanging="252"/>
        <w:spacing w:after="0" w:line="264" w:lineRule="auto"/>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80" w:right="100" w:hanging="234"/>
        <w:spacing w:after="0" w:line="264" w:lineRule="auto"/>
        <w:tabs>
          <w:tab w:leader="none" w:pos="5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580" w:right="100" w:hanging="234"/>
        <w:spacing w:after="0" w:line="264" w:lineRule="auto"/>
        <w:tabs>
          <w:tab w:leader="none" w:pos="5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580" w:right="140" w:hanging="234"/>
        <w:spacing w:after="0" w:line="308" w:lineRule="auto"/>
        <w:tabs>
          <w:tab w:leader="none" w:pos="580" w:val="left"/>
        </w:tabs>
        <w:numPr>
          <w:ilvl w:val="1"/>
          <w:numId w:val="6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580" w:hanging="234"/>
        <w:spacing w:after="0" w:line="264" w:lineRule="auto"/>
        <w:tabs>
          <w:tab w:leader="none" w:pos="5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400" w:hanging="252"/>
        <w:spacing w:after="0" w:line="308" w:lineRule="auto"/>
        <w:tabs>
          <w:tab w:leader="none" w:pos="2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80" w:right="60" w:hanging="234"/>
        <w:spacing w:after="0" w:line="277" w:lineRule="auto"/>
        <w:tabs>
          <w:tab w:leader="none" w:pos="5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580" w:right="120" w:hanging="234"/>
        <w:spacing w:after="0" w:line="277" w:lineRule="auto"/>
        <w:tabs>
          <w:tab w:leader="none" w:pos="5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2006</w:t>
      </w:r>
    </w:p>
    <w:p>
      <w:pPr>
        <w:spacing w:after="0" w:line="225"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Arif Shakeel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1697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Arif Shakeel</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93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D. Milligan, certify that:</w:t>
      </w:r>
    </w:p>
    <w:p>
      <w:pPr>
        <w:spacing w:after="0" w:line="117" w:lineRule="exact"/>
        <w:rPr>
          <w:sz w:val="20"/>
          <w:szCs w:val="20"/>
          <w:color w:val="auto"/>
        </w:rPr>
      </w:pP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60" w:hanging="252"/>
        <w:spacing w:after="0" w:line="264" w:lineRule="auto"/>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80" w:right="100" w:hanging="234"/>
        <w:spacing w:after="0" w:line="264" w:lineRule="auto"/>
        <w:tabs>
          <w:tab w:leader="none" w:pos="5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580" w:right="100" w:hanging="234"/>
        <w:spacing w:after="0" w:line="264" w:lineRule="auto"/>
        <w:tabs>
          <w:tab w:leader="none" w:pos="5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580" w:right="140" w:hanging="234"/>
        <w:spacing w:after="0" w:line="308" w:lineRule="auto"/>
        <w:tabs>
          <w:tab w:leader="none" w:pos="580" w:val="left"/>
        </w:tabs>
        <w:numPr>
          <w:ilvl w:val="1"/>
          <w:numId w:val="6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580" w:hanging="234"/>
        <w:spacing w:after="0" w:line="264" w:lineRule="auto"/>
        <w:tabs>
          <w:tab w:leader="none" w:pos="5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400" w:hanging="252"/>
        <w:spacing w:after="0" w:line="308" w:lineRule="auto"/>
        <w:tabs>
          <w:tab w:leader="none" w:pos="2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80" w:right="60" w:hanging="234"/>
        <w:spacing w:after="0" w:line="277" w:lineRule="auto"/>
        <w:tabs>
          <w:tab w:leader="none" w:pos="5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580" w:right="120" w:hanging="234"/>
        <w:spacing w:after="0" w:line="277" w:lineRule="auto"/>
        <w:tabs>
          <w:tab w:leader="none" w:pos="5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2006</w:t>
      </w:r>
    </w:p>
    <w:p>
      <w:pPr>
        <w:spacing w:after="0" w:line="22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1697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Stephen D. Milligan</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931" w:right="239" w:bottom="1440" w:gutter="0" w:footer="0" w:header="0"/>
        </w:sectPr>
      </w:pPr>
    </w:p>
    <w:bookmarkStart w:id="91" w:name="page92"/>
    <w:bookmarkEnd w:id="91"/>
    <w:p>
      <w:pPr>
        <w:ind w:left="10480"/>
        <w:spacing w:after="0"/>
        <w:rPr>
          <w:sz w:val="20"/>
          <w:szCs w:val="20"/>
          <w:color w:val="auto"/>
        </w:rPr>
      </w:pPr>
      <w:r>
        <w:rPr>
          <w:rFonts w:ascii="Arial" w:cs="Arial" w:eastAsia="Arial" w:hAnsi="Arial"/>
          <w:sz w:val="16"/>
          <w:szCs w:val="16"/>
          <w:b w:val="1"/>
          <w:bCs w:val="1"/>
          <w:color w:val="auto"/>
        </w:rPr>
        <w:t>Exhibit 32.1</w:t>
      </w:r>
    </w:p>
    <w:p>
      <w:pPr>
        <w:spacing w:after="0" w:line="144" w:lineRule="exact"/>
        <w:rPr>
          <w:sz w:val="20"/>
          <w:szCs w:val="20"/>
          <w:color w:val="auto"/>
        </w:rPr>
      </w:pPr>
    </w:p>
    <w:p>
      <w:pPr>
        <w:ind w:right="160" w:firstLine="222"/>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103" w:lineRule="exact"/>
        <w:rPr>
          <w:sz w:val="20"/>
          <w:szCs w:val="20"/>
          <w:color w:val="auto"/>
        </w:rPr>
      </w:pPr>
    </w:p>
    <w:p>
      <w:pPr>
        <w:ind w:left="680" w:right="80" w:hanging="334"/>
        <w:spacing w:after="0" w:line="308" w:lineRule="auto"/>
        <w:tabs>
          <w:tab w:leader="none" w:pos="6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period ended December 30, 2005, (the “Report”) fully complies with the requirements of Section 13(a) or Section 15(d), as applicable, of the Securities Exchange Act of 1934, as amended; and</w:t>
      </w:r>
    </w:p>
    <w:p>
      <w:pPr>
        <w:spacing w:after="0" w:line="51" w:lineRule="exact"/>
        <w:rPr>
          <w:rFonts w:ascii="Arial" w:cs="Arial" w:eastAsia="Arial" w:hAnsi="Arial"/>
          <w:sz w:val="17"/>
          <w:szCs w:val="17"/>
          <w:color w:val="auto"/>
        </w:rPr>
      </w:pPr>
    </w:p>
    <w:p>
      <w:pPr>
        <w:ind w:left="680" w:hanging="334"/>
        <w:spacing w:after="0"/>
        <w:tabs>
          <w:tab w:leader="none" w:pos="6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2006</w:t>
      </w:r>
    </w:p>
    <w:p>
      <w:pPr>
        <w:spacing w:after="0" w:line="225"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Arif Shakeel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1697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Arif Shakeel</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i w:val="1"/>
          <w:iCs w:val="1"/>
          <w:color w:val="auto"/>
        </w:rPr>
        <w:t>Chief Executive Officer</w:t>
      </w:r>
    </w:p>
    <w:p>
      <w:pPr>
        <w:spacing w:after="0" w:line="1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932" w:right="239" w:bottom="1440" w:gutter="0" w:footer="0" w:header="0"/>
        </w:sectPr>
      </w:pPr>
    </w:p>
    <w:bookmarkStart w:id="92" w:name="page93"/>
    <w:bookmarkEnd w:id="92"/>
    <w:p>
      <w:pPr>
        <w:ind w:left="10480"/>
        <w:spacing w:after="0"/>
        <w:rPr>
          <w:sz w:val="20"/>
          <w:szCs w:val="20"/>
          <w:color w:val="auto"/>
        </w:rPr>
      </w:pPr>
      <w:r>
        <w:rPr>
          <w:rFonts w:ascii="Arial" w:cs="Arial" w:eastAsia="Arial" w:hAnsi="Arial"/>
          <w:sz w:val="16"/>
          <w:szCs w:val="16"/>
          <w:b w:val="1"/>
          <w:bCs w:val="1"/>
          <w:color w:val="auto"/>
        </w:rPr>
        <w:t>Exhibit 32.2</w:t>
      </w:r>
    </w:p>
    <w:p>
      <w:pPr>
        <w:spacing w:after="0" w:line="144" w:lineRule="exact"/>
        <w:rPr>
          <w:sz w:val="20"/>
          <w:szCs w:val="20"/>
          <w:color w:val="auto"/>
        </w:rPr>
      </w:pPr>
    </w:p>
    <w:p>
      <w:pPr>
        <w:ind w:right="160" w:firstLine="222"/>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103" w:lineRule="exact"/>
        <w:rPr>
          <w:sz w:val="20"/>
          <w:szCs w:val="20"/>
          <w:color w:val="auto"/>
        </w:rPr>
      </w:pPr>
    </w:p>
    <w:p>
      <w:pPr>
        <w:ind w:left="680" w:right="80" w:hanging="334"/>
        <w:spacing w:after="0" w:line="308" w:lineRule="auto"/>
        <w:tabs>
          <w:tab w:leader="none" w:pos="6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period ended December 30, 2005, (the “Report”) fully complies with the requirements of Section 13(a) or Section 15(d), as applicable, of the Securities Exchange Act of 1934, as amended; and</w:t>
      </w:r>
    </w:p>
    <w:p>
      <w:pPr>
        <w:spacing w:after="0" w:line="51" w:lineRule="exact"/>
        <w:rPr>
          <w:rFonts w:ascii="Arial" w:cs="Arial" w:eastAsia="Arial" w:hAnsi="Arial"/>
          <w:sz w:val="17"/>
          <w:szCs w:val="17"/>
          <w:color w:val="auto"/>
        </w:rPr>
      </w:pPr>
    </w:p>
    <w:p>
      <w:pPr>
        <w:ind w:left="680" w:hanging="334"/>
        <w:spacing w:after="0"/>
        <w:tabs>
          <w:tab w:leader="none" w:pos="6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2006</w:t>
      </w:r>
    </w:p>
    <w:p>
      <w:pPr>
        <w:spacing w:after="0" w:line="22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1697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Stephen D. Milligan</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i w:val="1"/>
          <w:iCs w:val="1"/>
          <w:color w:val="auto"/>
        </w:rPr>
        <w:t>Chief Financial Officer</w:t>
      </w:r>
    </w:p>
    <w:p>
      <w:pPr>
        <w:spacing w:after="0" w:line="1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o"/>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1)"/>
      <w:numFmt w:val="decimal"/>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1."/>
      <w:numFmt w:val="decimal"/>
      <w:start w:val="3"/>
    </w:lvl>
  </w:abstractNum>
  <w:abstractNum w:abstractNumId="24">
    <w:nsid w:val="7A6D8D3C"/>
    <w:multiLevelType w:val="hybridMultilevel"/>
    <w:lvl w:ilvl="0">
      <w:lvlJc w:val="left"/>
      <w:lvlText w:val="%1."/>
      <w:numFmt w:val="decimal"/>
      <w:start w:val="4"/>
    </w:lvl>
  </w:abstractNum>
  <w:abstractNum w:abstractNumId="25">
    <w:nsid w:val="4B588F54"/>
    <w:multiLevelType w:val="hybridMultilevel"/>
    <w:lvl w:ilvl="0">
      <w:lvlJc w:val="left"/>
      <w:lvlText w:val="%1."/>
      <w:numFmt w:val="decimal"/>
      <w:start w:val="1"/>
    </w:lvl>
  </w:abstractNum>
  <w:abstractNum w:abstractNumId="26">
    <w:nsid w:val="542289EC"/>
    <w:multiLevelType w:val="hybridMultilevel"/>
    <w:lvl w:ilvl="0">
      <w:lvlJc w:val="left"/>
      <w:lvlText w:val="%1."/>
      <w:numFmt w:val="decimal"/>
      <w:start w:val="1"/>
    </w:lvl>
  </w:abstractNum>
  <w:abstractNum w:abstractNumId="27">
    <w:nsid w:val="6DE91B18"/>
    <w:multiLevelType w:val="hybridMultilevel"/>
    <w:lvl w:ilvl="0">
      <w:lvlJc w:val="left"/>
      <w:lvlText w:val="%1."/>
      <w:numFmt w:val="decimal"/>
      <w:start w:val="4"/>
    </w:lvl>
    <w:lvl w:ilvl="1">
      <w:lvlJc w:val="left"/>
      <w:lvlText w:val="•"/>
      <w:numFmt w:val="bullet"/>
      <w:start w:val="1"/>
    </w:lvl>
  </w:abstractNum>
  <w:abstractNum w:abstractNumId="28">
    <w:nsid w:val="38437FDB"/>
    <w:multiLevelType w:val="hybridMultilevel"/>
    <w:lvl w:ilvl="0">
      <w:lvlJc w:val="left"/>
      <w:lvlText w:val="%1."/>
      <w:numFmt w:val="decimal"/>
      <w:start w:val="6"/>
    </w:lvl>
  </w:abstractNum>
  <w:abstractNum w:abstractNumId="29">
    <w:nsid w:val="7644A45C"/>
    <w:multiLevelType w:val="hybridMultilevel"/>
    <w:lvl w:ilvl="0">
      <w:lvlJc w:val="left"/>
      <w:lvlText w:val="%1."/>
      <w:numFmt w:val="decimal"/>
      <w:start w:val="8"/>
    </w:lvl>
  </w:abstractNum>
  <w:abstractNum w:abstractNumId="30">
    <w:nsid w:val="32FFF902"/>
    <w:multiLevelType w:val="hybridMultilevel"/>
    <w:lvl w:ilvl="0">
      <w:lvlJc w:val="left"/>
      <w:lvlText w:val="%1."/>
      <w:numFmt w:val="decimal"/>
      <w:start w:val="1"/>
    </w:lvl>
  </w:abstractNum>
  <w:abstractNum w:abstractNumId="31">
    <w:nsid w:val="684A481A"/>
    <w:multiLevelType w:val="hybridMultilevel"/>
    <w:lvl w:ilvl="0">
      <w:lvlJc w:val="left"/>
      <w:lvlText w:val="1"/>
      <w:numFmt w:val="bullet"/>
      <w:start w:val="1"/>
    </w:lvl>
  </w:abstractNum>
  <w:abstractNum w:abstractNumId="32">
    <w:nsid w:val="579478FE"/>
    <w:multiLevelType w:val="hybridMultilevel"/>
    <w:lvl w:ilvl="0">
      <w:lvlJc w:val="left"/>
      <w:lvlText w:val="2"/>
      <w:numFmt w:val="bullet"/>
      <w:start w:val="1"/>
    </w:lvl>
  </w:abstractNum>
  <w:abstractNum w:abstractNumId="33">
    <w:nsid w:val="749ABB43"/>
    <w:multiLevelType w:val="hybridMultilevel"/>
    <w:lvl w:ilvl="0">
      <w:lvlJc w:val="left"/>
      <w:lvlText w:val="%1."/>
      <w:numFmt w:val="decimal"/>
      <w:start w:val="2"/>
    </w:lvl>
  </w:abstractNum>
  <w:abstractNum w:abstractNumId="34">
    <w:nsid w:val="3DC240FB"/>
    <w:multiLevelType w:val="hybridMultilevel"/>
    <w:lvl w:ilvl="0">
      <w:lvlJc w:val="left"/>
      <w:lvlText w:val="%1."/>
      <w:numFmt w:val="decimal"/>
      <w:start w:val="5"/>
    </w:lvl>
    <w:lvl w:ilvl="1">
      <w:lvlJc w:val="left"/>
      <w:lvlText w:val="•"/>
      <w:numFmt w:val="bullet"/>
      <w:start w:val="1"/>
    </w:lvl>
  </w:abstractNum>
  <w:abstractNum w:abstractNumId="35">
    <w:nsid w:val="1BA026FA"/>
    <w:multiLevelType w:val="hybridMultilevel"/>
    <w:lvl w:ilvl="0">
      <w:lvlJc w:val="left"/>
      <w:lvlText w:val="%1."/>
      <w:numFmt w:val="decimal"/>
      <w:start w:val="7"/>
    </w:lvl>
  </w:abstractNum>
  <w:abstractNum w:abstractNumId="36">
    <w:nsid w:val="79A1DEAA"/>
    <w:multiLevelType w:val="hybridMultilevel"/>
    <w:lvl w:ilvl="0">
      <w:lvlJc w:val="left"/>
      <w:lvlText w:val="%1."/>
      <w:numFmt w:val="decimal"/>
      <w:start w:val="12"/>
    </w:lvl>
  </w:abstractNum>
  <w:abstractNum w:abstractNumId="37">
    <w:nsid w:val="75C6C33A"/>
    <w:multiLevelType w:val="hybridMultilevel"/>
    <w:lvl w:ilvl="0">
      <w:lvlJc w:val="left"/>
      <w:lvlText w:val="%1."/>
      <w:numFmt w:val="decimal"/>
      <w:start w:val="4"/>
    </w:lvl>
    <w:lvl w:ilvl="1">
      <w:lvlJc w:val="left"/>
      <w:lvlText w:val="(%2)"/>
      <w:numFmt w:val="lowerLetter"/>
      <w:start w:val="1"/>
    </w:lvl>
  </w:abstractNum>
  <w:abstractNum w:abstractNumId="38">
    <w:nsid w:val="12E685F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9">
    <w:nsid w:val="70C6A529"/>
    <w:multiLevelType w:val="hybridMultilevel"/>
    <w:lvl w:ilvl="0">
      <w:lvlJc w:val="left"/>
      <w:lvlText w:val="%1."/>
      <w:numFmt w:val="decimal"/>
      <w:start w:val="7"/>
    </w:lvl>
    <w:lvl w:ilvl="1">
      <w:lvlJc w:val="left"/>
      <w:lvlText w:val="(%2)"/>
      <w:numFmt w:val="lowerLetter"/>
      <w:start w:val="1"/>
    </w:lvl>
  </w:abstractNum>
  <w:abstractNum w:abstractNumId="40">
    <w:nsid w:val="520EEDD1"/>
    <w:multiLevelType w:val="hybridMultilevel"/>
    <w:lvl w:ilvl="0">
      <w:lvlJc w:val="left"/>
      <w:lvlText w:val="%1"/>
      <w:numFmt w:val="decimal"/>
      <w:start w:val="1"/>
    </w:lvl>
    <w:lvl w:ilvl="1">
      <w:lvlJc w:val="left"/>
      <w:lvlText w:val="(%2)"/>
      <w:numFmt w:val="lowerLetter"/>
      <w:start w:val="3"/>
    </w:lvl>
  </w:abstractNum>
  <w:abstractNum w:abstractNumId="41">
    <w:nsid w:val="374A3FE6"/>
    <w:multiLevelType w:val="hybridMultilevel"/>
    <w:lvl w:ilvl="0">
      <w:lvlJc w:val="left"/>
      <w:lvlText w:val="%1."/>
      <w:numFmt w:val="decimal"/>
      <w:start w:val="9"/>
    </w:lvl>
    <w:lvl w:ilvl="1">
      <w:lvlJc w:val="left"/>
      <w:lvlText w:val="%2"/>
      <w:numFmt w:val="lowerLetter"/>
      <w:start w:val="1"/>
    </w:lvl>
  </w:abstractNum>
  <w:abstractNum w:abstractNumId="42">
    <w:nsid w:val="4F4EF005"/>
    <w:multiLevelType w:val="hybridMultilevel"/>
    <w:lvl w:ilvl="0">
      <w:lvlJc w:val="left"/>
      <w:lvlText w:val="%1."/>
      <w:numFmt w:val="decimal"/>
      <w:start w:val="1"/>
    </w:lvl>
  </w:abstractNum>
  <w:abstractNum w:abstractNumId="43">
    <w:nsid w:val="23F9C13C"/>
    <w:multiLevelType w:val="hybridMultilevel"/>
    <w:lvl w:ilvl="0">
      <w:lvlJc w:val="left"/>
      <w:lvlText w:val="%1."/>
      <w:numFmt w:val="decimal"/>
      <w:start w:val="5"/>
    </w:lvl>
  </w:abstractNum>
  <w:abstractNum w:abstractNumId="44">
    <w:nsid w:val="649BB77C"/>
    <w:multiLevelType w:val="hybridMultilevel"/>
    <w:lvl w:ilvl="0">
      <w:lvlJc w:val="left"/>
      <w:lvlText w:val="%1."/>
      <w:numFmt w:val="decimal"/>
      <w:start w:val="6"/>
    </w:lvl>
    <w:lvl w:ilvl="1">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1."/>
      <w:numFmt w:val="decimal"/>
      <w:start w:val="9"/>
    </w:lvl>
  </w:abstractNum>
  <w:abstractNum w:abstractNumId="47">
    <w:nsid w:val="1CF10FD8"/>
    <w:multiLevelType w:val="hybridMultilevel"/>
    <w:lvl w:ilvl="0">
      <w:lvlJc w:val="left"/>
      <w:lvlText w:val="%1."/>
      <w:numFmt w:val="decimal"/>
      <w:start w:val="10"/>
    </w:lvl>
  </w:abstractNum>
  <w:abstractNum w:abstractNumId="48">
    <w:nsid w:val="180115BE"/>
    <w:multiLevelType w:val="hybridMultilevel"/>
    <w:lvl w:ilvl="0">
      <w:lvlJc w:val="left"/>
      <w:lvlText w:val="%1."/>
      <w:numFmt w:val="decimal"/>
      <w:start w:val="1"/>
    </w:lvl>
  </w:abstractNum>
  <w:abstractNum w:abstractNumId="49">
    <w:nsid w:val="235BA861"/>
    <w:multiLevelType w:val="hybridMultilevel"/>
    <w:lvl w:ilvl="0">
      <w:lvlJc w:val="left"/>
      <w:lvlText w:val="%1."/>
      <w:numFmt w:val="decimal"/>
      <w:start w:val="5"/>
    </w:lvl>
    <w:lvl w:ilvl="1">
      <w:lvlJc w:val="left"/>
      <w:lvlText w:val="(%2)"/>
      <w:numFmt w:val="lowerLetter"/>
      <w:start w:val="1"/>
    </w:lvl>
  </w:abstractNum>
  <w:abstractNum w:abstractNumId="50">
    <w:nsid w:val="47398C89"/>
    <w:multiLevelType w:val="hybridMultilevel"/>
    <w:lvl w:ilvl="0">
      <w:lvlJc w:val="left"/>
      <w:lvlText w:val="%1"/>
      <w:numFmt w:val="decimal"/>
      <w:start w:val="1"/>
    </w:lvl>
    <w:lvl w:ilvl="1">
      <w:lvlJc w:val="left"/>
      <w:lvlText w:val="(%2)"/>
      <w:numFmt w:val="lowerLetter"/>
      <w:start w:val="4"/>
    </w:lvl>
  </w:abstractNum>
  <w:abstractNum w:abstractNumId="51">
    <w:nsid w:val="354FE9F9"/>
    <w:multiLevelType w:val="hybridMultilevel"/>
    <w:lvl w:ilvl="0">
      <w:lvlJc w:val="left"/>
      <w:lvlText w:val="%1."/>
      <w:numFmt w:val="decimal"/>
      <w:start w:val="6"/>
    </w:lvl>
    <w:lvl w:ilvl="1">
      <w:lvlJc w:val="left"/>
      <w:lvlText w:val="%2"/>
      <w:numFmt w:val="lowerLetter"/>
      <w:start w:val="1"/>
    </w:lvl>
  </w:abstractNum>
  <w:abstractNum w:abstractNumId="52">
    <w:nsid w:val="15B5AF5C"/>
    <w:multiLevelType w:val="hybridMultilevel"/>
    <w:lvl w:ilvl="0">
      <w:lvlJc w:val="left"/>
      <w:lvlText w:val="%1"/>
      <w:numFmt w:val="lowerLetter"/>
      <w:start w:val="1"/>
    </w:lvl>
    <w:lvl w:ilvl="1">
      <w:lvlJc w:val="left"/>
      <w:lvlText w:val="%2."/>
      <w:numFmt w:val="decimal"/>
      <w:start w:val="7"/>
    </w:lvl>
  </w:abstractNum>
  <w:abstractNum w:abstractNumId="53">
    <w:nsid w:val="741226BB"/>
    <w:multiLevelType w:val="hybridMultilevel"/>
    <w:lvl w:ilvl="0">
      <w:lvlJc w:val="left"/>
      <w:lvlText w:val="(%1)"/>
      <w:numFmt w:val="lowerLetter"/>
      <w:start w:val="2"/>
    </w:lvl>
    <w:lvl w:ilvl="1">
      <w:lvlJc w:val="left"/>
      <w:lvlText w:val="%2."/>
      <w:numFmt w:val="decimal"/>
      <w:start w:val="10"/>
    </w:lvl>
  </w:abstractNum>
  <w:abstractNum w:abstractNumId="54">
    <w:nsid w:val="D34B6A8"/>
    <w:multiLevelType w:val="hybridMultilevel"/>
    <w:lvl w:ilvl="0">
      <w:lvlJc w:val="left"/>
      <w:lvlText w:val="%1."/>
      <w:numFmt w:val="decimal"/>
      <w:start w:val="13"/>
    </w:lvl>
  </w:abstractNum>
  <w:abstractNum w:abstractNumId="55">
    <w:nsid w:val="10233C99"/>
    <w:multiLevelType w:val="hybridMultilevel"/>
    <w:lvl w:ilvl="0">
      <w:lvlJc w:val="left"/>
      <w:lvlText w:val="%1."/>
      <w:numFmt w:val="decimal"/>
      <w:start w:val="1"/>
    </w:lvl>
  </w:abstractNum>
  <w:abstractNum w:abstractNumId="56">
    <w:nsid w:val="3F6AB60F"/>
    <w:multiLevelType w:val="hybridMultilevel"/>
    <w:lvl w:ilvl="0">
      <w:lvlJc w:val="left"/>
      <w:lvlText w:val="%1."/>
      <w:numFmt w:val="decimal"/>
      <w:start w:val="7"/>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1."/>
      <w:numFmt w:val="decimal"/>
      <w:start w:val="7"/>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lowerRoman"/>
      <w:start w:val="1"/>
    </w:lvl>
  </w:abstractNum>
  <w:abstractNum w:abstractNumId="65">
    <w:nsid w:val="1DBABF0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2019-12-12T10:26:23Z</dcterms:created>
  <dcterms:modified xsi:type="dcterms:W3CDTF">2019-12-12T10:26:23Z</dcterms:modified>
</cp:coreProperties>
</file>