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422275</wp:posOffset>
            </wp:positionV>
            <wp:extent cx="2974340"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7434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WESTERN DIGITAL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04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ind w:left="160"/>
              <w:spacing w:after="0"/>
              <w:rPr>
                <w:sz w:val="20"/>
                <w:szCs w:val="20"/>
                <w:color w:val="auto"/>
              </w:rPr>
            </w:pPr>
            <w:r>
              <w:rPr>
                <w:rFonts w:ascii="Arial" w:cs="Arial" w:eastAsia="Arial" w:hAnsi="Arial"/>
                <w:sz w:val="18"/>
                <w:szCs w:val="18"/>
                <w:b w:val="1"/>
                <w:bCs w:val="1"/>
                <w:color w:val="auto"/>
              </w:rPr>
              <w:t>001-08703</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33-0956711</w:t>
            </w:r>
          </w:p>
        </w:tc>
      </w:tr>
      <w:tr>
        <w:trPr>
          <w:trHeight w:val="149"/>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2"/>
              </w:rPr>
              <w:t>5601 Great Oaks Parkway</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San Jose, California</w:t>
            </w:r>
          </w:p>
        </w:tc>
        <w:tc>
          <w:tcPr>
            <w:tcW w:w="23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95119</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717-6000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WDC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 (Nasdaq</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Global Select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ind w:left="1200" w:right="9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Western Digital Corporation (the “Company”) previously announced a management structure reorganization on a Current Report on Form 8-K filed with the Securities and Exchange Commission (“SEC”) on April 3, 2020. As part of the reorganization, Michael D. Cordano, formerly President and Chief Operating Officer of the Company, transitioned to a new role as President, Western Digital Technologies, Inc. Mr. Cordano’s employment with the Company was subsequently terminated on August 14, 2020 (the “Separation Date”).</w:t>
      </w:r>
    </w:p>
    <w:p>
      <w:pPr>
        <w:spacing w:after="0" w:line="17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In connection with Mr. Cordano’s departure from the Company, the Company and Mr. Cordano have entered into a Separation and General Release Agreement (the “Separation Agreement”), dated as of the Separation Date. Pursuant to the Separation Agreement, Mr. Cordano has agreed to comply with certain non-solicitation and cooperation provisions. The Separation Agreement also provides for a customary general release of claims and the following Tier I severance benefits, which Mr. Cordano was entitled to alongside the Company’s other executive officers, pursuant to the Company’s Executive Severance Plan, a copy of which was filed as Exhibit 10.3 to the Company’s Quarterly Report on Form 10-Q with the SEC on February 7, 2017 (the “Separation Benefits”):</w:t>
      </w:r>
    </w:p>
    <w:p>
      <w:pPr>
        <w:spacing w:after="0" w:line="98" w:lineRule="exact"/>
        <w:rPr>
          <w:sz w:val="20"/>
          <w:szCs w:val="20"/>
          <w:color w:val="auto"/>
        </w:rPr>
      </w:pPr>
    </w:p>
    <w:p>
      <w:pPr>
        <w:ind w:left="960" w:right="2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lump sum payment of $1,600,000, less applicable taxes and withholding, which represents Mr. Cordano’s monthly base salary multiplied by twenty-four (24), payable during the thirty-day period commencing on the Separation Date;</w:t>
      </w:r>
    </w:p>
    <w:p>
      <w:pPr>
        <w:spacing w:after="0" w:line="75" w:lineRule="exact"/>
        <w:rPr>
          <w:rFonts w:ascii="Arial" w:cs="Arial" w:eastAsia="Arial" w:hAnsi="Arial"/>
          <w:sz w:val="18"/>
          <w:szCs w:val="18"/>
          <w:color w:val="auto"/>
        </w:rPr>
      </w:pPr>
    </w:p>
    <w:p>
      <w:pPr>
        <w:ind w:left="960" w:right="180" w:hanging="424"/>
        <w:spacing w:after="0" w:line="301"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lump sum payment of $115,384.62, less applicable taxes and withholding, which represents Mr. Cordano’s pro rata target bonus opportunity under the Company’s short-term incentive program for the fiscal year 2021 bonus cycle (determined based on the number of days during the fiscal year on which Mr. Cordano was employed and assuming 100% of the performance targets subject to the bonus award are met, regardless of actual funding by the Company), payable during the thirty-day period commencing on the Separation Date;</w:t>
      </w:r>
    </w:p>
    <w:p>
      <w:pPr>
        <w:spacing w:after="0" w:line="62" w:lineRule="exact"/>
        <w:rPr>
          <w:rFonts w:ascii="Arial" w:cs="Arial" w:eastAsia="Arial" w:hAnsi="Arial"/>
          <w:sz w:val="16"/>
          <w:szCs w:val="16"/>
          <w:color w:val="auto"/>
        </w:rPr>
      </w:pPr>
    </w:p>
    <w:p>
      <w:pPr>
        <w:ind w:left="960" w:right="40" w:hanging="424"/>
        <w:spacing w:after="0" w:line="259"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Cordano’s then-outstanding unvested restricted stock units granted on August 30, 2018 that are subject to time-based vesting will vest and become payable on March 1, 2021, to the extent such restricted stock units would have vested and become payable if he had remained employed for an additional six months, subject to the terms and conditions of the stock incentive plan and award agreement applicable to such award;</w:t>
      </w:r>
    </w:p>
    <w:p>
      <w:pPr>
        <w:spacing w:after="0" w:line="92" w:lineRule="exact"/>
        <w:rPr>
          <w:rFonts w:ascii="Arial" w:cs="Arial" w:eastAsia="Arial" w:hAnsi="Arial"/>
          <w:sz w:val="18"/>
          <w:szCs w:val="18"/>
          <w:color w:val="auto"/>
        </w:rPr>
      </w:pPr>
    </w:p>
    <w:p>
      <w:pPr>
        <w:jc w:val="both"/>
        <w:ind w:left="960" w:right="20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Cordano’s then-outstanding unvested restricted stock units granted on September 4, 2019 that are subject to time-based vesting will vest on a pro rata basis and become payable on March 1, 2021, subject to the terms and conditions of the stock incentive plan and award agreement applicable to such award;</w:t>
      </w:r>
    </w:p>
    <w:p>
      <w:pPr>
        <w:spacing w:after="0" w:line="89" w:lineRule="exact"/>
        <w:rPr>
          <w:rFonts w:ascii="Arial" w:cs="Arial" w:eastAsia="Arial" w:hAnsi="Arial"/>
          <w:sz w:val="18"/>
          <w:szCs w:val="18"/>
          <w:color w:val="auto"/>
        </w:rPr>
      </w:pPr>
    </w:p>
    <w:p>
      <w:pPr>
        <w:ind w:left="960" w:hanging="424"/>
        <w:spacing w:after="0" w:line="286"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Mr. Cordano’s then-outstanding unvested performance stock units granted on August 30, 2018 shall be prorated and will become vested on August 30, 2021 (the scheduled vesting date) with respect to the number of units credited to such award in the ordinary course, subject to the terms and conditions of the stock incentive plan and award agreement applicable to such award;</w:t>
      </w:r>
    </w:p>
    <w:p>
      <w:pPr>
        <w:spacing w:after="0" w:line="70" w:lineRule="exact"/>
        <w:rPr>
          <w:rFonts w:ascii="Arial" w:cs="Arial" w:eastAsia="Arial" w:hAnsi="Arial"/>
          <w:sz w:val="17"/>
          <w:szCs w:val="17"/>
          <w:color w:val="auto"/>
        </w:rPr>
      </w:pPr>
    </w:p>
    <w:p>
      <w:pPr>
        <w:ind w:left="960" w:right="60" w:hanging="424"/>
        <w:spacing w:after="0" w:line="286"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Mr. Cordano’s then-outstanding unvested performance stock units granted on September 4, 2019 shall be prorated and will become vested on September 4, 2022 (the scheduled vesting date) with respect to the number of units credited to such awards in the ordinary course, subject to the terms and conditions of the stock incentive plan and award agreements applicable to such awards;</w:t>
      </w:r>
    </w:p>
    <w:p>
      <w:pPr>
        <w:spacing w:after="0" w:line="70" w:lineRule="exact"/>
        <w:rPr>
          <w:rFonts w:ascii="Arial" w:cs="Arial" w:eastAsia="Arial" w:hAnsi="Arial"/>
          <w:sz w:val="17"/>
          <w:szCs w:val="17"/>
          <w:color w:val="auto"/>
        </w:rPr>
      </w:pPr>
    </w:p>
    <w:p>
      <w:pPr>
        <w:ind w:left="960" w:right="8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lump sum payment of $36,375, less applicable taxes and withholding, which represents an amount equivalent to Mr. Cordano’s COBRA premiums for eighteen (18) months following the Separation Date, payable during the thirty-day period commencing on the Separation Date; and</w:t>
      </w:r>
    </w:p>
    <w:p>
      <w:pPr>
        <w:spacing w:after="0" w:line="89"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outplacement services provided by a vendor chosen by Mr. Cordano and approved by the Company for up to twelve (12) months following the Separation Date.</w:t>
      </w:r>
    </w:p>
    <w:p>
      <w:pPr>
        <w:spacing w:after="0" w:line="170"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To be entitled to the Separation Benefits, Mr. Cordano must: (a) not revoke the Separation Agreement within the seven (7) day revocation period following the date he signed the Separation Agreement; and (b) comply with his obligations under the Separation Agreement.</w:t>
      </w:r>
    </w:p>
    <w:p>
      <w:pPr>
        <w:spacing w:after="0" w:line="146"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The foregoing summary of the Separation Agreement is qualified in its entirety by the text of the Separation Agreement, which the Company expects to file as an exhibit to its Quarterly Report on Form 10-Q for the fiscal quarter ending October 2, 2020.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97"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6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2"/>
              </w:rPr>
              <w:t>Western Digital Corporation</w:t>
            </w:r>
          </w:p>
        </w:tc>
      </w:tr>
      <w:tr>
        <w:trPr>
          <w:trHeight w:val="230"/>
        </w:trPr>
        <w:tc>
          <w:tcPr>
            <w:tcW w:w="606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i w:val="1"/>
                <w:iCs w:val="1"/>
                <w:color w:val="auto"/>
                <w:w w:val="91"/>
              </w:rPr>
              <w:t>(Registrant)</w:t>
            </w:r>
          </w:p>
        </w:tc>
      </w:tr>
      <w:tr>
        <w:trPr>
          <w:trHeight w:val="432"/>
        </w:trPr>
        <w:tc>
          <w:tcPr>
            <w:tcW w:w="6060" w:type="dxa"/>
            <w:vAlign w:val="bottom"/>
          </w:tcPr>
          <w:p>
            <w:pPr>
              <w:ind w:left="56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C. Ray</w:t>
            </w: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Date: August 17, 2020</w:t>
            </w: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Michael C. Ray</w:t>
            </w:r>
          </w:p>
        </w:tc>
      </w:tr>
      <w:tr>
        <w:trPr>
          <w:trHeight w:val="216"/>
        </w:trPr>
        <w:tc>
          <w:tcPr>
            <w:tcW w:w="606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2"/>
              </w:rPr>
              <w:t>Executive Vice President, Chief Legal Officer</w:t>
            </w:r>
          </w:p>
        </w:tc>
      </w:tr>
      <w:tr>
        <w:trPr>
          <w:trHeight w:val="230"/>
        </w:trPr>
        <w:tc>
          <w:tcPr>
            <w:tcW w:w="606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87"/>
              </w:rPr>
              <w:t>and Secretary</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2020-08-17T15:17:13Z</dcterms:created>
  <dcterms:modified xsi:type="dcterms:W3CDTF">2020-08-17T15:17:13Z</dcterms:modified>
</cp:coreProperties>
</file>