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UNITED STATES</w:t>
      </w:r>
    </w:p>
    <w:p>
      <w:pPr>
        <w:jc w:val="center"/>
        <w:spacing w:after="0" w:line="234" w:lineRule="auto"/>
        <w:rPr>
          <w:sz w:val="20"/>
          <w:szCs w:val="20"/>
          <w:color w:val="auto"/>
        </w:rPr>
      </w:pPr>
      <w:r>
        <w:rPr>
          <w:rFonts w:ascii="Arial" w:cs="Arial" w:eastAsia="Arial" w:hAnsi="Arial"/>
          <w:sz w:val="18"/>
          <w:szCs w:val="18"/>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SCHEDULE 14A</w:t>
      </w:r>
    </w:p>
    <w:p>
      <w:pPr>
        <w:spacing w:after="0" w:line="207"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Proxy Statement Pursuant to Section 14(a) of the</w:t>
      </w:r>
    </w:p>
    <w:p>
      <w:pPr>
        <w:ind w:left="3620"/>
        <w:spacing w:after="0"/>
        <w:rPr>
          <w:sz w:val="20"/>
          <w:szCs w:val="20"/>
          <w:color w:val="auto"/>
        </w:rPr>
      </w:pPr>
      <w:r>
        <w:rPr>
          <w:rFonts w:ascii="Arial" w:cs="Arial" w:eastAsia="Arial" w:hAnsi="Arial"/>
          <w:sz w:val="18"/>
          <w:szCs w:val="18"/>
          <w:color w:val="auto"/>
        </w:rPr>
        <w:t>Securities Exchange Act of 1934 (Amendment No. )</w:t>
      </w:r>
    </w:p>
    <w:p>
      <w:pPr>
        <w:spacing w:after="0" w:line="147" w:lineRule="exact"/>
        <w:rPr>
          <w:sz w:val="24"/>
          <w:szCs w:val="24"/>
          <w:color w:val="auto"/>
        </w:rPr>
      </w:pPr>
    </w:p>
    <w:p>
      <w:pPr>
        <w:spacing w:after="0" w:line="242" w:lineRule="exact"/>
        <w:tabs>
          <w:tab w:leader="none" w:pos="320" w:val="left"/>
          <w:tab w:leader="none" w:pos="7400" w:val="left"/>
        </w:tabs>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ab/>
        <w:t>Filed by the Registrant</w:t>
      </w:r>
      <w:r>
        <w:rPr>
          <w:sz w:val="20"/>
          <w:szCs w:val="20"/>
          <w:color w:val="auto"/>
        </w:rPr>
        <w:tab/>
      </w:r>
      <w:r>
        <w:rPr>
          <w:rFonts w:ascii="MS PGothic" w:cs="MS PGothic" w:eastAsia="MS PGothic" w:hAnsi="MS PGothic"/>
          <w:sz w:val="22"/>
          <w:szCs w:val="22"/>
          <w:color w:val="auto"/>
        </w:rPr>
        <w:t xml:space="preserve">☐ </w:t>
      </w:r>
      <w:r>
        <w:rPr>
          <w:rFonts w:ascii="Arial" w:cs="Arial" w:eastAsia="Arial" w:hAnsi="Arial"/>
          <w:sz w:val="17"/>
          <w:szCs w:val="17"/>
          <w:color w:val="auto"/>
        </w:rPr>
        <w:t>Filed by a Party other than the Registrant</w:t>
      </w:r>
    </w:p>
    <w:p>
      <w:pPr>
        <w:spacing w:after="0" w:line="323" w:lineRule="exact"/>
        <w:rPr>
          <w:sz w:val="24"/>
          <w:szCs w:val="24"/>
          <w:color w:val="auto"/>
        </w:rPr>
      </w:pPr>
    </w:p>
    <w:p>
      <w:pPr>
        <w:ind w:left="80"/>
        <w:spacing w:after="0"/>
        <w:rPr>
          <w:sz w:val="20"/>
          <w:szCs w:val="20"/>
          <w:color w:val="auto"/>
        </w:rPr>
      </w:pPr>
      <w:r>
        <w:rPr>
          <w:rFonts w:ascii="Arial" w:cs="Arial" w:eastAsia="Arial" w:hAnsi="Arial"/>
          <w:sz w:val="18"/>
          <w:szCs w:val="18"/>
          <w:color w:val="auto"/>
        </w:rPr>
        <w:t>CHECK THE APPROPRIATE BOX:</w:t>
      </w:r>
    </w:p>
    <w:p>
      <w:pPr>
        <w:spacing w:after="0" w:line="33" w:lineRule="exact"/>
        <w:rPr>
          <w:sz w:val="24"/>
          <w:szCs w:val="24"/>
          <w:color w:val="auto"/>
        </w:rPr>
      </w:pPr>
    </w:p>
    <w:p>
      <w:pPr>
        <w:ind w:left="540" w:hanging="460"/>
        <w:spacing w:after="0"/>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Preliminary Proxy Statement</w:t>
      </w:r>
    </w:p>
    <w:p>
      <w:pPr>
        <w:spacing w:after="0" w:line="45" w:lineRule="exact"/>
        <w:rPr>
          <w:rFonts w:ascii="MS PGothic" w:cs="MS PGothic" w:eastAsia="MS PGothic" w:hAnsi="MS PGothic"/>
          <w:sz w:val="22"/>
          <w:szCs w:val="22"/>
          <w:color w:val="auto"/>
        </w:rPr>
      </w:pPr>
    </w:p>
    <w:p>
      <w:pPr>
        <w:ind w:left="80" w:right="4440"/>
        <w:spacing w:after="0" w:line="256" w:lineRule="exact"/>
        <w:tabs>
          <w:tab w:leader="none" w:pos="548"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21"/>
          <w:szCs w:val="21"/>
          <w:color w:val="auto"/>
        </w:rPr>
        <w:t>☑</w:t>
      </w:r>
      <w:r>
        <w:rPr>
          <w:rFonts w:ascii="Arial" w:cs="Arial" w:eastAsia="Arial" w:hAnsi="Arial"/>
          <w:sz w:val="18"/>
          <w:szCs w:val="18"/>
          <w:color w:val="auto"/>
        </w:rPr>
        <w:t xml:space="preserve"> Definitive Proxy Statement</w:t>
      </w:r>
    </w:p>
    <w:p>
      <w:pPr>
        <w:spacing w:after="0" w:line="1" w:lineRule="exact"/>
        <w:rPr>
          <w:rFonts w:ascii="MS PGothic" w:cs="MS PGothic" w:eastAsia="MS PGothic" w:hAnsi="MS PGothic"/>
          <w:sz w:val="22"/>
          <w:szCs w:val="22"/>
          <w:color w:val="auto"/>
        </w:rPr>
      </w:pPr>
    </w:p>
    <w:p>
      <w:pPr>
        <w:ind w:left="540" w:hanging="460"/>
        <w:spacing w:after="0" w:line="222"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Definitive Additional Materials</w:t>
      </w:r>
    </w:p>
    <w:p>
      <w:pPr>
        <w:spacing w:after="0" w:line="46" w:lineRule="exact"/>
        <w:rPr>
          <w:rFonts w:ascii="MS PGothic" w:cs="MS PGothic" w:eastAsia="MS PGothic" w:hAnsi="MS PGothic"/>
          <w:sz w:val="22"/>
          <w:szCs w:val="22"/>
          <w:color w:val="auto"/>
        </w:rPr>
      </w:pPr>
    </w:p>
    <w:p>
      <w:pPr>
        <w:ind w:left="540" w:hanging="460"/>
        <w:spacing w:after="0" w:line="222"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Under Rule 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-803275</wp:posOffset>
            </wp:positionV>
            <wp:extent cx="7132320" cy="8229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2960"/>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156210</wp:posOffset>
            </wp:positionV>
            <wp:extent cx="1688465" cy="3003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88465" cy="3003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Western Digital Corporation</w:t>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(Name of Registrant as Specified In Its Charter)</w:t>
      </w:r>
    </w:p>
    <w:p>
      <w:pPr>
        <w:jc w:val="center"/>
        <w:spacing w:after="0"/>
        <w:rPr>
          <w:sz w:val="20"/>
          <w:szCs w:val="20"/>
          <w:color w:val="auto"/>
        </w:rPr>
      </w:pPr>
      <w:r>
        <w:rPr>
          <w:rFonts w:ascii="Arial" w:cs="Arial" w:eastAsia="Arial" w:hAnsi="Arial"/>
          <w:sz w:val="13"/>
          <w:szCs w:val="13"/>
          <w:color w:val="auto"/>
        </w:rPr>
        <w:t>(Name of Person(s) Filing Proxy Statement, if Other Than the Registrant)</w:t>
      </w:r>
    </w:p>
    <w:p>
      <w:pPr>
        <w:spacing w:after="0" w:line="232" w:lineRule="exact"/>
        <w:rPr>
          <w:sz w:val="24"/>
          <w:szCs w:val="24"/>
          <w:color w:val="auto"/>
        </w:rPr>
      </w:pPr>
    </w:p>
    <w:p>
      <w:pPr>
        <w:ind w:left="80"/>
        <w:spacing w:after="0"/>
        <w:rPr>
          <w:sz w:val="20"/>
          <w:szCs w:val="20"/>
          <w:color w:val="auto"/>
        </w:rPr>
      </w:pPr>
      <w:r>
        <w:rPr>
          <w:rFonts w:ascii="Arial" w:cs="Arial" w:eastAsia="Arial" w:hAnsi="Arial"/>
          <w:sz w:val="18"/>
          <w:szCs w:val="18"/>
          <w:color w:val="auto"/>
        </w:rPr>
        <w:t>PAYMENT OF FILING FEE (CHECK THE APPROPRIATE BOX):</w:t>
      </w:r>
    </w:p>
    <w:p>
      <w:pPr>
        <w:spacing w:after="0" w:line="33" w:lineRule="exact"/>
        <w:rPr>
          <w:sz w:val="24"/>
          <w:szCs w:val="24"/>
          <w:color w:val="auto"/>
        </w:rPr>
      </w:pPr>
    </w:p>
    <w:p>
      <w:pPr>
        <w:ind w:left="540" w:hanging="460"/>
        <w:spacing w:after="0"/>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No fee required.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16973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697355"/>
                    </a:xfrm>
                    <a:prstGeom prst="rect">
                      <a:avLst/>
                    </a:prstGeom>
                    <a:noFill/>
                  </pic:spPr>
                </pic:pic>
              </a:graphicData>
            </a:graphic>
          </wp:anchor>
        </w:drawing>
      </w:r>
    </w:p>
    <w:p>
      <w:pPr>
        <w:spacing w:after="0" w:line="9" w:lineRule="exact"/>
        <w:rPr>
          <w:sz w:val="24"/>
          <w:szCs w:val="24"/>
          <w:color w:val="auto"/>
        </w:rPr>
      </w:pPr>
    </w:p>
    <w:p>
      <w:pPr>
        <w:ind w:left="540" w:hanging="460"/>
        <w:spacing w:after="0"/>
        <w:tabs>
          <w:tab w:leader="none" w:pos="54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Fee computed on table below per Exchange Act Rules 14a-6(i)(1) and 0-11.</w:t>
      </w:r>
    </w:p>
    <w:p>
      <w:pPr>
        <w:spacing w:after="0" w:line="14" w:lineRule="exact"/>
        <w:rPr>
          <w:rFonts w:ascii="MS PGothic" w:cs="MS PGothic" w:eastAsia="MS PGothic" w:hAnsi="MS PGothic"/>
          <w:sz w:val="22"/>
          <w:szCs w:val="22"/>
          <w:color w:val="auto"/>
        </w:rPr>
      </w:pPr>
    </w:p>
    <w:p>
      <w:pPr>
        <w:ind w:left="860" w:hanging="164"/>
        <w:spacing w:after="0"/>
        <w:tabs>
          <w:tab w:leader="none" w:pos="860" w:val="left"/>
        </w:tabs>
        <w:numPr>
          <w:ilvl w:val="1"/>
          <w:numId w:val="3"/>
        </w:numPr>
        <w:rPr>
          <w:rFonts w:ascii="Arial" w:cs="Arial" w:eastAsia="Arial" w:hAnsi="Arial"/>
          <w:sz w:val="13"/>
          <w:szCs w:val="13"/>
          <w:color w:val="auto"/>
        </w:rPr>
      </w:pPr>
      <w:r>
        <w:rPr>
          <w:rFonts w:ascii="Arial" w:cs="Arial" w:eastAsia="Arial" w:hAnsi="Arial"/>
          <w:sz w:val="13"/>
          <w:szCs w:val="13"/>
          <w:color w:val="auto"/>
        </w:rPr>
        <w:t>Title of each class of securities to which transaction applies:</w:t>
      </w:r>
    </w:p>
    <w:p>
      <w:pPr>
        <w:ind w:left="860" w:hanging="164"/>
        <w:spacing w:after="0"/>
        <w:tabs>
          <w:tab w:leader="none" w:pos="860" w:val="left"/>
        </w:tabs>
        <w:numPr>
          <w:ilvl w:val="1"/>
          <w:numId w:val="3"/>
        </w:numPr>
        <w:rPr>
          <w:rFonts w:ascii="Arial" w:cs="Arial" w:eastAsia="Arial" w:hAnsi="Arial"/>
          <w:sz w:val="13"/>
          <w:szCs w:val="13"/>
          <w:color w:val="auto"/>
        </w:rPr>
      </w:pPr>
      <w:r>
        <w:rPr>
          <w:rFonts w:ascii="Arial" w:cs="Arial" w:eastAsia="Arial" w:hAnsi="Arial"/>
          <w:sz w:val="13"/>
          <w:szCs w:val="13"/>
          <w:color w:val="auto"/>
        </w:rPr>
        <w:t>Aggregate number of securities to which transaction applies:</w:t>
      </w:r>
    </w:p>
    <w:p>
      <w:pPr>
        <w:ind w:left="700" w:hanging="4"/>
        <w:spacing w:after="0" w:line="238" w:lineRule="auto"/>
        <w:tabs>
          <w:tab w:leader="none" w:pos="857" w:val="left"/>
        </w:tabs>
        <w:numPr>
          <w:ilvl w:val="1"/>
          <w:numId w:val="3"/>
        </w:numPr>
        <w:rPr>
          <w:rFonts w:ascii="Arial" w:cs="Arial" w:eastAsia="Arial" w:hAnsi="Arial"/>
          <w:sz w:val="13"/>
          <w:szCs w:val="13"/>
          <w:color w:val="auto"/>
        </w:rPr>
      </w:pPr>
      <w:r>
        <w:rPr>
          <w:rFonts w:ascii="Arial" w:cs="Arial" w:eastAsia="Arial" w:hAnsi="Arial"/>
          <w:sz w:val="13"/>
          <w:szCs w:val="13"/>
          <w:color w:val="auto"/>
        </w:rPr>
        <w:t>Per unit price or other underlying value of transaction computed pursuant to Exchange Act Rule 0-11 (set forth the amount on which the filing fee is calculated and state how it was determined):</w:t>
      </w:r>
    </w:p>
    <w:p>
      <w:pPr>
        <w:ind w:left="860" w:hanging="164"/>
        <w:spacing w:after="0"/>
        <w:tabs>
          <w:tab w:leader="none" w:pos="860" w:val="left"/>
        </w:tabs>
        <w:numPr>
          <w:ilvl w:val="1"/>
          <w:numId w:val="3"/>
        </w:numPr>
        <w:rPr>
          <w:rFonts w:ascii="Arial" w:cs="Arial" w:eastAsia="Arial" w:hAnsi="Arial"/>
          <w:sz w:val="13"/>
          <w:szCs w:val="13"/>
          <w:color w:val="auto"/>
        </w:rPr>
      </w:pPr>
      <w:r>
        <w:rPr>
          <w:rFonts w:ascii="Arial" w:cs="Arial" w:eastAsia="Arial" w:hAnsi="Arial"/>
          <w:sz w:val="13"/>
          <w:szCs w:val="13"/>
          <w:color w:val="auto"/>
        </w:rPr>
        <w:t>Proposed maximum aggregate value of transaction:</w:t>
      </w:r>
    </w:p>
    <w:p>
      <w:pPr>
        <w:ind w:left="860" w:hanging="164"/>
        <w:spacing w:after="0"/>
        <w:tabs>
          <w:tab w:leader="none" w:pos="860" w:val="left"/>
        </w:tabs>
        <w:numPr>
          <w:ilvl w:val="1"/>
          <w:numId w:val="3"/>
        </w:numPr>
        <w:rPr>
          <w:rFonts w:ascii="Arial" w:cs="Arial" w:eastAsia="Arial" w:hAnsi="Arial"/>
          <w:sz w:val="13"/>
          <w:szCs w:val="13"/>
          <w:color w:val="auto"/>
        </w:rPr>
      </w:pPr>
      <w:r>
        <w:rPr>
          <w:rFonts w:ascii="Arial" w:cs="Arial" w:eastAsia="Arial" w:hAnsi="Arial"/>
          <w:sz w:val="13"/>
          <w:szCs w:val="13"/>
          <w:color w:val="auto"/>
        </w:rPr>
        <w:t>Total fee paid:</w:t>
      </w:r>
    </w:p>
    <w:p>
      <w:pPr>
        <w:spacing w:after="0" w:line="13" w:lineRule="exact"/>
        <w:rPr>
          <w:rFonts w:ascii="Arial" w:cs="Arial" w:eastAsia="Arial" w:hAnsi="Arial"/>
          <w:sz w:val="13"/>
          <w:szCs w:val="13"/>
          <w:color w:val="auto"/>
        </w:rPr>
      </w:pPr>
    </w:p>
    <w:p>
      <w:pPr>
        <w:ind w:left="540" w:hanging="460"/>
        <w:spacing w:after="0"/>
        <w:tabs>
          <w:tab w:leader="none" w:pos="54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Fee paid previously with preliminary materials:</w:t>
      </w:r>
    </w:p>
    <w:p>
      <w:pPr>
        <w:spacing w:after="0" w:line="32" w:lineRule="exact"/>
        <w:rPr>
          <w:rFonts w:ascii="MS PGothic" w:cs="MS PGothic" w:eastAsia="MS PGothic" w:hAnsi="MS PGothic"/>
          <w:sz w:val="22"/>
          <w:szCs w:val="22"/>
          <w:color w:val="auto"/>
        </w:rPr>
      </w:pPr>
    </w:p>
    <w:p>
      <w:pPr>
        <w:ind w:left="540" w:right="300" w:hanging="460"/>
        <w:spacing w:after="0" w:line="233" w:lineRule="auto"/>
        <w:tabs>
          <w:tab w:leader="none" w:pos="540" w:val="left"/>
        </w:tabs>
        <w:numPr>
          <w:ilvl w:val="0"/>
          <w:numId w:val="3"/>
        </w:numPr>
        <w:rPr>
          <w:rFonts w:ascii="MS PGothic" w:cs="MS PGothic" w:eastAsia="MS PGothic" w:hAnsi="MS PGothic"/>
          <w:sz w:val="21"/>
          <w:szCs w:val="21"/>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21"/>
          <w:szCs w:val="21"/>
          <w:color w:val="auto"/>
        </w:rPr>
      </w:pPr>
    </w:p>
    <w:p>
      <w:pPr>
        <w:ind w:left="860" w:hanging="164"/>
        <w:spacing w:after="0"/>
        <w:tabs>
          <w:tab w:leader="none" w:pos="860" w:val="left"/>
        </w:tabs>
        <w:numPr>
          <w:ilvl w:val="1"/>
          <w:numId w:val="3"/>
        </w:numPr>
        <w:rPr>
          <w:rFonts w:ascii="Arial" w:cs="Arial" w:eastAsia="Arial" w:hAnsi="Arial"/>
          <w:sz w:val="13"/>
          <w:szCs w:val="13"/>
          <w:color w:val="auto"/>
        </w:rPr>
      </w:pPr>
      <w:r>
        <w:rPr>
          <w:rFonts w:ascii="Arial" w:cs="Arial" w:eastAsia="Arial" w:hAnsi="Arial"/>
          <w:sz w:val="13"/>
          <w:szCs w:val="13"/>
          <w:color w:val="auto"/>
        </w:rPr>
        <w:t>Amount previously paid:</w:t>
      </w:r>
    </w:p>
    <w:p>
      <w:pPr>
        <w:ind w:left="860" w:hanging="164"/>
        <w:spacing w:after="0"/>
        <w:tabs>
          <w:tab w:leader="none" w:pos="860" w:val="left"/>
        </w:tabs>
        <w:numPr>
          <w:ilvl w:val="1"/>
          <w:numId w:val="3"/>
        </w:numPr>
        <w:rPr>
          <w:rFonts w:ascii="Arial" w:cs="Arial" w:eastAsia="Arial" w:hAnsi="Arial"/>
          <w:sz w:val="13"/>
          <w:szCs w:val="13"/>
          <w:color w:val="auto"/>
        </w:rPr>
      </w:pPr>
      <w:r>
        <w:rPr>
          <w:rFonts w:ascii="Arial" w:cs="Arial" w:eastAsia="Arial" w:hAnsi="Arial"/>
          <w:sz w:val="13"/>
          <w:szCs w:val="13"/>
          <w:color w:val="auto"/>
        </w:rPr>
        <w:t>Form, Schedule or Registration Statement No.:</w:t>
      </w:r>
    </w:p>
    <w:p>
      <w:pPr>
        <w:ind w:left="860" w:hanging="164"/>
        <w:spacing w:after="0"/>
        <w:tabs>
          <w:tab w:leader="none" w:pos="860" w:val="left"/>
        </w:tabs>
        <w:numPr>
          <w:ilvl w:val="1"/>
          <w:numId w:val="3"/>
        </w:numPr>
        <w:rPr>
          <w:rFonts w:ascii="Arial" w:cs="Arial" w:eastAsia="Arial" w:hAnsi="Arial"/>
          <w:sz w:val="13"/>
          <w:szCs w:val="13"/>
          <w:color w:val="auto"/>
        </w:rPr>
      </w:pPr>
      <w:r>
        <w:rPr>
          <w:rFonts w:ascii="Arial" w:cs="Arial" w:eastAsia="Arial" w:hAnsi="Arial"/>
          <w:sz w:val="13"/>
          <w:szCs w:val="13"/>
          <w:color w:val="auto"/>
        </w:rPr>
        <w:t>Filing Party:</w:t>
      </w:r>
    </w:p>
    <w:p>
      <w:pPr>
        <w:ind w:left="860" w:hanging="164"/>
        <w:spacing w:after="0"/>
        <w:tabs>
          <w:tab w:leader="none" w:pos="860" w:val="left"/>
        </w:tabs>
        <w:numPr>
          <w:ilvl w:val="1"/>
          <w:numId w:val="3"/>
        </w:numPr>
        <w:rPr>
          <w:rFonts w:ascii="Arial" w:cs="Arial" w:eastAsia="Arial" w:hAnsi="Arial"/>
          <w:sz w:val="13"/>
          <w:szCs w:val="13"/>
          <w:color w:val="auto"/>
        </w:rPr>
      </w:pPr>
      <w:r>
        <w:rPr>
          <w:rFonts w:ascii="Arial" w:cs="Arial" w:eastAsia="Arial" w:hAnsi="Arial"/>
          <w:sz w:val="13"/>
          <w:szCs w:val="13"/>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229235</wp:posOffset>
            </wp:positionV>
            <wp:extent cx="715327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153275" cy="81972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819721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146050</wp:posOffset>
            </wp:positionV>
            <wp:extent cx="6086475" cy="21856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6475" cy="2185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740"/>
        <w:spacing w:after="0" w:line="298" w:lineRule="auto"/>
        <w:rPr>
          <w:sz w:val="20"/>
          <w:szCs w:val="20"/>
          <w:color w:val="auto"/>
        </w:rPr>
      </w:pPr>
      <w:r>
        <w:rPr>
          <w:rFonts w:ascii="Arial" w:cs="Arial" w:eastAsia="Arial" w:hAnsi="Arial"/>
          <w:sz w:val="23"/>
          <w:szCs w:val="23"/>
          <w:b w:val="1"/>
          <w:bCs w:val="1"/>
          <w:color w:val="A2ACB3"/>
        </w:rPr>
        <w:t>Our strategy supports our mission to be recognized as the world’s leading data infrastructure company</w:t>
      </w:r>
    </w:p>
    <w:p>
      <w:pPr>
        <w:spacing w:after="0" w:line="149" w:lineRule="exact"/>
        <w:rPr>
          <w:sz w:val="20"/>
          <w:szCs w:val="20"/>
          <w:color w:val="auto"/>
        </w:rPr>
      </w:pPr>
    </w:p>
    <w:p>
      <w:pPr>
        <w:spacing w:after="0" w:line="258" w:lineRule="auto"/>
        <w:rPr>
          <w:sz w:val="20"/>
          <w:szCs w:val="20"/>
          <w:color w:val="auto"/>
        </w:rPr>
      </w:pPr>
      <w:r>
        <w:rPr>
          <w:rFonts w:ascii="Arial" w:cs="Arial" w:eastAsia="Arial" w:hAnsi="Arial"/>
          <w:sz w:val="13"/>
          <w:szCs w:val="13"/>
          <w:color w:val="auto"/>
        </w:rPr>
        <w:t>We continue to pursue a long-term value-creation strategy underpinned by growth in Big Data and Fast Data applications. Western Digital’s platform is strategically positioned to play a key role in supporting long-term growth trends.</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strategy is dependent on continuing to build a culture of growth and innovation to accomplish four major strategic pillars: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31889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18897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b w:val="1"/>
          <w:bCs w:val="1"/>
          <w:color w:val="F7961D"/>
        </w:rPr>
        <w:t>Lead in HDD and Flash Technology</w:t>
      </w:r>
    </w:p>
    <w:p>
      <w:pPr>
        <w:spacing w:after="0" w:line="60" w:lineRule="exact"/>
        <w:rPr>
          <w:sz w:val="20"/>
          <w:szCs w:val="20"/>
          <w:color w:val="auto"/>
        </w:rPr>
      </w:pPr>
    </w:p>
    <w:p>
      <w:pPr>
        <w:spacing w:after="0" w:line="284" w:lineRule="auto"/>
        <w:rPr>
          <w:sz w:val="20"/>
          <w:szCs w:val="20"/>
          <w:color w:val="auto"/>
        </w:rPr>
      </w:pPr>
      <w:r>
        <w:rPr>
          <w:rFonts w:ascii="Arial" w:cs="Arial" w:eastAsia="Arial" w:hAnsi="Arial"/>
          <w:sz w:val="13"/>
          <w:szCs w:val="13"/>
          <w:b w:val="1"/>
          <w:bCs w:val="1"/>
          <w:color w:val="F7961D"/>
        </w:rPr>
        <w:t>Maintaining leadership in core storage technologies</w:t>
      </w:r>
    </w:p>
    <w:p>
      <w:pPr>
        <w:spacing w:after="0" w:line="270" w:lineRule="exact"/>
        <w:rPr>
          <w:sz w:val="20"/>
          <w:szCs w:val="20"/>
          <w:color w:val="auto"/>
        </w:rPr>
      </w:pPr>
    </w:p>
    <w:p>
      <w:pPr>
        <w:ind w:right="100"/>
        <w:spacing w:after="0" w:line="236" w:lineRule="auto"/>
        <w:rPr>
          <w:sz w:val="20"/>
          <w:szCs w:val="20"/>
          <w:color w:val="auto"/>
        </w:rPr>
      </w:pPr>
      <w:r>
        <w:rPr>
          <w:rFonts w:ascii="Arial" w:cs="Arial" w:eastAsia="Arial" w:hAnsi="Arial"/>
          <w:sz w:val="13"/>
          <w:szCs w:val="13"/>
          <w:color w:val="auto"/>
        </w:rPr>
        <w:t>Lead in energy-assisted technologies to drive long-term growth in Capacity HDD</w:t>
      </w:r>
    </w:p>
    <w:p>
      <w:pPr>
        <w:spacing w:after="0"/>
        <w:rPr>
          <w:sz w:val="20"/>
          <w:szCs w:val="20"/>
          <w:color w:val="auto"/>
        </w:rPr>
      </w:pPr>
      <w:r>
        <w:rPr>
          <w:rFonts w:ascii="Arial" w:cs="Arial" w:eastAsia="Arial" w:hAnsi="Arial"/>
          <w:sz w:val="22"/>
          <w:szCs w:val="22"/>
          <w:color w:val="auto"/>
        </w:rPr>
        <w:t>_______</w:t>
      </w:r>
    </w:p>
    <w:p>
      <w:pPr>
        <w:spacing w:after="0" w:line="209" w:lineRule="exact"/>
        <w:rPr>
          <w:sz w:val="20"/>
          <w:szCs w:val="20"/>
          <w:color w:val="auto"/>
        </w:rPr>
      </w:pPr>
    </w:p>
    <w:p>
      <w:pPr>
        <w:ind w:right="40"/>
        <w:spacing w:after="0" w:line="236" w:lineRule="auto"/>
        <w:rPr>
          <w:sz w:val="20"/>
          <w:szCs w:val="20"/>
          <w:color w:val="auto"/>
        </w:rPr>
      </w:pPr>
      <w:r>
        <w:rPr>
          <w:rFonts w:ascii="Arial" w:cs="Arial" w:eastAsia="Arial" w:hAnsi="Arial"/>
          <w:sz w:val="13"/>
          <w:szCs w:val="13"/>
          <w:color w:val="auto"/>
        </w:rPr>
        <w:t>Lead in flash 3D node transitions, design parameters and capital efficiency</w:t>
      </w:r>
    </w:p>
    <w:p>
      <w:pPr>
        <w:spacing w:after="0"/>
        <w:rPr>
          <w:sz w:val="20"/>
          <w:szCs w:val="20"/>
          <w:color w:val="auto"/>
        </w:rPr>
      </w:pPr>
      <w:r>
        <w:rPr>
          <w:rFonts w:ascii="Arial" w:cs="Arial" w:eastAsia="Arial" w:hAnsi="Arial"/>
          <w:sz w:val="22"/>
          <w:szCs w:val="22"/>
          <w:color w:val="auto"/>
        </w:rPr>
        <w:t>_______</w:t>
      </w:r>
    </w:p>
    <w:p>
      <w:pPr>
        <w:spacing w:after="0" w:line="209" w:lineRule="exact"/>
        <w:rPr>
          <w:sz w:val="20"/>
          <w:szCs w:val="20"/>
          <w:color w:val="auto"/>
        </w:rPr>
      </w:pPr>
    </w:p>
    <w:p>
      <w:pPr>
        <w:ind w:right="60"/>
        <w:spacing w:after="0" w:line="258" w:lineRule="auto"/>
        <w:rPr>
          <w:sz w:val="20"/>
          <w:szCs w:val="20"/>
          <w:color w:val="auto"/>
        </w:rPr>
      </w:pPr>
      <w:r>
        <w:rPr>
          <w:rFonts w:ascii="Arial" w:cs="Arial" w:eastAsia="Arial" w:hAnsi="Arial"/>
          <w:sz w:val="13"/>
          <w:szCs w:val="13"/>
          <w:color w:val="auto"/>
        </w:rPr>
        <w:t>Drive future storage interface standards, architectures and software ecosystems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516255</wp:posOffset>
            </wp:positionV>
            <wp:extent cx="2477135" cy="265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77135" cy="265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b w:val="1"/>
          <w:bCs w:val="1"/>
          <w:color w:val="61C4AF"/>
        </w:rPr>
        <w:t>Lead in Enterprise Data Infrastructure</w:t>
      </w:r>
    </w:p>
    <w:p>
      <w:pPr>
        <w:spacing w:after="0" w:line="60" w:lineRule="exact"/>
        <w:rPr>
          <w:sz w:val="20"/>
          <w:szCs w:val="20"/>
          <w:color w:val="auto"/>
        </w:rPr>
      </w:pPr>
    </w:p>
    <w:p>
      <w:pPr>
        <w:ind w:right="400"/>
        <w:spacing w:after="0" w:line="284" w:lineRule="auto"/>
        <w:rPr>
          <w:sz w:val="20"/>
          <w:szCs w:val="20"/>
          <w:color w:val="auto"/>
        </w:rPr>
      </w:pPr>
      <w:r>
        <w:rPr>
          <w:rFonts w:ascii="Arial" w:cs="Arial" w:eastAsia="Arial" w:hAnsi="Arial"/>
          <w:sz w:val="13"/>
          <w:szCs w:val="13"/>
          <w:b w:val="1"/>
          <w:bCs w:val="1"/>
          <w:color w:val="61C4AF"/>
        </w:rPr>
        <w:t>Focusing on thought and market leadership</w:t>
      </w:r>
    </w:p>
    <w:p>
      <w:pPr>
        <w:spacing w:after="0" w:line="270" w:lineRule="exact"/>
        <w:rPr>
          <w:sz w:val="20"/>
          <w:szCs w:val="20"/>
          <w:color w:val="auto"/>
        </w:rPr>
      </w:pPr>
    </w:p>
    <w:p>
      <w:pPr>
        <w:spacing w:after="0" w:line="237" w:lineRule="auto"/>
        <w:rPr>
          <w:sz w:val="20"/>
          <w:szCs w:val="20"/>
          <w:color w:val="auto"/>
        </w:rPr>
      </w:pPr>
      <w:r>
        <w:rPr>
          <w:rFonts w:ascii="Arial" w:cs="Arial" w:eastAsia="Arial" w:hAnsi="Arial"/>
          <w:sz w:val="13"/>
          <w:szCs w:val="13"/>
          <w:color w:val="auto"/>
        </w:rPr>
        <w:t>Establish Western Digital as a thought leader and trusted partner for Data Center system architecture, building more strategic and collaborative relationships with key customers</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_______</w:t>
      </w:r>
    </w:p>
    <w:p>
      <w:pPr>
        <w:spacing w:after="0" w:line="209" w:lineRule="exact"/>
        <w:rPr>
          <w:sz w:val="20"/>
          <w:szCs w:val="20"/>
          <w:color w:val="auto"/>
        </w:rPr>
      </w:pPr>
    </w:p>
    <w:p>
      <w:pPr>
        <w:ind w:right="40"/>
        <w:spacing w:after="0" w:line="236" w:lineRule="auto"/>
        <w:rPr>
          <w:sz w:val="20"/>
          <w:szCs w:val="20"/>
          <w:color w:val="auto"/>
        </w:rPr>
      </w:pPr>
      <w:r>
        <w:rPr>
          <w:rFonts w:ascii="Arial" w:cs="Arial" w:eastAsia="Arial" w:hAnsi="Arial"/>
          <w:sz w:val="13"/>
          <w:szCs w:val="13"/>
          <w:color w:val="auto"/>
        </w:rPr>
        <w:t>Be the recognized market leader in the Data Center with HDD and SSD products</w:t>
      </w:r>
    </w:p>
    <w:p>
      <w:pPr>
        <w:spacing w:after="0"/>
        <w:rPr>
          <w:sz w:val="20"/>
          <w:szCs w:val="20"/>
          <w:color w:val="auto"/>
        </w:rPr>
      </w:pPr>
      <w:r>
        <w:rPr>
          <w:rFonts w:ascii="Arial" w:cs="Arial" w:eastAsia="Arial" w:hAnsi="Arial"/>
          <w:sz w:val="22"/>
          <w:szCs w:val="22"/>
          <w:color w:val="auto"/>
        </w:rPr>
        <w:t>_______</w:t>
      </w:r>
    </w:p>
    <w:p>
      <w:pPr>
        <w:spacing w:after="0" w:line="209" w:lineRule="exact"/>
        <w:rPr>
          <w:sz w:val="20"/>
          <w:szCs w:val="20"/>
          <w:color w:val="auto"/>
        </w:rPr>
      </w:pPr>
    </w:p>
    <w:p>
      <w:pPr>
        <w:ind w:right="80"/>
        <w:spacing w:after="0" w:line="248" w:lineRule="auto"/>
        <w:rPr>
          <w:sz w:val="20"/>
          <w:szCs w:val="20"/>
          <w:color w:val="auto"/>
        </w:rPr>
      </w:pPr>
      <w:r>
        <w:rPr>
          <w:rFonts w:ascii="Arial" w:cs="Arial" w:eastAsia="Arial" w:hAnsi="Arial"/>
          <w:sz w:val="13"/>
          <w:szCs w:val="13"/>
          <w:color w:val="auto"/>
        </w:rPr>
        <w:t>Achieve zoned storage (ZNS) leadership position in industry standards and Cloud/OEM adoption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b w:val="1"/>
          <w:bCs w:val="1"/>
          <w:color w:val="18B4DE"/>
        </w:rPr>
        <w:t>Lead in Rapid Edge and Endpoint Adoption</w:t>
      </w:r>
    </w:p>
    <w:p>
      <w:pPr>
        <w:spacing w:after="0" w:line="60" w:lineRule="exact"/>
        <w:rPr>
          <w:sz w:val="20"/>
          <w:szCs w:val="20"/>
          <w:color w:val="auto"/>
        </w:rPr>
      </w:pPr>
    </w:p>
    <w:p>
      <w:pPr>
        <w:ind w:right="380"/>
        <w:spacing w:after="0" w:line="284" w:lineRule="auto"/>
        <w:rPr>
          <w:sz w:val="20"/>
          <w:szCs w:val="20"/>
          <w:color w:val="auto"/>
        </w:rPr>
      </w:pPr>
      <w:r>
        <w:rPr>
          <w:rFonts w:ascii="Arial" w:cs="Arial" w:eastAsia="Arial" w:hAnsi="Arial"/>
          <w:sz w:val="13"/>
          <w:szCs w:val="13"/>
          <w:b w:val="1"/>
          <w:bCs w:val="1"/>
          <w:color w:val="18B4DE"/>
        </w:rPr>
        <w:t>Building leadership in emerging segments</w:t>
      </w:r>
    </w:p>
    <w:p>
      <w:pPr>
        <w:spacing w:after="0" w:line="270" w:lineRule="exact"/>
        <w:rPr>
          <w:sz w:val="20"/>
          <w:szCs w:val="20"/>
          <w:color w:val="auto"/>
        </w:rPr>
      </w:pPr>
    </w:p>
    <w:p>
      <w:pPr>
        <w:ind w:right="240"/>
        <w:spacing w:after="0" w:line="236" w:lineRule="auto"/>
        <w:rPr>
          <w:sz w:val="20"/>
          <w:szCs w:val="20"/>
          <w:color w:val="auto"/>
        </w:rPr>
      </w:pPr>
      <w:r>
        <w:rPr>
          <w:rFonts w:ascii="Arial" w:cs="Arial" w:eastAsia="Arial" w:hAnsi="Arial"/>
          <w:sz w:val="13"/>
          <w:szCs w:val="13"/>
          <w:color w:val="auto"/>
        </w:rPr>
        <w:t>Reach leadership position in Gaming consoles</w:t>
      </w:r>
    </w:p>
    <w:p>
      <w:pPr>
        <w:spacing w:after="0"/>
        <w:rPr>
          <w:sz w:val="20"/>
          <w:szCs w:val="20"/>
          <w:color w:val="auto"/>
        </w:rPr>
      </w:pPr>
      <w:r>
        <w:rPr>
          <w:rFonts w:ascii="Arial" w:cs="Arial" w:eastAsia="Arial" w:hAnsi="Arial"/>
          <w:sz w:val="22"/>
          <w:szCs w:val="22"/>
          <w:color w:val="auto"/>
        </w:rPr>
        <w:t>_______</w:t>
      </w:r>
    </w:p>
    <w:p>
      <w:pPr>
        <w:spacing w:after="0" w:line="209" w:lineRule="exact"/>
        <w:rPr>
          <w:sz w:val="20"/>
          <w:szCs w:val="20"/>
          <w:color w:val="auto"/>
        </w:rPr>
      </w:pPr>
    </w:p>
    <w:p>
      <w:pPr>
        <w:spacing w:after="0" w:line="236" w:lineRule="auto"/>
        <w:rPr>
          <w:sz w:val="20"/>
          <w:szCs w:val="20"/>
          <w:color w:val="auto"/>
        </w:rPr>
      </w:pPr>
      <w:r>
        <w:rPr>
          <w:rFonts w:ascii="Arial" w:cs="Arial" w:eastAsia="Arial" w:hAnsi="Arial"/>
          <w:sz w:val="13"/>
          <w:szCs w:val="13"/>
          <w:color w:val="auto"/>
        </w:rPr>
        <w:t>Address the growing demand for storage in consumer IoT segment</w:t>
      </w:r>
    </w:p>
    <w:p>
      <w:pPr>
        <w:spacing w:after="0"/>
        <w:rPr>
          <w:sz w:val="20"/>
          <w:szCs w:val="20"/>
          <w:color w:val="auto"/>
        </w:rPr>
      </w:pPr>
      <w:r>
        <w:rPr>
          <w:rFonts w:ascii="Arial" w:cs="Arial" w:eastAsia="Arial" w:hAnsi="Arial"/>
          <w:sz w:val="22"/>
          <w:szCs w:val="22"/>
          <w:color w:val="auto"/>
        </w:rPr>
        <w:t>_______</w:t>
      </w:r>
    </w:p>
    <w:p>
      <w:pPr>
        <w:spacing w:after="0" w:line="209" w:lineRule="exact"/>
        <w:rPr>
          <w:sz w:val="20"/>
          <w:szCs w:val="20"/>
          <w:color w:val="auto"/>
        </w:rPr>
      </w:pPr>
    </w:p>
    <w:p>
      <w:pPr>
        <w:ind w:right="120"/>
        <w:spacing w:after="0" w:line="258" w:lineRule="auto"/>
        <w:rPr>
          <w:sz w:val="20"/>
          <w:szCs w:val="20"/>
          <w:color w:val="auto"/>
        </w:rPr>
      </w:pPr>
      <w:r>
        <w:rPr>
          <w:rFonts w:ascii="Arial" w:cs="Arial" w:eastAsia="Arial" w:hAnsi="Arial"/>
          <w:sz w:val="13"/>
          <w:szCs w:val="13"/>
          <w:color w:val="auto"/>
        </w:rPr>
        <w:t>Establish leadership in Automotive and expand reach in Industrial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-1098550</wp:posOffset>
            </wp:positionH>
            <wp:positionV relativeFrom="paragraph">
              <wp:posOffset>516255</wp:posOffset>
            </wp:positionV>
            <wp:extent cx="46545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545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40"/>
        <w:spacing w:after="0"/>
        <w:rPr>
          <w:sz w:val="20"/>
          <w:szCs w:val="20"/>
          <w:color w:val="auto"/>
        </w:rPr>
      </w:pPr>
      <w:r>
        <w:rPr>
          <w:rFonts w:ascii="Arial" w:cs="Arial" w:eastAsia="Arial" w:hAnsi="Arial"/>
          <w:sz w:val="16"/>
          <w:szCs w:val="16"/>
          <w:b w:val="1"/>
          <w:bCs w:val="1"/>
          <w:color w:val="EF5660"/>
        </w:rPr>
        <w:t>Lead in Consumer Solutions</w:t>
      </w:r>
    </w:p>
    <w:p>
      <w:pPr>
        <w:spacing w:after="0" w:line="331" w:lineRule="exact"/>
        <w:rPr>
          <w:sz w:val="20"/>
          <w:szCs w:val="20"/>
          <w:color w:val="auto"/>
        </w:rPr>
      </w:pPr>
    </w:p>
    <w:p>
      <w:pPr>
        <w:ind w:right="580"/>
        <w:spacing w:after="0" w:line="284" w:lineRule="auto"/>
        <w:rPr>
          <w:sz w:val="20"/>
          <w:szCs w:val="20"/>
          <w:color w:val="auto"/>
        </w:rPr>
      </w:pPr>
      <w:r>
        <w:rPr>
          <w:rFonts w:ascii="Arial" w:cs="Arial" w:eastAsia="Arial" w:hAnsi="Arial"/>
          <w:sz w:val="13"/>
          <w:szCs w:val="13"/>
          <w:b w:val="1"/>
          <w:bCs w:val="1"/>
          <w:color w:val="EF5660"/>
        </w:rPr>
        <w:t>Expanding leadership position in consumer business</w:t>
      </w:r>
    </w:p>
    <w:p>
      <w:pPr>
        <w:spacing w:after="0" w:line="270" w:lineRule="exact"/>
        <w:rPr>
          <w:sz w:val="20"/>
          <w:szCs w:val="20"/>
          <w:color w:val="auto"/>
        </w:rPr>
      </w:pPr>
    </w:p>
    <w:p>
      <w:pPr>
        <w:ind w:right="60"/>
        <w:spacing w:after="0" w:line="236" w:lineRule="auto"/>
        <w:rPr>
          <w:sz w:val="20"/>
          <w:szCs w:val="20"/>
          <w:color w:val="auto"/>
        </w:rPr>
      </w:pPr>
      <w:r>
        <w:rPr>
          <w:rFonts w:ascii="Arial" w:cs="Arial" w:eastAsia="Arial" w:hAnsi="Arial"/>
          <w:sz w:val="13"/>
          <w:szCs w:val="13"/>
          <w:color w:val="auto"/>
        </w:rPr>
        <w:t>Establish security platform across consumer solutions portfolio</w:t>
      </w:r>
    </w:p>
    <w:p>
      <w:pPr>
        <w:spacing w:after="0"/>
        <w:rPr>
          <w:sz w:val="20"/>
          <w:szCs w:val="20"/>
          <w:color w:val="auto"/>
        </w:rPr>
      </w:pPr>
      <w:r>
        <w:rPr>
          <w:rFonts w:ascii="Arial" w:cs="Arial" w:eastAsia="Arial" w:hAnsi="Arial"/>
          <w:sz w:val="22"/>
          <w:szCs w:val="22"/>
          <w:color w:val="auto"/>
        </w:rPr>
        <w:t>_______</w:t>
      </w:r>
    </w:p>
    <w:p>
      <w:pPr>
        <w:spacing w:after="0" w:line="209" w:lineRule="exact"/>
        <w:rPr>
          <w:sz w:val="20"/>
          <w:szCs w:val="20"/>
          <w:color w:val="auto"/>
        </w:rPr>
      </w:pPr>
    </w:p>
    <w:p>
      <w:pPr>
        <w:ind w:right="140"/>
        <w:spacing w:after="0" w:line="236" w:lineRule="auto"/>
        <w:rPr>
          <w:sz w:val="20"/>
          <w:szCs w:val="20"/>
          <w:color w:val="auto"/>
        </w:rPr>
      </w:pPr>
      <w:r>
        <w:rPr>
          <w:rFonts w:ascii="Arial" w:cs="Arial" w:eastAsia="Arial" w:hAnsi="Arial"/>
          <w:sz w:val="13"/>
          <w:szCs w:val="13"/>
          <w:color w:val="auto"/>
        </w:rPr>
        <w:t>Expand on market, product and technology while reinforcing brand leadership</w:t>
      </w:r>
    </w:p>
    <w:p>
      <w:pPr>
        <w:spacing w:after="0"/>
        <w:rPr>
          <w:sz w:val="20"/>
          <w:szCs w:val="20"/>
          <w:color w:val="auto"/>
        </w:rPr>
      </w:pPr>
      <w:r>
        <w:rPr>
          <w:rFonts w:ascii="Arial" w:cs="Arial" w:eastAsia="Arial" w:hAnsi="Arial"/>
          <w:sz w:val="22"/>
          <w:szCs w:val="22"/>
          <w:color w:val="auto"/>
        </w:rPr>
        <w:t>_______</w:t>
      </w:r>
    </w:p>
    <w:p>
      <w:pPr>
        <w:spacing w:after="0" w:line="209" w:lineRule="exact"/>
        <w:rPr>
          <w:sz w:val="20"/>
          <w:szCs w:val="20"/>
          <w:color w:val="auto"/>
        </w:rPr>
      </w:pPr>
    </w:p>
    <w:p>
      <w:pPr>
        <w:ind w:right="20"/>
        <w:spacing w:after="0" w:line="248" w:lineRule="auto"/>
        <w:rPr>
          <w:sz w:val="20"/>
          <w:szCs w:val="20"/>
          <w:color w:val="auto"/>
        </w:rPr>
      </w:pPr>
      <w:r>
        <w:rPr>
          <w:rFonts w:ascii="Arial" w:cs="Arial" w:eastAsia="Arial" w:hAnsi="Arial"/>
          <w:sz w:val="13"/>
          <w:szCs w:val="13"/>
          <w:color w:val="auto"/>
        </w:rPr>
        <w:t>Continually engage users and reach new users through our solutions, experiences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1756410</wp:posOffset>
            </wp:positionH>
            <wp:positionV relativeFrom="paragraph">
              <wp:posOffset>434975</wp:posOffset>
            </wp:positionV>
            <wp:extent cx="8255" cy="857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5725"/>
                    </a:xfrm>
                    <a:prstGeom prst="rect">
                      <a:avLst/>
                    </a:prstGeom>
                    <a:noFill/>
                  </pic:spPr>
                </pic:pic>
              </a:graphicData>
            </a:graphic>
          </wp:anchor>
        </w:drawing>
      </w:r>
    </w:p>
    <w:p>
      <w:pPr>
        <w:spacing w:after="0" w:line="645" w:lineRule="exact"/>
        <w:rPr>
          <w:sz w:val="20"/>
          <w:szCs w:val="20"/>
          <w:color w:val="auto"/>
        </w:rPr>
      </w:pPr>
    </w:p>
    <w:p>
      <w:pPr>
        <w:sectPr>
          <w:pgSz w:w="11900" w:h="16838" w:orient="portrait"/>
          <w:cols w:equalWidth="0" w:num="4">
            <w:col w:w="2480" w:space="360"/>
            <w:col w:w="2500" w:space="300"/>
            <w:col w:w="2440" w:space="380"/>
            <w:col w:w="2700"/>
          </w:cols>
          <w:pgMar w:left="320" w:top="121" w:right="419" w:bottom="1440" w:gutter="0" w:footer="0" w:header="0"/>
          <w:type w:val="continuous"/>
        </w:sectPr>
      </w:pPr>
    </w:p>
    <w:p>
      <w:pPr>
        <w:spacing w:after="0" w:line="155" w:lineRule="exact"/>
        <w:rPr>
          <w:sz w:val="20"/>
          <w:szCs w:val="20"/>
          <w:color w:val="auto"/>
        </w:rPr>
      </w:pPr>
    </w:p>
    <w:p>
      <w:pPr>
        <w:jc w:val="center"/>
        <w:ind w:right="-79"/>
        <w:spacing w:after="0"/>
        <w:rPr>
          <w:sz w:val="20"/>
          <w:szCs w:val="20"/>
          <w:color w:val="auto"/>
        </w:rPr>
      </w:pPr>
      <w:r>
        <w:rPr>
          <w:rFonts w:ascii="Arial" w:cs="Arial" w:eastAsia="Arial" w:hAnsi="Arial"/>
          <w:sz w:val="21"/>
          <w:szCs w:val="21"/>
          <w:b w:val="1"/>
          <w:bCs w:val="1"/>
          <w:color w:val="23628F"/>
        </w:rPr>
        <w:t>Culture of Growth and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2660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345440</wp:posOffset>
            </wp:positionV>
            <wp:extent cx="71532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ind w:left="820"/>
        <w:spacing w:after="0"/>
        <w:rPr>
          <w:sz w:val="20"/>
          <w:szCs w:val="20"/>
          <w:color w:val="auto"/>
        </w:rPr>
      </w:pPr>
      <w:r>
        <w:rPr>
          <w:rFonts w:ascii="Arial" w:cs="Arial" w:eastAsia="Arial" w:hAnsi="Arial"/>
          <w:sz w:val="50"/>
          <w:szCs w:val="50"/>
          <w:b w:val="1"/>
          <w:bCs w:val="1"/>
          <w:color w:val="23628F"/>
        </w:rPr>
        <w:t>Letter from Our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3462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46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880" w:right="2140"/>
        <w:spacing w:after="0" w:line="249" w:lineRule="auto"/>
        <w:rPr>
          <w:sz w:val="20"/>
          <w:szCs w:val="20"/>
          <w:color w:val="auto"/>
        </w:rPr>
      </w:pPr>
      <w:r>
        <w:rPr>
          <w:rFonts w:ascii="Arial" w:cs="Arial" w:eastAsia="Arial" w:hAnsi="Arial"/>
          <w:sz w:val="18"/>
          <w:szCs w:val="18"/>
          <w:b w:val="1"/>
          <w:bCs w:val="1"/>
          <w:color w:val="auto"/>
        </w:rPr>
        <w:t>“Western Digital continues to transform itself to address the global need for a larger and more capable storage infrastructure by providing what we believe to be the broadest range of storage technologies in the technology industry.”</w:t>
      </w:r>
    </w:p>
    <w:p>
      <w:pPr>
        <w:spacing w:after="0" w:line="392" w:lineRule="exact"/>
        <w:rPr>
          <w:sz w:val="20"/>
          <w:szCs w:val="20"/>
          <w:color w:val="auto"/>
        </w:rPr>
      </w:pPr>
    </w:p>
    <w:p>
      <w:pPr>
        <w:ind w:left="880"/>
        <w:spacing w:after="0"/>
        <w:rPr>
          <w:sz w:val="20"/>
          <w:szCs w:val="20"/>
          <w:color w:val="auto"/>
        </w:rPr>
      </w:pPr>
      <w:r>
        <w:rPr>
          <w:rFonts w:ascii="Arial" w:cs="Arial" w:eastAsia="Arial" w:hAnsi="Arial"/>
          <w:sz w:val="27"/>
          <w:szCs w:val="27"/>
          <w:b w:val="1"/>
          <w:bCs w:val="1"/>
          <w:color w:val="A2ACB3"/>
        </w:rPr>
        <w:t>Dear Fellow Stockholders:</w:t>
      </w:r>
    </w:p>
    <w:p>
      <w:pPr>
        <w:spacing w:after="0" w:line="278" w:lineRule="exact"/>
        <w:rPr>
          <w:sz w:val="20"/>
          <w:szCs w:val="20"/>
          <w:color w:val="auto"/>
        </w:rPr>
      </w:pPr>
    </w:p>
    <w:p>
      <w:pPr>
        <w:ind w:left="880" w:right="20"/>
        <w:spacing w:after="0" w:line="248" w:lineRule="auto"/>
        <w:rPr>
          <w:sz w:val="20"/>
          <w:szCs w:val="20"/>
          <w:color w:val="auto"/>
        </w:rPr>
      </w:pPr>
      <w:r>
        <w:rPr>
          <w:rFonts w:ascii="Arial" w:cs="Arial" w:eastAsia="Arial" w:hAnsi="Arial"/>
          <w:sz w:val="13"/>
          <w:szCs w:val="13"/>
          <w:color w:val="auto"/>
        </w:rPr>
        <w:t>On behalf of the Board of Directors, I thank you for your continued support and investment in Western Digital. As we reflect on fiscal 2020, the year represented an important transition for Western Digital marked by leadership changes, Board changes as well as unprecedented circumstances for our employees, suppliers and customers in light of the COVID-19 pandemic.</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23628F"/>
        </w:rPr>
        <w:t>CEO Transition</w:t>
      </w:r>
    </w:p>
    <w:p>
      <w:pPr>
        <w:spacing w:after="0" w:line="22" w:lineRule="exact"/>
        <w:rPr>
          <w:sz w:val="20"/>
          <w:szCs w:val="20"/>
          <w:color w:val="auto"/>
        </w:rPr>
      </w:pPr>
    </w:p>
    <w:p>
      <w:pPr>
        <w:ind w:left="880" w:right="60"/>
        <w:spacing w:after="0" w:line="243" w:lineRule="auto"/>
        <w:rPr>
          <w:sz w:val="20"/>
          <w:szCs w:val="20"/>
          <w:color w:val="auto"/>
        </w:rPr>
      </w:pPr>
      <w:r>
        <w:rPr>
          <w:rFonts w:ascii="Arial" w:cs="Arial" w:eastAsia="Arial" w:hAnsi="Arial"/>
          <w:sz w:val="13"/>
          <w:szCs w:val="13"/>
          <w:color w:val="auto"/>
        </w:rPr>
        <w:t>In March 2020, after over seven years of service as CEO to Western Digital, Stephen D. Milligan stepped down and David V. Goeckeler was appointed as CEO and a member of the Board. Mr. Goeckeler brings to Western Digital an exceptional track record of driving highly profitable, core businesses at scale while guiding innovation to expand into new markets and generate new revenue sources. His experience as a software engineer as well as running large semiconductor development projects, breadth of technology expertise and history of building and operating world-class organizations make him the right person to lead Western Digital in a world increasingly driven by applications and data.</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23628F"/>
        </w:rPr>
        <w:t>Digital Transformation Presents an Important Opportunity for Western Digital</w:t>
      </w:r>
    </w:p>
    <w:p>
      <w:pPr>
        <w:spacing w:after="0" w:line="22" w:lineRule="exact"/>
        <w:rPr>
          <w:sz w:val="20"/>
          <w:szCs w:val="20"/>
          <w:color w:val="auto"/>
        </w:rPr>
      </w:pPr>
    </w:p>
    <w:p>
      <w:pPr>
        <w:ind w:left="880" w:right="60"/>
        <w:spacing w:after="0" w:line="243" w:lineRule="auto"/>
        <w:rPr>
          <w:sz w:val="20"/>
          <w:szCs w:val="20"/>
          <w:color w:val="auto"/>
        </w:rPr>
      </w:pPr>
      <w:r>
        <w:rPr>
          <w:rFonts w:ascii="Arial" w:cs="Arial" w:eastAsia="Arial" w:hAnsi="Arial"/>
          <w:sz w:val="13"/>
          <w:szCs w:val="13"/>
          <w:color w:val="auto"/>
        </w:rPr>
        <w:t>Western Digital continues to transform itself to address the global need for a larger and more capable storage infrastructure by providing what we believe to be the broadest range of storage technologies in the technology industry. We are well-positioned to benefit in an environment where customers of every size, vertical and geography are deploying business infrastructure that is software-driven, enabled by data and powered by the cloud. We have a strong portfolio, operational scale, powerful, global brands and extensive customer relationships from the cloud to the edge to the endpoint. We are focused on growing our market share in expanding markets such as the cloud and the edge (e.g., gaming and virtual reality) and generating new sources of revenue that are less cyclical.</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23628F"/>
        </w:rPr>
        <w:t>COVID-19 Response</w:t>
      </w:r>
    </w:p>
    <w:p>
      <w:pPr>
        <w:spacing w:after="0" w:line="22" w:lineRule="exact"/>
        <w:rPr>
          <w:sz w:val="20"/>
          <w:szCs w:val="20"/>
          <w:color w:val="auto"/>
        </w:rPr>
      </w:pPr>
    </w:p>
    <w:p>
      <w:pPr>
        <w:ind w:left="880" w:right="20"/>
        <w:spacing w:after="0" w:line="245" w:lineRule="auto"/>
        <w:rPr>
          <w:sz w:val="20"/>
          <w:szCs w:val="20"/>
          <w:color w:val="auto"/>
        </w:rPr>
      </w:pPr>
      <w:r>
        <w:rPr>
          <w:rFonts w:ascii="Arial" w:cs="Arial" w:eastAsia="Arial" w:hAnsi="Arial"/>
          <w:sz w:val="13"/>
          <w:szCs w:val="13"/>
          <w:color w:val="auto"/>
        </w:rPr>
        <w:t>Amid the COVID-19 global pandemic, our priority has been the health, safety and well-being of our employees and our communities. To that end, we implemented robust safety measures for our workforce, including early adoption of personal protective equipment (“PPE”) for our employees, social distancing and work from home policies and contact tracing at our sites. Additionally, we recognized the contributions of our employees by providing premium pay for certain hourly essential workers, continued pay for employees who could not work from home and by providing care packages for employees in lockdown in the Hubei province of China.</w:t>
      </w:r>
    </w:p>
    <w:p>
      <w:pPr>
        <w:spacing w:after="0" w:line="200" w:lineRule="exact"/>
        <w:rPr>
          <w:sz w:val="20"/>
          <w:szCs w:val="20"/>
          <w:color w:val="auto"/>
        </w:rPr>
      </w:pPr>
    </w:p>
    <w:p>
      <w:pPr>
        <w:ind w:left="880" w:right="140"/>
        <w:spacing w:after="0" w:line="248" w:lineRule="auto"/>
        <w:rPr>
          <w:sz w:val="20"/>
          <w:szCs w:val="20"/>
          <w:color w:val="auto"/>
        </w:rPr>
      </w:pPr>
      <w:r>
        <w:rPr>
          <w:rFonts w:ascii="Arial" w:cs="Arial" w:eastAsia="Arial" w:hAnsi="Arial"/>
          <w:sz w:val="13"/>
          <w:szCs w:val="13"/>
          <w:color w:val="auto"/>
        </w:rPr>
        <w:t>We have also supported our communities by building face shields for medical personnel, having our procurement team source and ship PPE and making donations focused on COVID-19 and hunger relief funds. During this challenging and uncertain time, we remain committed to the health, safety and well-being of our employees and communities.</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23628F"/>
        </w:rPr>
        <w:t>Passing of Director Len Lauer</w:t>
      </w:r>
    </w:p>
    <w:p>
      <w:pPr>
        <w:spacing w:after="0" w:line="22" w:lineRule="exact"/>
        <w:rPr>
          <w:sz w:val="20"/>
          <w:szCs w:val="20"/>
          <w:color w:val="auto"/>
        </w:rPr>
      </w:pPr>
    </w:p>
    <w:p>
      <w:pPr>
        <w:jc w:val="both"/>
        <w:ind w:left="880" w:right="300"/>
        <w:spacing w:after="0" w:line="248" w:lineRule="auto"/>
        <w:rPr>
          <w:sz w:val="20"/>
          <w:szCs w:val="20"/>
          <w:color w:val="auto"/>
        </w:rPr>
      </w:pPr>
      <w:r>
        <w:rPr>
          <w:rFonts w:ascii="Arial" w:cs="Arial" w:eastAsia="Arial" w:hAnsi="Arial"/>
          <w:sz w:val="13"/>
          <w:szCs w:val="13"/>
          <w:color w:val="auto"/>
        </w:rPr>
        <w:t>Our former Lead Independent Director, Len Lauer, unexpectedly passed away in April 2020. After his passing, the Board appointed Kathleen A. Cote, Martin I. Cole and Stephanie A. Streeter to new leadership roles as the Lead Independent Director, Chair of the Compensation and Talent Committee and Chair of the Governance Committee, respectively. I was honored to serve alongside Len for the past 10 years and his presence on our Board is missed.</w:t>
      </w:r>
    </w:p>
    <w:p>
      <w:pPr>
        <w:spacing w:after="0" w:line="198" w:lineRule="exact"/>
        <w:rPr>
          <w:sz w:val="20"/>
          <w:szCs w:val="20"/>
          <w:color w:val="auto"/>
        </w:rPr>
      </w:pPr>
    </w:p>
    <w:p>
      <w:pPr>
        <w:ind w:left="880" w:right="660"/>
        <w:spacing w:after="0" w:line="258" w:lineRule="auto"/>
        <w:rPr>
          <w:sz w:val="20"/>
          <w:szCs w:val="20"/>
          <w:color w:val="auto"/>
        </w:rPr>
      </w:pPr>
      <w:r>
        <w:rPr>
          <w:rFonts w:ascii="Arial" w:cs="Arial" w:eastAsia="Arial" w:hAnsi="Arial"/>
          <w:sz w:val="13"/>
          <w:szCs w:val="13"/>
          <w:color w:val="auto"/>
        </w:rPr>
        <w:t>As we navigate through this unprecedented time, we remain optimistic about our ability to deliver long-term stockholder value. We recognize and greatly appreciate the trust and confidence you have placed in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121920</wp:posOffset>
            </wp:positionV>
            <wp:extent cx="960120" cy="3257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6012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880"/>
        <w:spacing w:after="0"/>
        <w:rPr>
          <w:sz w:val="20"/>
          <w:szCs w:val="20"/>
          <w:color w:val="auto"/>
        </w:rPr>
      </w:pPr>
      <w:r>
        <w:rPr>
          <w:rFonts w:ascii="Arial" w:cs="Arial" w:eastAsia="Arial" w:hAnsi="Arial"/>
          <w:sz w:val="13"/>
          <w:szCs w:val="13"/>
          <w:b w:val="1"/>
          <w:bCs w:val="1"/>
          <w:color w:val="23628F"/>
        </w:rPr>
        <w:t>MATTHEW E. MASSENGILL</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Independent Chairman of the Board</w:t>
      </w:r>
    </w:p>
    <w:p>
      <w:pPr>
        <w:spacing w:after="0" w:line="224"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3"/>
          <w:szCs w:val="13"/>
          <w:color w:val="23628F"/>
        </w:rPr>
        <w:t>2020 PROXY STATEMENT</w:t>
      </w:r>
      <w:r>
        <w:rPr>
          <w:sz w:val="20"/>
          <w:szCs w:val="20"/>
          <w:color w:val="auto"/>
        </w:rPr>
        <w:tab/>
      </w:r>
      <w:r>
        <w:rPr>
          <w:rFonts w:ascii="Arial" w:cs="Arial" w:eastAsia="Arial" w:hAnsi="Arial"/>
          <w:sz w:val="16"/>
          <w:szCs w:val="16"/>
          <w:b w:val="1"/>
          <w:bCs w:val="1"/>
          <w:color w:val="23628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167640</wp:posOffset>
            </wp:positionV>
            <wp:extent cx="715327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0600"/>
          </w:cols>
          <w:pgMar w:left="320" w:top="121" w:right="9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ind w:left="880"/>
        <w:spacing w:after="0"/>
        <w:rPr>
          <w:sz w:val="20"/>
          <w:szCs w:val="20"/>
          <w:color w:val="auto"/>
        </w:rPr>
      </w:pPr>
      <w:r>
        <w:rPr>
          <w:rFonts w:ascii="Arial" w:cs="Arial" w:eastAsia="Arial" w:hAnsi="Arial"/>
          <w:sz w:val="50"/>
          <w:szCs w:val="50"/>
          <w:b w:val="1"/>
          <w:bCs w:val="1"/>
          <w:color w:val="23628F"/>
        </w:rPr>
        <w:t>Letter from Our Lead</w:t>
      </w:r>
    </w:p>
    <w:p>
      <w:pPr>
        <w:spacing w:after="0" w:line="70" w:lineRule="exact"/>
        <w:rPr>
          <w:sz w:val="20"/>
          <w:szCs w:val="20"/>
          <w:color w:val="auto"/>
        </w:rPr>
      </w:pPr>
    </w:p>
    <w:p>
      <w:pPr>
        <w:ind w:left="880"/>
        <w:spacing w:after="0"/>
        <w:rPr>
          <w:sz w:val="20"/>
          <w:szCs w:val="20"/>
          <w:color w:val="auto"/>
        </w:rPr>
      </w:pPr>
      <w:r>
        <w:rPr>
          <w:rFonts w:ascii="Arial" w:cs="Arial" w:eastAsia="Arial" w:hAnsi="Arial"/>
          <w:sz w:val="50"/>
          <w:szCs w:val="50"/>
          <w:b w:val="1"/>
          <w:bCs w:val="1"/>
          <w:color w:val="23628F"/>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3455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45565"/>
                    </a:xfrm>
                    <a:prstGeom prst="rect">
                      <a:avLst/>
                    </a:prstGeom>
                    <a:noFill/>
                  </pic:spPr>
                </pic:pic>
              </a:graphicData>
            </a:graphic>
          </wp:anchor>
        </w:drawing>
      </w:r>
    </w:p>
    <w:p>
      <w:pPr>
        <w:spacing w:after="0" w:line="342" w:lineRule="exact"/>
        <w:rPr>
          <w:sz w:val="20"/>
          <w:szCs w:val="20"/>
          <w:color w:val="auto"/>
        </w:rPr>
      </w:pPr>
    </w:p>
    <w:p>
      <w:pPr>
        <w:ind w:left="880" w:right="2000"/>
        <w:spacing w:after="0" w:line="244" w:lineRule="auto"/>
        <w:rPr>
          <w:sz w:val="20"/>
          <w:szCs w:val="20"/>
          <w:color w:val="auto"/>
        </w:rPr>
      </w:pPr>
      <w:r>
        <w:rPr>
          <w:rFonts w:ascii="Arial" w:cs="Arial" w:eastAsia="Arial" w:hAnsi="Arial"/>
          <w:sz w:val="18"/>
          <w:szCs w:val="18"/>
          <w:b w:val="1"/>
          <w:bCs w:val="1"/>
          <w:color w:val="auto"/>
        </w:rPr>
        <w:t>“I am proud to represent a Board that is now comprised of an equal number of female and male directors. We remain committed to ensuring a balanced and effective Board with diverse viewpoints and skills, as well as deep industry expertise, that align with the needs of Western Digital.”</w:t>
      </w:r>
    </w:p>
    <w:p>
      <w:pPr>
        <w:spacing w:after="0" w:line="343" w:lineRule="exact"/>
        <w:rPr>
          <w:sz w:val="20"/>
          <w:szCs w:val="20"/>
          <w:color w:val="auto"/>
        </w:rPr>
      </w:pPr>
    </w:p>
    <w:p>
      <w:pPr>
        <w:ind w:left="880"/>
        <w:spacing w:after="0"/>
        <w:rPr>
          <w:sz w:val="20"/>
          <w:szCs w:val="20"/>
          <w:color w:val="auto"/>
        </w:rPr>
      </w:pPr>
      <w:r>
        <w:rPr>
          <w:rFonts w:ascii="Arial" w:cs="Arial" w:eastAsia="Arial" w:hAnsi="Arial"/>
          <w:sz w:val="27"/>
          <w:szCs w:val="27"/>
          <w:b w:val="1"/>
          <w:bCs w:val="1"/>
          <w:color w:val="A2ACB3"/>
        </w:rPr>
        <w:t>Dear Fellow Stockholders:</w:t>
      </w:r>
    </w:p>
    <w:p>
      <w:pPr>
        <w:sectPr>
          <w:pgSz w:w="11900" w:h="16838" w:orient="portrait"/>
          <w:cols w:equalWidth="0" w:num="1">
            <w:col w:w="10580"/>
          </w:cols>
          <w:pgMar w:left="320" w:top="121" w:right="999" w:bottom="1440" w:gutter="0" w:footer="0" w:header="0"/>
        </w:sectPr>
      </w:pPr>
    </w:p>
    <w:p>
      <w:pPr>
        <w:spacing w:after="0" w:line="278" w:lineRule="exact"/>
        <w:rPr>
          <w:sz w:val="20"/>
          <w:szCs w:val="20"/>
          <w:color w:val="auto"/>
        </w:rPr>
      </w:pPr>
    </w:p>
    <w:p>
      <w:pPr>
        <w:jc w:val="both"/>
        <w:ind w:left="880" w:right="160"/>
        <w:spacing w:after="0" w:line="248" w:lineRule="auto"/>
        <w:rPr>
          <w:sz w:val="20"/>
          <w:szCs w:val="20"/>
          <w:color w:val="auto"/>
        </w:rPr>
      </w:pPr>
      <w:r>
        <w:rPr>
          <w:rFonts w:ascii="Arial" w:cs="Arial" w:eastAsia="Arial" w:hAnsi="Arial"/>
          <w:sz w:val="13"/>
          <w:szCs w:val="13"/>
          <w:color w:val="auto"/>
        </w:rPr>
        <w:t>In April 2020, I was named Lead Independent Director of Western Digital’s Board of Directors. I am proud to continue the independent leadership that Len Lauer provided and would like to take this opportunity to share how our Board is addressing key areas of stockholder interest, as we approach our 2020 Annual Meeting.</w:t>
      </w:r>
    </w:p>
    <w:p>
      <w:pPr>
        <w:spacing w:after="0" w:line="166" w:lineRule="exact"/>
        <w:rPr>
          <w:sz w:val="20"/>
          <w:szCs w:val="20"/>
          <w:color w:val="auto"/>
        </w:rPr>
      </w:pPr>
    </w:p>
    <w:p>
      <w:pPr>
        <w:ind w:left="880" w:right="680"/>
        <w:spacing w:after="0" w:line="245" w:lineRule="auto"/>
        <w:rPr>
          <w:sz w:val="20"/>
          <w:szCs w:val="20"/>
          <w:color w:val="auto"/>
        </w:rPr>
      </w:pPr>
      <w:r>
        <w:rPr>
          <w:rFonts w:ascii="Arial" w:cs="Arial" w:eastAsia="Arial" w:hAnsi="Arial"/>
          <w:sz w:val="22"/>
          <w:szCs w:val="22"/>
          <w:b w:val="1"/>
          <w:bCs w:val="1"/>
          <w:color w:val="23628F"/>
        </w:rPr>
        <w:t>Continuous Board Refreshment and Current Composition Supports Long-Term Value Creation</w:t>
      </w:r>
    </w:p>
    <w:p>
      <w:pPr>
        <w:spacing w:after="0" w:line="1" w:lineRule="exact"/>
        <w:rPr>
          <w:sz w:val="20"/>
          <w:szCs w:val="20"/>
          <w:color w:val="auto"/>
        </w:rPr>
      </w:pPr>
    </w:p>
    <w:p>
      <w:pPr>
        <w:ind w:left="880" w:right="60"/>
        <w:spacing w:after="0" w:line="242" w:lineRule="auto"/>
        <w:rPr>
          <w:sz w:val="20"/>
          <w:szCs w:val="20"/>
          <w:color w:val="auto"/>
        </w:rPr>
      </w:pPr>
      <w:r>
        <w:rPr>
          <w:rFonts w:ascii="Arial" w:cs="Arial" w:eastAsia="Arial" w:hAnsi="Arial"/>
          <w:sz w:val="13"/>
          <w:szCs w:val="13"/>
          <w:color w:val="auto"/>
        </w:rPr>
        <w:t>Since 2018, we have added four new independent directors to our Board of Directors. Most recently, Paula A. Price rejoined our Board in June 2020 and was appointed as a member of the Audit Committee. Ms. Price previously served on our Board from July 2014 to February 2019 and brings more than 30 years of financial and operational experience at some of the world’s most prominent retail brands. With the addition of Ms. Price to our Board, I am proud to represent a Board that is now comprised of an equal number of female and male directors.</w:t>
      </w:r>
    </w:p>
    <w:p>
      <w:pPr>
        <w:spacing w:after="0" w:line="353" w:lineRule="exact"/>
        <w:rPr>
          <w:sz w:val="20"/>
          <w:szCs w:val="20"/>
          <w:color w:val="auto"/>
        </w:rPr>
      </w:pPr>
    </w:p>
    <w:p>
      <w:pPr>
        <w:ind w:left="880" w:right="20"/>
        <w:spacing w:after="0" w:line="258" w:lineRule="auto"/>
        <w:rPr>
          <w:sz w:val="20"/>
          <w:szCs w:val="20"/>
          <w:color w:val="auto"/>
        </w:rPr>
      </w:pPr>
      <w:r>
        <w:rPr>
          <w:rFonts w:ascii="Arial" w:cs="Arial" w:eastAsia="Arial" w:hAnsi="Arial"/>
          <w:sz w:val="13"/>
          <w:szCs w:val="13"/>
          <w:color w:val="auto"/>
        </w:rPr>
        <w:t>We remain committed to ensuring a balanced and effective Board with diverse viewpoints and skills, as well as deep industry expertise, that align with the needs of Western Digital.</w:t>
      </w:r>
    </w:p>
    <w:p>
      <w:pPr>
        <w:spacing w:after="0" w:line="160"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23628F"/>
        </w:rPr>
        <w:t>Commitment to Stockholder Engagement</w:t>
      </w:r>
    </w:p>
    <w:p>
      <w:pPr>
        <w:spacing w:after="0" w:line="22" w:lineRule="exact"/>
        <w:rPr>
          <w:sz w:val="20"/>
          <w:szCs w:val="20"/>
          <w:color w:val="auto"/>
        </w:rPr>
      </w:pPr>
    </w:p>
    <w:p>
      <w:pPr>
        <w:ind w:left="880" w:right="100"/>
        <w:spacing w:after="0" w:line="241" w:lineRule="auto"/>
        <w:rPr>
          <w:sz w:val="20"/>
          <w:szCs w:val="20"/>
          <w:color w:val="auto"/>
        </w:rPr>
      </w:pPr>
      <w:r>
        <w:rPr>
          <w:rFonts w:ascii="Arial" w:cs="Arial" w:eastAsia="Arial" w:hAnsi="Arial"/>
          <w:sz w:val="13"/>
          <w:szCs w:val="13"/>
          <w:color w:val="auto"/>
        </w:rPr>
        <w:t>As a continuation of our robust Board-driven stockholder engagement program, over the past year, we reached out to stockholders representing approximately 60% of shares outstanding. Our engagement team conducted calls with 14 of our top 25 stockholders, as well as several other holders, composed of investors with a variety of investment styles and geographic locations. The feedback and perspectives we gain during these discussions routinely informs changes to our executive compensation program and related disclosures, including a number of executive compensation program changes that are being implemented this year and which are discussed in detail in the Compensation Discussion and Analysis section of the Proxy Statement.</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23628F"/>
        </w:rPr>
        <w:t>Corporate Responsibility and Sustainability</w:t>
      </w:r>
    </w:p>
    <w:p>
      <w:pPr>
        <w:spacing w:after="0" w:line="22" w:lineRule="exact"/>
        <w:rPr>
          <w:sz w:val="20"/>
          <w:szCs w:val="20"/>
          <w:color w:val="auto"/>
        </w:rPr>
      </w:pPr>
    </w:p>
    <w:p>
      <w:pPr>
        <w:ind w:left="880" w:right="40"/>
        <w:spacing w:after="0" w:line="242" w:lineRule="auto"/>
        <w:rPr>
          <w:sz w:val="20"/>
          <w:szCs w:val="20"/>
          <w:color w:val="auto"/>
        </w:rPr>
      </w:pPr>
      <w:r>
        <w:rPr>
          <w:rFonts w:ascii="Arial" w:cs="Arial" w:eastAsia="Arial" w:hAnsi="Arial"/>
          <w:sz w:val="13"/>
          <w:szCs w:val="13"/>
          <w:color w:val="auto"/>
        </w:rPr>
        <w:t>Sound corporate responsibility in all aspects of our business is a focus of our Board, and sustainability has been a consistent theme throughout our recent investor conversations, including the addition of a new cycle of stockholder engagement this year specifically focused on sustainability topics. We believe that being an industry leader is not just about having talented employees or innovative products, but also about doing business the right way, every day. That is why our commitment to sound corporate responsibility is deeply rooted in all aspects of our business.</w:t>
      </w:r>
    </w:p>
    <w:p>
      <w:pPr>
        <w:spacing w:after="0" w:line="203" w:lineRule="exact"/>
        <w:rPr>
          <w:sz w:val="20"/>
          <w:szCs w:val="20"/>
          <w:color w:val="auto"/>
        </w:rPr>
      </w:pPr>
    </w:p>
    <w:p>
      <w:pPr>
        <w:ind w:left="880"/>
        <w:spacing w:after="0" w:line="243" w:lineRule="auto"/>
        <w:rPr>
          <w:sz w:val="20"/>
          <w:szCs w:val="20"/>
          <w:color w:val="auto"/>
        </w:rPr>
      </w:pPr>
      <w:r>
        <w:rPr>
          <w:rFonts w:ascii="Arial" w:cs="Arial" w:eastAsia="Arial" w:hAnsi="Arial"/>
          <w:sz w:val="13"/>
          <w:szCs w:val="13"/>
          <w:color w:val="auto"/>
        </w:rPr>
        <w:t>In August 2020, we published our 2020 Sustainability Report, which was based on an updated 2020 materiality assessment as well as strategic priorities. This is our first report that aligns with standards set by both the Sustainability Accounting Standards Board (SASB) and Global Reporting Initiative (GRI). Highlights from our 2020 Sustainability Report can be found on page 29 of the Proxy Statement, while we also invite you to review the full report on our Corporate Sustainability page at www.westerndigital.com.</w:t>
      </w:r>
    </w:p>
    <w:p>
      <w:pPr>
        <w:spacing w:after="0" w:line="202" w:lineRule="exact"/>
        <w:rPr>
          <w:sz w:val="20"/>
          <w:szCs w:val="20"/>
          <w:color w:val="auto"/>
        </w:rPr>
      </w:pPr>
    </w:p>
    <w:p>
      <w:pPr>
        <w:ind w:left="880" w:right="300"/>
        <w:spacing w:after="0" w:line="248" w:lineRule="auto"/>
        <w:rPr>
          <w:sz w:val="20"/>
          <w:szCs w:val="20"/>
          <w:color w:val="auto"/>
        </w:rPr>
      </w:pPr>
      <w:r>
        <w:rPr>
          <w:rFonts w:ascii="Arial" w:cs="Arial" w:eastAsia="Arial" w:hAnsi="Arial"/>
          <w:sz w:val="13"/>
          <w:szCs w:val="13"/>
          <w:color w:val="auto"/>
        </w:rPr>
        <w:t>On behalf of our Board, we appreciate our stockholders’ feedback and very much look forward to our continued dialogue. We are excited about the future of Western Digital, and we thank you for the trust you have placed in our Board.</w:t>
      </w:r>
    </w:p>
    <w:p>
      <w:pPr>
        <w:spacing w:after="0" w:line="198" w:lineRule="exact"/>
        <w:rPr>
          <w:sz w:val="20"/>
          <w:szCs w:val="20"/>
          <w:color w:val="auto"/>
        </w:rPr>
      </w:pPr>
    </w:p>
    <w:p>
      <w:pPr>
        <w:ind w:left="880"/>
        <w:spacing w:after="0"/>
        <w:rPr>
          <w:sz w:val="20"/>
          <w:szCs w:val="20"/>
          <w:color w:val="auto"/>
        </w:rPr>
      </w:pPr>
      <w:r>
        <w:rPr>
          <w:rFonts w:ascii="Arial" w:cs="Arial" w:eastAsia="Arial" w:hAnsi="Arial"/>
          <w:sz w:val="13"/>
          <w:szCs w:val="13"/>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137160</wp:posOffset>
            </wp:positionV>
            <wp:extent cx="625475" cy="2660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5475" cy="266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ind w:right="500"/>
        <w:spacing w:after="0" w:line="284" w:lineRule="auto"/>
        <w:rPr>
          <w:sz w:val="20"/>
          <w:szCs w:val="20"/>
          <w:color w:val="auto"/>
        </w:rPr>
      </w:pPr>
      <w:r>
        <w:rPr>
          <w:rFonts w:ascii="Arial" w:cs="Arial" w:eastAsia="Arial" w:hAnsi="Arial"/>
          <w:sz w:val="13"/>
          <w:szCs w:val="13"/>
          <w:b w:val="1"/>
          <w:bCs w:val="1"/>
          <w:color w:val="23628F"/>
        </w:rPr>
        <w:t>The duties of our Lead Independent Director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-213360</wp:posOffset>
            </wp:positionV>
            <wp:extent cx="8255" cy="54178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5417820"/>
                    </a:xfrm>
                    <a:prstGeom prst="rect">
                      <a:avLst/>
                    </a:prstGeom>
                    <a:noFill/>
                  </pic:spPr>
                </pic:pic>
              </a:graphicData>
            </a:graphic>
          </wp:anchor>
        </w:drawing>
      </w:r>
    </w:p>
    <w:p>
      <w:pPr>
        <w:spacing w:after="0" w:line="155" w:lineRule="exact"/>
        <w:rPr>
          <w:sz w:val="20"/>
          <w:szCs w:val="20"/>
          <w:color w:val="auto"/>
        </w:rPr>
      </w:pPr>
    </w:p>
    <w:p>
      <w:pPr>
        <w:ind w:left="260" w:right="140" w:hanging="231"/>
        <w:spacing w:after="0" w:line="258" w:lineRule="auto"/>
        <w:tabs>
          <w:tab w:leader="none" w:pos="237" w:val="left"/>
        </w:tabs>
        <w:numPr>
          <w:ilvl w:val="0"/>
          <w:numId w:val="4"/>
        </w:numPr>
        <w:rPr>
          <w:rFonts w:ascii="Arial" w:cs="Arial" w:eastAsia="Arial" w:hAnsi="Arial"/>
          <w:sz w:val="13"/>
          <w:szCs w:val="13"/>
          <w:color w:val="61C4AF"/>
        </w:rPr>
      </w:pPr>
      <w:r>
        <w:rPr>
          <w:rFonts w:ascii="Arial" w:cs="Arial" w:eastAsia="Arial" w:hAnsi="Arial"/>
          <w:sz w:val="13"/>
          <w:szCs w:val="13"/>
          <w:color w:val="23628F"/>
        </w:rPr>
        <w:t>Acting as a liaison between our independent directors and management</w:t>
      </w:r>
    </w:p>
    <w:p>
      <w:pPr>
        <w:spacing w:after="0" w:line="43" w:lineRule="exact"/>
        <w:rPr>
          <w:rFonts w:ascii="Arial" w:cs="Arial" w:eastAsia="Arial" w:hAnsi="Arial"/>
          <w:sz w:val="13"/>
          <w:szCs w:val="13"/>
          <w:color w:val="61C4AF"/>
        </w:rPr>
      </w:pPr>
    </w:p>
    <w:p>
      <w:pPr>
        <w:ind w:left="260" w:right="220" w:hanging="231"/>
        <w:spacing w:after="0" w:line="248" w:lineRule="auto"/>
        <w:tabs>
          <w:tab w:leader="none" w:pos="237" w:val="left"/>
        </w:tabs>
        <w:numPr>
          <w:ilvl w:val="0"/>
          <w:numId w:val="4"/>
        </w:numPr>
        <w:rPr>
          <w:rFonts w:ascii="Arial" w:cs="Arial" w:eastAsia="Arial" w:hAnsi="Arial"/>
          <w:sz w:val="13"/>
          <w:szCs w:val="13"/>
          <w:color w:val="61C4AF"/>
        </w:rPr>
      </w:pPr>
      <w:r>
        <w:rPr>
          <w:rFonts w:ascii="Arial" w:cs="Arial" w:eastAsia="Arial" w:hAnsi="Arial"/>
          <w:sz w:val="13"/>
          <w:szCs w:val="13"/>
          <w:color w:val="23628F"/>
        </w:rPr>
        <w:t>Assisting our Chairman of the Board in establishing the agenda for Board meetings</w:t>
      </w:r>
    </w:p>
    <w:p>
      <w:pPr>
        <w:spacing w:after="0" w:line="63" w:lineRule="exact"/>
        <w:rPr>
          <w:rFonts w:ascii="Arial" w:cs="Arial" w:eastAsia="Arial" w:hAnsi="Arial"/>
          <w:sz w:val="13"/>
          <w:szCs w:val="13"/>
          <w:color w:val="61C4AF"/>
        </w:rPr>
      </w:pPr>
    </w:p>
    <w:p>
      <w:pPr>
        <w:jc w:val="both"/>
        <w:ind w:left="260" w:hanging="231"/>
        <w:spacing w:after="0" w:line="248" w:lineRule="auto"/>
        <w:tabs>
          <w:tab w:leader="none" w:pos="237" w:val="left"/>
        </w:tabs>
        <w:numPr>
          <w:ilvl w:val="0"/>
          <w:numId w:val="4"/>
        </w:numPr>
        <w:rPr>
          <w:rFonts w:ascii="Arial" w:cs="Arial" w:eastAsia="Arial" w:hAnsi="Arial"/>
          <w:sz w:val="13"/>
          <w:szCs w:val="13"/>
          <w:color w:val="61C4AF"/>
        </w:rPr>
      </w:pPr>
      <w:r>
        <w:rPr>
          <w:rFonts w:ascii="Arial" w:cs="Arial" w:eastAsia="Arial" w:hAnsi="Arial"/>
          <w:sz w:val="13"/>
          <w:szCs w:val="13"/>
          <w:color w:val="23628F"/>
        </w:rPr>
        <w:t>Coordinating the agenda for, and chairing, the executive sessions of our independent directors</w:t>
      </w:r>
    </w:p>
    <w:p>
      <w:pPr>
        <w:spacing w:after="0" w:line="49" w:lineRule="exact"/>
        <w:rPr>
          <w:rFonts w:ascii="Arial" w:cs="Arial" w:eastAsia="Arial" w:hAnsi="Arial"/>
          <w:sz w:val="13"/>
          <w:szCs w:val="13"/>
          <w:color w:val="61C4AF"/>
        </w:rPr>
      </w:pPr>
    </w:p>
    <w:p>
      <w:pPr>
        <w:ind w:left="260" w:right="60" w:hanging="231"/>
        <w:spacing w:after="0" w:line="258" w:lineRule="auto"/>
        <w:tabs>
          <w:tab w:leader="none" w:pos="237" w:val="left"/>
        </w:tabs>
        <w:numPr>
          <w:ilvl w:val="0"/>
          <w:numId w:val="4"/>
        </w:numPr>
        <w:rPr>
          <w:rFonts w:ascii="Arial" w:cs="Arial" w:eastAsia="Arial" w:hAnsi="Arial"/>
          <w:sz w:val="13"/>
          <w:szCs w:val="13"/>
          <w:color w:val="61C4AF"/>
        </w:rPr>
      </w:pPr>
      <w:r>
        <w:rPr>
          <w:rFonts w:ascii="Arial" w:cs="Arial" w:eastAsia="Arial" w:hAnsi="Arial"/>
          <w:sz w:val="13"/>
          <w:szCs w:val="13"/>
          <w:color w:val="23628F"/>
        </w:rPr>
        <w:t>Presiding at any Board meetings at which our Chairman is not present</w:t>
      </w:r>
    </w:p>
    <w:p>
      <w:pPr>
        <w:spacing w:after="0" w:line="43" w:lineRule="exact"/>
        <w:rPr>
          <w:rFonts w:ascii="Arial" w:cs="Arial" w:eastAsia="Arial" w:hAnsi="Arial"/>
          <w:sz w:val="13"/>
          <w:szCs w:val="13"/>
          <w:color w:val="61C4AF"/>
        </w:rPr>
      </w:pPr>
    </w:p>
    <w:p>
      <w:pPr>
        <w:ind w:left="260" w:right="100" w:hanging="231"/>
        <w:spacing w:after="0" w:line="258" w:lineRule="auto"/>
        <w:tabs>
          <w:tab w:leader="none" w:pos="237" w:val="left"/>
        </w:tabs>
        <w:numPr>
          <w:ilvl w:val="0"/>
          <w:numId w:val="4"/>
        </w:numPr>
        <w:rPr>
          <w:rFonts w:ascii="Arial" w:cs="Arial" w:eastAsia="Arial" w:hAnsi="Arial"/>
          <w:sz w:val="13"/>
          <w:szCs w:val="13"/>
          <w:color w:val="61C4AF"/>
        </w:rPr>
      </w:pPr>
      <w:r>
        <w:rPr>
          <w:rFonts w:ascii="Arial" w:cs="Arial" w:eastAsia="Arial" w:hAnsi="Arial"/>
          <w:sz w:val="13"/>
          <w:szCs w:val="13"/>
          <w:color w:val="23628F"/>
        </w:rPr>
        <w:t>Overseeing our stockholder engagement efforts</w:t>
      </w:r>
    </w:p>
    <w:p>
      <w:pPr>
        <w:spacing w:after="0" w:line="56" w:lineRule="exact"/>
        <w:rPr>
          <w:rFonts w:ascii="Arial" w:cs="Arial" w:eastAsia="Arial" w:hAnsi="Arial"/>
          <w:sz w:val="13"/>
          <w:szCs w:val="13"/>
          <w:color w:val="61C4AF"/>
        </w:rPr>
      </w:pPr>
    </w:p>
    <w:p>
      <w:pPr>
        <w:ind w:left="260" w:right="720" w:hanging="231"/>
        <w:spacing w:after="0" w:line="258" w:lineRule="auto"/>
        <w:tabs>
          <w:tab w:leader="none" w:pos="237" w:val="left"/>
        </w:tabs>
        <w:numPr>
          <w:ilvl w:val="0"/>
          <w:numId w:val="4"/>
        </w:numPr>
        <w:rPr>
          <w:rFonts w:ascii="Arial" w:cs="Arial" w:eastAsia="Arial" w:hAnsi="Arial"/>
          <w:sz w:val="13"/>
          <w:szCs w:val="13"/>
          <w:color w:val="61C4AF"/>
        </w:rPr>
      </w:pPr>
      <w:r>
        <w:rPr>
          <w:rFonts w:ascii="Arial" w:cs="Arial" w:eastAsia="Arial" w:hAnsi="Arial"/>
          <w:sz w:val="13"/>
          <w:szCs w:val="13"/>
          <w:color w:val="23628F"/>
        </w:rPr>
        <w:t>Engaging with stockholders as appropriate</w:t>
      </w:r>
    </w:p>
    <w:p>
      <w:pPr>
        <w:spacing w:after="0" w:line="43" w:lineRule="exact"/>
        <w:rPr>
          <w:rFonts w:ascii="Arial" w:cs="Arial" w:eastAsia="Arial" w:hAnsi="Arial"/>
          <w:sz w:val="13"/>
          <w:szCs w:val="13"/>
          <w:color w:val="61C4AF"/>
        </w:rPr>
      </w:pPr>
    </w:p>
    <w:p>
      <w:pPr>
        <w:ind w:left="260" w:right="120" w:hanging="231"/>
        <w:spacing w:after="0" w:line="258" w:lineRule="auto"/>
        <w:tabs>
          <w:tab w:leader="none" w:pos="237" w:val="left"/>
        </w:tabs>
        <w:numPr>
          <w:ilvl w:val="0"/>
          <w:numId w:val="4"/>
        </w:numPr>
        <w:rPr>
          <w:rFonts w:ascii="Arial" w:cs="Arial" w:eastAsia="Arial" w:hAnsi="Arial"/>
          <w:sz w:val="13"/>
          <w:szCs w:val="13"/>
          <w:color w:val="61C4AF"/>
        </w:rPr>
      </w:pPr>
      <w:r>
        <w:rPr>
          <w:rFonts w:ascii="Arial" w:cs="Arial" w:eastAsia="Arial" w:hAnsi="Arial"/>
          <w:sz w:val="13"/>
          <w:szCs w:val="13"/>
          <w:color w:val="23628F"/>
        </w:rPr>
        <w:t>Participating in the performance evaluation of our Chief Executive Officer</w:t>
      </w:r>
    </w:p>
    <w:p>
      <w:pPr>
        <w:spacing w:after="0" w:line="4240" w:lineRule="exact"/>
        <w:rPr>
          <w:sz w:val="20"/>
          <w:szCs w:val="20"/>
          <w:color w:val="auto"/>
        </w:rPr>
      </w:pPr>
    </w:p>
    <w:p>
      <w:pPr>
        <w:sectPr>
          <w:pgSz w:w="11900" w:h="16838" w:orient="portrait"/>
          <w:cols w:equalWidth="0" w:num="2">
            <w:col w:w="7480" w:space="320"/>
            <w:col w:w="2780"/>
          </w:cols>
          <w:pgMar w:left="320" w:top="121"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880"/>
        <w:spacing w:after="0"/>
        <w:rPr>
          <w:sz w:val="20"/>
          <w:szCs w:val="20"/>
          <w:color w:val="auto"/>
        </w:rPr>
      </w:pPr>
      <w:r>
        <w:rPr>
          <w:rFonts w:ascii="Arial" w:cs="Arial" w:eastAsia="Arial" w:hAnsi="Arial"/>
          <w:sz w:val="13"/>
          <w:szCs w:val="13"/>
          <w:b w:val="1"/>
          <w:bCs w:val="1"/>
          <w:color w:val="23628F"/>
        </w:rPr>
        <w:t>KATHLEEN A. COTE</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Lead Independent Director</w:t>
      </w:r>
    </w:p>
    <w:p>
      <w:pPr>
        <w:spacing w:after="0" w:line="238" w:lineRule="exact"/>
        <w:rPr>
          <w:sz w:val="20"/>
          <w:szCs w:val="20"/>
          <w:color w:val="auto"/>
        </w:rPr>
      </w:pPr>
    </w:p>
    <w:p>
      <w:pPr>
        <w:ind w:left="1220" w:hanging="348"/>
        <w:spacing w:after="0"/>
        <w:tabs>
          <w:tab w:leader="none" w:pos="1220" w:val="left"/>
        </w:tabs>
        <w:numPr>
          <w:ilvl w:val="0"/>
          <w:numId w:val="5"/>
        </w:numPr>
        <w:rPr>
          <w:rFonts w:ascii="Arial" w:cs="Arial" w:eastAsia="Arial" w:hAnsi="Arial"/>
          <w:sz w:val="18"/>
          <w:szCs w:val="18"/>
          <w:b w:val="1"/>
          <w:bCs w:val="1"/>
          <w:color w:val="23628F"/>
        </w:rPr>
      </w:pPr>
      <w:r>
        <w:rPr>
          <w:rFonts w:ascii="Arial" w:cs="Arial" w:eastAsia="Arial" w:hAnsi="Arial"/>
          <w:sz w:val="13"/>
          <w:szCs w:val="13"/>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532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0580"/>
          </w:cols>
          <w:pgMar w:left="320" w:top="121" w:right="99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Arial" w:cs="Arial" w:eastAsia="Arial" w:hAnsi="Arial"/>
          <w:sz w:val="50"/>
          <w:szCs w:val="50"/>
          <w:b w:val="1"/>
          <w:bCs w:val="1"/>
          <w:color w:val="23628F"/>
        </w:rPr>
        <w:t>Notice of Annual Meeting of Stockholders</w:t>
      </w:r>
    </w:p>
    <w:p>
      <w:pPr>
        <w:spacing w:after="0" w:line="65" w:lineRule="exact"/>
        <w:rPr>
          <w:sz w:val="20"/>
          <w:szCs w:val="20"/>
          <w:color w:val="auto"/>
        </w:rPr>
      </w:pPr>
    </w:p>
    <w:p>
      <w:pPr>
        <w:spacing w:after="0"/>
        <w:rPr>
          <w:sz w:val="20"/>
          <w:szCs w:val="20"/>
          <w:color w:val="auto"/>
        </w:rPr>
      </w:pPr>
      <w:r>
        <w:rPr>
          <w:rFonts w:ascii="Arial" w:cs="Arial" w:eastAsia="Arial" w:hAnsi="Arial"/>
          <w:sz w:val="13"/>
          <w:szCs w:val="13"/>
          <w:color w:val="auto"/>
        </w:rPr>
        <w:t>Western Digital Corporation</w:t>
      </w:r>
    </w:p>
    <w:p>
      <w:pPr>
        <w:spacing w:after="0"/>
        <w:rPr>
          <w:sz w:val="20"/>
          <w:szCs w:val="20"/>
          <w:color w:val="auto"/>
        </w:rPr>
      </w:pPr>
      <w:r>
        <w:rPr>
          <w:rFonts w:ascii="Arial" w:cs="Arial" w:eastAsia="Arial" w:hAnsi="Arial"/>
          <w:sz w:val="13"/>
          <w:szCs w:val="13"/>
          <w:color w:val="auto"/>
        </w:rPr>
        <w:t>5601 Great Oaks Parkway, San Jose, California 95119</w:t>
      </w:r>
    </w:p>
    <w:p>
      <w:pPr>
        <w:sectPr>
          <w:pgSz w:w="11900" w:h="16838" w:orient="portrait"/>
          <w:cols w:equalWidth="0" w:num="1">
            <w:col w:w="11240"/>
          </w:cols>
          <w:pgMar w:left="320" w:top="121" w:right="339" w:bottom="1440" w:gutter="0" w:footer="0" w:header="0"/>
        </w:sectPr>
      </w:pP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23628F"/>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-70485</wp:posOffset>
            </wp:positionV>
            <wp:extent cx="299720" cy="3175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99720" cy="31750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November 18,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6802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23628F"/>
        </w:rPr>
        <w:t>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-139065</wp:posOffset>
            </wp:positionV>
            <wp:extent cx="299720" cy="3003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99720" cy="3003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8:00 a.m. Pacific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6802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23628F"/>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-139065</wp:posOffset>
            </wp:positionV>
            <wp:extent cx="274320" cy="3086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4320" cy="30861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Our annual meeting will be a</w:t>
      </w:r>
    </w:p>
    <w:p>
      <w:pPr>
        <w:spacing w:after="0"/>
        <w:rPr>
          <w:sz w:val="20"/>
          <w:szCs w:val="20"/>
          <w:color w:val="auto"/>
        </w:rPr>
      </w:pPr>
      <w:r>
        <w:rPr>
          <w:rFonts w:ascii="Arial" w:cs="Arial" w:eastAsia="Arial" w:hAnsi="Arial"/>
          <w:sz w:val="13"/>
          <w:szCs w:val="13"/>
          <w:color w:val="auto"/>
        </w:rPr>
        <w:t>completely virtual meeting of</w:t>
      </w:r>
    </w:p>
    <w:p>
      <w:pPr>
        <w:spacing w:after="0"/>
        <w:rPr>
          <w:sz w:val="20"/>
          <w:szCs w:val="20"/>
          <w:color w:val="auto"/>
        </w:rPr>
      </w:pPr>
      <w:r>
        <w:rPr>
          <w:rFonts w:ascii="Arial" w:cs="Arial" w:eastAsia="Arial" w:hAnsi="Arial"/>
          <w:sz w:val="13"/>
          <w:szCs w:val="13"/>
          <w:color w:val="auto"/>
        </w:rPr>
        <w:t>stockholders. To participate, vote</w:t>
      </w:r>
    </w:p>
    <w:p>
      <w:pPr>
        <w:spacing w:after="0"/>
        <w:rPr>
          <w:sz w:val="20"/>
          <w:szCs w:val="20"/>
          <w:color w:val="auto"/>
        </w:rPr>
      </w:pPr>
      <w:r>
        <w:rPr>
          <w:rFonts w:ascii="Arial" w:cs="Arial" w:eastAsia="Arial" w:hAnsi="Arial"/>
          <w:sz w:val="13"/>
          <w:szCs w:val="13"/>
          <w:color w:val="auto"/>
        </w:rPr>
        <w:t>or submit questions during the</w:t>
      </w:r>
    </w:p>
    <w:p>
      <w:pPr>
        <w:spacing w:after="0"/>
        <w:rPr>
          <w:sz w:val="20"/>
          <w:szCs w:val="20"/>
          <w:color w:val="auto"/>
        </w:rPr>
      </w:pPr>
      <w:r>
        <w:rPr>
          <w:rFonts w:ascii="Arial" w:cs="Arial" w:eastAsia="Arial" w:hAnsi="Arial"/>
          <w:sz w:val="13"/>
          <w:szCs w:val="13"/>
          <w:color w:val="auto"/>
        </w:rPr>
        <w:t>annual meeting via live webcast,</w:t>
      </w:r>
    </w:p>
    <w:p>
      <w:pPr>
        <w:spacing w:after="0"/>
        <w:rPr>
          <w:sz w:val="20"/>
          <w:szCs w:val="20"/>
          <w:color w:val="auto"/>
        </w:rPr>
      </w:pPr>
      <w:r>
        <w:rPr>
          <w:rFonts w:ascii="Arial" w:cs="Arial" w:eastAsia="Arial" w:hAnsi="Arial"/>
          <w:sz w:val="13"/>
          <w:szCs w:val="13"/>
          <w:color w:val="auto"/>
        </w:rPr>
        <w:t>please visit:</w:t>
      </w:r>
    </w:p>
    <w:p>
      <w:pPr>
        <w:spacing w:after="0"/>
        <w:rPr>
          <w:sz w:val="20"/>
          <w:szCs w:val="20"/>
          <w:color w:val="auto"/>
        </w:rPr>
      </w:pPr>
      <w:r>
        <w:rPr>
          <w:rFonts w:ascii="Arial" w:cs="Arial" w:eastAsia="Arial" w:hAnsi="Arial"/>
          <w:sz w:val="13"/>
          <w:szCs w:val="13"/>
          <w:color w:val="auto"/>
        </w:rPr>
        <w:t>www.virtualshareholdermeeting.</w:t>
      </w:r>
    </w:p>
    <w:p>
      <w:pPr>
        <w:spacing w:after="0"/>
        <w:rPr>
          <w:sz w:val="20"/>
          <w:szCs w:val="20"/>
          <w:color w:val="auto"/>
        </w:rPr>
      </w:pPr>
      <w:r>
        <w:rPr>
          <w:rFonts w:ascii="Arial" w:cs="Arial" w:eastAsia="Arial" w:hAnsi="Arial"/>
          <w:sz w:val="13"/>
          <w:szCs w:val="13"/>
          <w:color w:val="auto"/>
        </w:rPr>
        <w:t>com/WDC2020.</w:t>
      </w:r>
    </w:p>
    <w:p>
      <w:pPr>
        <w:ind w:right="440"/>
        <w:spacing w:after="0" w:line="243" w:lineRule="auto"/>
        <w:rPr>
          <w:sz w:val="20"/>
          <w:szCs w:val="20"/>
          <w:color w:val="auto"/>
        </w:rPr>
      </w:pPr>
      <w:r>
        <w:rPr>
          <w:rFonts w:ascii="Arial" w:cs="Arial" w:eastAsia="Arial" w:hAnsi="Arial"/>
          <w:sz w:val="13"/>
          <w:szCs w:val="13"/>
          <w:color w:val="auto"/>
        </w:rPr>
        <w:t>You will not be able to attend the annual meeting in person. Please see “Virtual Annual Meeting” on the following page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68021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23628F"/>
        </w:rPr>
        <w:t>Who can vote</w:t>
      </w:r>
    </w:p>
    <w:p>
      <w:pPr>
        <w:spacing w:after="0" w:line="22" w:lineRule="exact"/>
        <w:rPr>
          <w:sz w:val="20"/>
          <w:szCs w:val="20"/>
          <w:color w:val="auto"/>
        </w:rPr>
      </w:pPr>
    </w:p>
    <w:p>
      <w:pPr>
        <w:spacing w:after="0" w:line="243" w:lineRule="auto"/>
        <w:rPr>
          <w:sz w:val="20"/>
          <w:szCs w:val="20"/>
          <w:color w:val="auto"/>
        </w:rPr>
      </w:pPr>
      <w:r>
        <w:rPr>
          <w:rFonts w:ascii="Arial" w:cs="Arial" w:eastAsia="Arial" w:hAnsi="Arial"/>
          <w:sz w:val="13"/>
          <w:szCs w:val="13"/>
          <w:color w:val="auto"/>
        </w:rPr>
        <w:t xml:space="preserve">Stockholders of record at the close of business on </w:t>
      </w:r>
      <w:r>
        <w:rPr>
          <w:rFonts w:ascii="Arial" w:cs="Arial" w:eastAsia="Arial" w:hAnsi="Arial"/>
          <w:sz w:val="13"/>
          <w:szCs w:val="13"/>
          <w:b w:val="1"/>
          <w:bCs w:val="1"/>
          <w:color w:val="auto"/>
        </w:rPr>
        <w:t>September 21, 2020</w:t>
      </w:r>
      <w:r>
        <w:rPr>
          <w:rFonts w:ascii="Arial" w:cs="Arial" w:eastAsia="Arial" w:hAnsi="Arial"/>
          <w:sz w:val="13"/>
          <w:szCs w:val="13"/>
          <w:color w:val="auto"/>
        </w:rPr>
        <w:t xml:space="preserve"> will be entitled to notice of and to vote at our annual meeting and any adjournments or postponements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6802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left="7"/>
        <w:spacing w:after="0"/>
        <w:rPr>
          <w:sz w:val="20"/>
          <w:szCs w:val="20"/>
          <w:color w:val="auto"/>
        </w:rPr>
      </w:pPr>
      <w:r>
        <w:rPr>
          <w:rFonts w:ascii="Arial" w:cs="Arial" w:eastAsia="Arial" w:hAnsi="Arial"/>
          <w:sz w:val="22"/>
          <w:szCs w:val="22"/>
          <w:b w:val="1"/>
          <w:bCs w:val="1"/>
          <w:color w:val="23628F"/>
        </w:rPr>
        <w:t>Matters to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wp:posOffset>
            </wp:positionH>
            <wp:positionV relativeFrom="paragraph">
              <wp:posOffset>-139065</wp:posOffset>
            </wp:positionV>
            <wp:extent cx="8890" cy="32486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3248660"/>
                    </a:xfrm>
                    <a:prstGeom prst="rect">
                      <a:avLst/>
                    </a:prstGeom>
                    <a:noFill/>
                  </pic:spPr>
                </pic:pic>
              </a:graphicData>
            </a:graphic>
          </wp:anchor>
        </w:drawing>
      </w:r>
    </w:p>
    <w:p>
      <w:pPr>
        <w:spacing w:after="0" w:line="43" w:lineRule="exact"/>
        <w:rPr>
          <w:sz w:val="20"/>
          <w:szCs w:val="20"/>
          <w:color w:val="auto"/>
        </w:rPr>
      </w:pPr>
    </w:p>
    <w:tbl>
      <w:tblPr>
        <w:tblLayout w:type="fixed"/>
        <w:tblInd w:w="7" w:type="dxa"/>
        <w:tblCellMar>
          <w:top w:w="0" w:type="dxa"/>
          <w:left w:w="0" w:type="dxa"/>
          <w:bottom w:w="0" w:type="dxa"/>
          <w:right w:w="0" w:type="dxa"/>
        </w:tblCellMar>
      </w:tblPr>
      <w:tr>
        <w:trPr>
          <w:trHeight w:val="199"/>
        </w:trPr>
        <w:tc>
          <w:tcPr>
            <w:tcW w:w="6820" w:type="dxa"/>
            <w:vAlign w:val="bottom"/>
            <w:tcBorders>
              <w:right w:val="single" w:sz="8" w:color="A0AAB2"/>
            </w:tcBorders>
          </w:tcPr>
          <w:p>
            <w:pPr>
              <w:spacing w:after="0"/>
              <w:rPr>
                <w:sz w:val="17"/>
                <w:szCs w:val="17"/>
                <w:color w:val="auto"/>
              </w:rPr>
            </w:pPr>
          </w:p>
        </w:tc>
        <w:tc>
          <w:tcPr>
            <w:tcW w:w="1300" w:type="dxa"/>
            <w:vAlign w:val="bottom"/>
          </w:tcPr>
          <w:p>
            <w:pPr>
              <w:jc w:val="center"/>
              <w:ind w:left="93"/>
              <w:spacing w:after="0"/>
              <w:rPr>
                <w:sz w:val="20"/>
                <w:szCs w:val="20"/>
                <w:color w:val="auto"/>
              </w:rPr>
            </w:pPr>
            <w:r>
              <w:rPr>
                <w:rFonts w:ascii="Arial" w:cs="Arial" w:eastAsia="Arial" w:hAnsi="Arial"/>
                <w:sz w:val="13"/>
                <w:szCs w:val="13"/>
                <w:b w:val="1"/>
                <w:bCs w:val="1"/>
                <w:color w:val="auto"/>
              </w:rPr>
              <w:t>Board</w:t>
            </w:r>
          </w:p>
        </w:tc>
      </w:tr>
      <w:tr>
        <w:trPr>
          <w:trHeight w:val="178"/>
        </w:trPr>
        <w:tc>
          <w:tcPr>
            <w:tcW w:w="6820" w:type="dxa"/>
            <w:vAlign w:val="bottom"/>
            <w:tcBorders>
              <w:right w:val="single" w:sz="8" w:color="A0AAB2"/>
            </w:tcBorders>
          </w:tcPr>
          <w:p>
            <w:pPr>
              <w:spacing w:after="0"/>
              <w:rPr>
                <w:sz w:val="20"/>
                <w:szCs w:val="20"/>
                <w:color w:val="auto"/>
              </w:rPr>
            </w:pPr>
            <w:r>
              <w:rPr>
                <w:rFonts w:ascii="Arial" w:cs="Arial" w:eastAsia="Arial" w:hAnsi="Arial"/>
                <w:sz w:val="13"/>
                <w:szCs w:val="13"/>
                <w:b w:val="1"/>
                <w:bCs w:val="1"/>
                <w:color w:val="auto"/>
              </w:rPr>
              <w:t>Proposal</w:t>
            </w:r>
          </w:p>
        </w:tc>
        <w:tc>
          <w:tcPr>
            <w:tcW w:w="1300" w:type="dxa"/>
            <w:vAlign w:val="bottom"/>
          </w:tcPr>
          <w:p>
            <w:pPr>
              <w:jc w:val="center"/>
              <w:ind w:left="93"/>
              <w:spacing w:after="0"/>
              <w:rPr>
                <w:sz w:val="20"/>
                <w:szCs w:val="20"/>
                <w:color w:val="auto"/>
              </w:rPr>
            </w:pPr>
            <w:r>
              <w:rPr>
                <w:rFonts w:ascii="Arial" w:cs="Arial" w:eastAsia="Arial" w:hAnsi="Arial"/>
                <w:sz w:val="13"/>
                <w:szCs w:val="13"/>
                <w:b w:val="1"/>
                <w:bCs w:val="1"/>
                <w:color w:val="auto"/>
              </w:rPr>
              <w:t>Recommendation</w:t>
            </w:r>
          </w:p>
        </w:tc>
      </w:tr>
      <w:tr>
        <w:trPr>
          <w:trHeight w:val="54"/>
        </w:trPr>
        <w:tc>
          <w:tcPr>
            <w:tcW w:w="6820" w:type="dxa"/>
            <w:vAlign w:val="bottom"/>
            <w:tcBorders>
              <w:bottom w:val="single" w:sz="8" w:color="A0AAB2"/>
              <w:right w:val="single" w:sz="8" w:color="A0AAB2"/>
            </w:tcBorders>
          </w:tcPr>
          <w:p>
            <w:pPr>
              <w:spacing w:after="0"/>
              <w:rPr>
                <w:sz w:val="4"/>
                <w:szCs w:val="4"/>
                <w:color w:val="auto"/>
              </w:rPr>
            </w:pPr>
          </w:p>
        </w:tc>
        <w:tc>
          <w:tcPr>
            <w:tcW w:w="1300" w:type="dxa"/>
            <w:vAlign w:val="bottom"/>
            <w:tcBorders>
              <w:bottom w:val="single" w:sz="8" w:color="A0AAB2"/>
            </w:tcBorders>
          </w:tcPr>
          <w:p>
            <w:pPr>
              <w:spacing w:after="0"/>
              <w:rPr>
                <w:sz w:val="4"/>
                <w:szCs w:val="4"/>
                <w:color w:val="auto"/>
              </w:rPr>
            </w:pPr>
          </w:p>
        </w:tc>
      </w:tr>
    </w:tbl>
    <w:p>
      <w:pPr>
        <w:spacing w:after="0" w:line="175" w:lineRule="exact"/>
        <w:rPr>
          <w:sz w:val="20"/>
          <w:szCs w:val="20"/>
          <w:color w:val="auto"/>
        </w:rPr>
      </w:pPr>
    </w:p>
    <w:p>
      <w:pPr>
        <w:ind w:left="307" w:right="1780" w:hanging="307"/>
        <w:spacing w:after="0" w:line="184" w:lineRule="auto"/>
        <w:tabs>
          <w:tab w:leader="none" w:pos="307" w:val="left"/>
        </w:tabs>
        <w:numPr>
          <w:ilvl w:val="0"/>
          <w:numId w:val="6"/>
        </w:numPr>
        <w:rPr>
          <w:rFonts w:ascii="Arial" w:cs="Arial" w:eastAsia="Arial" w:hAnsi="Arial"/>
          <w:sz w:val="20"/>
          <w:szCs w:val="20"/>
          <w:b w:val="1"/>
          <w:bCs w:val="1"/>
          <w:color w:val="61C4AF"/>
        </w:rPr>
      </w:pPr>
      <w:r>
        <w:rPr>
          <w:rFonts w:ascii="Arial" w:cs="Arial" w:eastAsia="Arial" w:hAnsi="Arial"/>
          <w:sz w:val="11"/>
          <w:szCs w:val="11"/>
          <w:color w:val="auto"/>
        </w:rPr>
        <w:t>Election of the eight director nominees named in the attached Proxy Statement to serve until our next annual meeting of stockholders and until their respective successors are duly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4697730</wp:posOffset>
            </wp:positionH>
            <wp:positionV relativeFrom="paragraph">
              <wp:posOffset>-215265</wp:posOffset>
            </wp:positionV>
            <wp:extent cx="213995" cy="2146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3995" cy="214630"/>
                    </a:xfrm>
                    <a:prstGeom prst="rect">
                      <a:avLst/>
                    </a:prstGeom>
                    <a:noFill/>
                  </pic:spPr>
                </pic:pic>
              </a:graphicData>
            </a:graphic>
          </wp:anchor>
        </w:drawing>
      </w:r>
    </w:p>
    <w:p>
      <w:pPr>
        <w:jc w:val="right"/>
        <w:ind w:right="120"/>
        <w:spacing w:after="0"/>
        <w:rPr>
          <w:sz w:val="20"/>
          <w:szCs w:val="20"/>
          <w:color w:val="auto"/>
        </w:rPr>
      </w:pPr>
      <w:r>
        <w:rPr>
          <w:rFonts w:ascii="Arial" w:cs="Arial" w:eastAsia="Arial" w:hAnsi="Arial"/>
          <w:sz w:val="18"/>
          <w:szCs w:val="18"/>
          <w:b w:val="1"/>
          <w:bCs w:val="1"/>
          <w:color w:val="23628F"/>
        </w:rPr>
        <w:t>VOTE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51606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60645" cy="8255"/>
                    </a:xfrm>
                    <a:prstGeom prst="rect">
                      <a:avLst/>
                    </a:prstGeom>
                    <a:noFill/>
                  </pic:spPr>
                </pic:pic>
              </a:graphicData>
            </a:graphic>
          </wp:anchor>
        </w:drawing>
      </w:r>
    </w:p>
    <w:p>
      <w:pPr>
        <w:spacing w:after="0" w:line="269" w:lineRule="exact"/>
        <w:rPr>
          <w:sz w:val="20"/>
          <w:szCs w:val="20"/>
          <w:color w:val="auto"/>
        </w:rPr>
      </w:pPr>
    </w:p>
    <w:p>
      <w:pPr>
        <w:ind w:left="307" w:right="1780" w:hanging="307"/>
        <w:spacing w:after="0"/>
        <w:tabs>
          <w:tab w:leader="none" w:pos="307" w:val="left"/>
        </w:tabs>
        <w:numPr>
          <w:ilvl w:val="0"/>
          <w:numId w:val="7"/>
        </w:numPr>
        <w:rPr>
          <w:rFonts w:ascii="Arial" w:cs="Arial" w:eastAsia="Arial" w:hAnsi="Arial"/>
          <w:sz w:val="20"/>
          <w:szCs w:val="20"/>
          <w:b w:val="1"/>
          <w:bCs w:val="1"/>
          <w:color w:val="61C4AF"/>
        </w:rPr>
      </w:pPr>
      <w:r>
        <w:rPr>
          <w:rFonts w:ascii="Arial" w:cs="Arial" w:eastAsia="Arial" w:hAnsi="Arial"/>
          <w:sz w:val="11"/>
          <w:szCs w:val="11"/>
          <w:color w:val="auto"/>
        </w:rPr>
        <w:t>Approval on an advisory basis of the named executive officer compensation disclosed in the attached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4697730</wp:posOffset>
            </wp:positionH>
            <wp:positionV relativeFrom="paragraph">
              <wp:posOffset>-187960</wp:posOffset>
            </wp:positionV>
            <wp:extent cx="213995" cy="2146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3995" cy="214630"/>
                    </a:xfrm>
                    <a:prstGeom prst="rect">
                      <a:avLst/>
                    </a:prstGeom>
                    <a:noFill/>
                  </pic:spPr>
                </pic:pic>
              </a:graphicData>
            </a:graphic>
          </wp:anchor>
        </w:drawing>
      </w:r>
    </w:p>
    <w:p>
      <w:pPr>
        <w:spacing w:after="0" w:line="24" w:lineRule="exact"/>
        <w:rPr>
          <w:sz w:val="20"/>
          <w:szCs w:val="20"/>
          <w:color w:val="auto"/>
        </w:rPr>
      </w:pPr>
    </w:p>
    <w:p>
      <w:pPr>
        <w:jc w:val="right"/>
        <w:ind w:right="120"/>
        <w:spacing w:after="0"/>
        <w:rPr>
          <w:sz w:val="20"/>
          <w:szCs w:val="20"/>
          <w:color w:val="auto"/>
        </w:rPr>
      </w:pPr>
      <w:r>
        <w:rPr>
          <w:rFonts w:ascii="Arial" w:cs="Arial" w:eastAsia="Arial" w:hAnsi="Arial"/>
          <w:sz w:val="18"/>
          <w:szCs w:val="18"/>
          <w:b w:val="1"/>
          <w:bCs w:val="1"/>
          <w:color w:val="23628F"/>
        </w:rPr>
        <w:t>VOTE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516064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60645" cy="8255"/>
                    </a:xfrm>
                    <a:prstGeom prst="rect">
                      <a:avLst/>
                    </a:prstGeom>
                    <a:noFill/>
                  </pic:spPr>
                </pic:pic>
              </a:graphicData>
            </a:graphic>
          </wp:anchor>
        </w:drawing>
      </w:r>
    </w:p>
    <w:p>
      <w:pPr>
        <w:spacing w:after="0" w:line="269" w:lineRule="exact"/>
        <w:rPr>
          <w:sz w:val="20"/>
          <w:szCs w:val="20"/>
          <w:color w:val="auto"/>
        </w:rPr>
      </w:pPr>
    </w:p>
    <w:p>
      <w:pPr>
        <w:ind w:left="307" w:right="1620" w:hanging="307"/>
        <w:spacing w:after="0" w:line="184" w:lineRule="auto"/>
        <w:tabs>
          <w:tab w:leader="none" w:pos="307" w:val="left"/>
        </w:tabs>
        <w:numPr>
          <w:ilvl w:val="0"/>
          <w:numId w:val="8"/>
        </w:numPr>
        <w:rPr>
          <w:rFonts w:ascii="Arial" w:cs="Arial" w:eastAsia="Arial" w:hAnsi="Arial"/>
          <w:sz w:val="20"/>
          <w:szCs w:val="20"/>
          <w:b w:val="1"/>
          <w:bCs w:val="1"/>
          <w:color w:val="61C4AF"/>
        </w:rPr>
      </w:pPr>
      <w:r>
        <w:rPr>
          <w:rFonts w:ascii="Arial" w:cs="Arial" w:eastAsia="Arial" w:hAnsi="Arial"/>
          <w:sz w:val="11"/>
          <w:szCs w:val="11"/>
          <w:color w:val="auto"/>
        </w:rPr>
        <w:t>Approval of the amendment and restatement of our 2017 Performance Incentive Plan to increase by 9.8 million the number of shares of our common stock available for issuance under that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4697730</wp:posOffset>
            </wp:positionH>
            <wp:positionV relativeFrom="paragraph">
              <wp:posOffset>-215265</wp:posOffset>
            </wp:positionV>
            <wp:extent cx="213995" cy="2146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3995" cy="214630"/>
                    </a:xfrm>
                    <a:prstGeom prst="rect">
                      <a:avLst/>
                    </a:prstGeom>
                    <a:noFill/>
                  </pic:spPr>
                </pic:pic>
              </a:graphicData>
            </a:graphic>
          </wp:anchor>
        </w:drawing>
      </w:r>
    </w:p>
    <w:p>
      <w:pPr>
        <w:jc w:val="right"/>
        <w:ind w:right="120"/>
        <w:spacing w:after="0"/>
        <w:rPr>
          <w:sz w:val="20"/>
          <w:szCs w:val="20"/>
          <w:color w:val="auto"/>
        </w:rPr>
      </w:pPr>
      <w:r>
        <w:rPr>
          <w:rFonts w:ascii="Arial" w:cs="Arial" w:eastAsia="Arial" w:hAnsi="Arial"/>
          <w:sz w:val="18"/>
          <w:szCs w:val="18"/>
          <w:b w:val="1"/>
          <w:bCs w:val="1"/>
          <w:color w:val="23628F"/>
        </w:rPr>
        <w:t>VOTE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72390</wp:posOffset>
            </wp:positionV>
            <wp:extent cx="51606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60645" cy="8890"/>
                    </a:xfrm>
                    <a:prstGeom prst="rect">
                      <a:avLst/>
                    </a:prstGeom>
                    <a:noFill/>
                  </pic:spPr>
                </pic:pic>
              </a:graphicData>
            </a:graphic>
          </wp:anchor>
        </w:drawing>
      </w:r>
    </w:p>
    <w:p>
      <w:pPr>
        <w:spacing w:after="0" w:line="282" w:lineRule="exact"/>
        <w:rPr>
          <w:sz w:val="20"/>
          <w:szCs w:val="20"/>
          <w:color w:val="auto"/>
        </w:rPr>
      </w:pPr>
    </w:p>
    <w:p>
      <w:pPr>
        <w:ind w:left="307" w:right="1760" w:hanging="307"/>
        <w:spacing w:after="0" w:line="180" w:lineRule="auto"/>
        <w:tabs>
          <w:tab w:leader="none" w:pos="307" w:val="left"/>
        </w:tabs>
        <w:numPr>
          <w:ilvl w:val="0"/>
          <w:numId w:val="9"/>
        </w:numPr>
        <w:rPr>
          <w:rFonts w:ascii="Arial" w:cs="Arial" w:eastAsia="Arial" w:hAnsi="Arial"/>
          <w:sz w:val="23"/>
          <w:szCs w:val="23"/>
          <w:b w:val="1"/>
          <w:bCs w:val="1"/>
          <w:color w:val="61C4AF"/>
        </w:rPr>
      </w:pPr>
      <w:r>
        <w:rPr>
          <w:rFonts w:ascii="Arial" w:cs="Arial" w:eastAsia="Arial" w:hAnsi="Arial"/>
          <w:sz w:val="13"/>
          <w:szCs w:val="13"/>
          <w:color w:val="auto"/>
        </w:rPr>
        <w:t>Ratification of the appointment of KPMG LLP as our independent registered public accounting firm for fiscal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4697730</wp:posOffset>
            </wp:positionH>
            <wp:positionV relativeFrom="paragraph">
              <wp:posOffset>-196215</wp:posOffset>
            </wp:positionV>
            <wp:extent cx="213995" cy="2146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3995" cy="214630"/>
                    </a:xfrm>
                    <a:prstGeom prst="rect">
                      <a:avLst/>
                    </a:prstGeom>
                    <a:noFill/>
                  </pic:spPr>
                </pic:pic>
              </a:graphicData>
            </a:graphic>
          </wp:anchor>
        </w:drawing>
      </w:r>
    </w:p>
    <w:p>
      <w:pPr>
        <w:jc w:val="right"/>
        <w:ind w:right="120"/>
        <w:spacing w:after="0"/>
        <w:rPr>
          <w:sz w:val="20"/>
          <w:szCs w:val="20"/>
          <w:color w:val="auto"/>
        </w:rPr>
      </w:pPr>
      <w:r>
        <w:rPr>
          <w:rFonts w:ascii="Arial" w:cs="Arial" w:eastAsia="Arial" w:hAnsi="Arial"/>
          <w:sz w:val="18"/>
          <w:szCs w:val="18"/>
          <w:b w:val="1"/>
          <w:bCs w:val="1"/>
          <w:color w:val="23628F"/>
        </w:rPr>
        <w:t>VOTE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86360</wp:posOffset>
            </wp:positionV>
            <wp:extent cx="51606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60645" cy="8255"/>
                    </a:xfrm>
                    <a:prstGeom prst="rect">
                      <a:avLst/>
                    </a:prstGeom>
                    <a:noFill/>
                  </pic:spPr>
                </pic:pic>
              </a:graphicData>
            </a:graphic>
          </wp:anchor>
        </w:drawing>
      </w:r>
    </w:p>
    <w:p>
      <w:pPr>
        <w:spacing w:after="0" w:line="237" w:lineRule="exact"/>
        <w:rPr>
          <w:sz w:val="20"/>
          <w:szCs w:val="20"/>
          <w:color w:val="auto"/>
        </w:rPr>
      </w:pPr>
    </w:p>
    <w:p>
      <w:pPr>
        <w:ind w:left="107" w:right="140"/>
        <w:spacing w:after="0" w:line="258" w:lineRule="auto"/>
        <w:rPr>
          <w:sz w:val="20"/>
          <w:szCs w:val="20"/>
          <w:color w:val="auto"/>
        </w:rPr>
      </w:pPr>
      <w:r>
        <w:rPr>
          <w:rFonts w:ascii="Arial" w:cs="Arial" w:eastAsia="Arial" w:hAnsi="Arial"/>
          <w:sz w:val="13"/>
          <w:szCs w:val="13"/>
          <w:color w:val="auto"/>
        </w:rPr>
        <w:t>At the meeting, we will also consider any other business that may properly come before our annual meeting or any postponement or adjournment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490855</wp:posOffset>
            </wp:positionV>
            <wp:extent cx="51606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60645" cy="8255"/>
                    </a:xfrm>
                    <a:prstGeom prst="rect">
                      <a:avLst/>
                    </a:prstGeom>
                    <a:noFill/>
                  </pic:spPr>
                </pic:pic>
              </a:graphicData>
            </a:graphic>
          </wp:anchor>
        </w:drawing>
      </w:r>
    </w:p>
    <w:p>
      <w:pPr>
        <w:spacing w:after="0" w:line="878" w:lineRule="exact"/>
        <w:rPr>
          <w:sz w:val="20"/>
          <w:szCs w:val="20"/>
          <w:color w:val="auto"/>
        </w:rPr>
      </w:pPr>
    </w:p>
    <w:p>
      <w:pPr>
        <w:sectPr>
          <w:pgSz w:w="11900" w:h="16838" w:orient="portrait"/>
          <w:cols w:equalWidth="0" w:num="2">
            <w:col w:w="2460" w:space="653"/>
            <w:col w:w="8127"/>
          </w:cols>
          <w:pgMar w:left="320" w:top="121" w:right="339" w:bottom="1440" w:gutter="0" w:footer="0" w:header="0"/>
          <w:type w:val="continuous"/>
        </w:sectPr>
      </w:pP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b w:val="1"/>
          <w:bCs w:val="1"/>
          <w:color w:val="23628F"/>
        </w:rPr>
        <w:t>How to Vote Your Shares in Advance of the Meeting</w:t>
      </w:r>
    </w:p>
    <w:p>
      <w:pPr>
        <w:spacing w:after="0" w:line="22" w:lineRule="exact"/>
        <w:rPr>
          <w:sz w:val="20"/>
          <w:szCs w:val="20"/>
          <w:color w:val="auto"/>
        </w:rPr>
      </w:pPr>
    </w:p>
    <w:p>
      <w:pPr>
        <w:ind w:right="760"/>
        <w:spacing w:after="0" w:line="258" w:lineRule="auto"/>
        <w:rPr>
          <w:sz w:val="20"/>
          <w:szCs w:val="20"/>
          <w:color w:val="auto"/>
        </w:rPr>
      </w:pPr>
      <w:r>
        <w:rPr>
          <w:rFonts w:ascii="Arial" w:cs="Arial" w:eastAsia="Arial" w:hAnsi="Arial"/>
          <w:sz w:val="13"/>
          <w:szCs w:val="13"/>
          <w:b w:val="1"/>
          <w:bCs w:val="1"/>
          <w:color w:val="23628F"/>
        </w:rPr>
        <w:t xml:space="preserve">Your vote is very important. </w:t>
      </w:r>
      <w:r>
        <w:rPr>
          <w:rFonts w:ascii="Arial" w:cs="Arial" w:eastAsia="Arial" w:hAnsi="Arial"/>
          <w:sz w:val="13"/>
          <w:szCs w:val="13"/>
          <w:color w:val="000000"/>
        </w:rPr>
        <w:t>Please submit your proxy as soon as possible via the Internet, telephone or mail. Submitting your proxy by one of these methods will ensure your</w:t>
      </w:r>
      <w:r>
        <w:rPr>
          <w:rFonts w:ascii="Arial" w:cs="Arial" w:eastAsia="Arial" w:hAnsi="Arial"/>
          <w:sz w:val="13"/>
          <w:szCs w:val="13"/>
          <w:b w:val="1"/>
          <w:bCs w:val="1"/>
          <w:color w:val="23628F"/>
        </w:rPr>
        <w:t xml:space="preserve"> </w:t>
      </w:r>
      <w:r>
        <w:rPr>
          <w:rFonts w:ascii="Arial" w:cs="Arial" w:eastAsia="Arial" w:hAnsi="Arial"/>
          <w:sz w:val="13"/>
          <w:szCs w:val="13"/>
          <w:color w:val="000000"/>
        </w:rPr>
        <w:t>representation at our annual meeting regardless of whether you attend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040630" cy="6343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040630" cy="63436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23628F"/>
        </w:rPr>
        <w:t>VIA THE INTERNET</w:t>
      </w:r>
    </w:p>
    <w:p>
      <w:pPr>
        <w:spacing w:after="0" w:line="81" w:lineRule="exact"/>
        <w:rPr>
          <w:sz w:val="20"/>
          <w:szCs w:val="20"/>
          <w:color w:val="auto"/>
        </w:rPr>
      </w:pPr>
    </w:p>
    <w:p>
      <w:pPr>
        <w:spacing w:after="0" w:line="258" w:lineRule="auto"/>
        <w:rPr>
          <w:sz w:val="20"/>
          <w:szCs w:val="20"/>
          <w:color w:val="auto"/>
        </w:rPr>
      </w:pPr>
      <w:r>
        <w:rPr>
          <w:rFonts w:ascii="Arial" w:cs="Arial" w:eastAsia="Arial" w:hAnsi="Arial"/>
          <w:sz w:val="13"/>
          <w:szCs w:val="13"/>
          <w:color w:val="auto"/>
        </w:rPr>
        <w:t>Visit the website listed on your proxy card, notice or voting instruction form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23628F"/>
        </w:rPr>
        <w:t>BY PHONE</w:t>
      </w:r>
    </w:p>
    <w:p>
      <w:pPr>
        <w:spacing w:after="0" w:line="81" w:lineRule="exact"/>
        <w:rPr>
          <w:sz w:val="20"/>
          <w:szCs w:val="20"/>
          <w:color w:val="auto"/>
        </w:rPr>
      </w:pPr>
    </w:p>
    <w:p>
      <w:pPr>
        <w:spacing w:after="0" w:line="258" w:lineRule="auto"/>
        <w:rPr>
          <w:sz w:val="20"/>
          <w:szCs w:val="20"/>
          <w:color w:val="auto"/>
        </w:rPr>
      </w:pPr>
      <w:r>
        <w:rPr>
          <w:rFonts w:ascii="Arial" w:cs="Arial" w:eastAsia="Arial" w:hAnsi="Arial"/>
          <w:sz w:val="13"/>
          <w:szCs w:val="13"/>
          <w:color w:val="auto"/>
        </w:rPr>
        <w:t>Call the phone number listed on your proxy card or voting instruction form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23628F"/>
        </w:rPr>
        <w:t>BY MAIL</w:t>
      </w:r>
    </w:p>
    <w:p>
      <w:pPr>
        <w:spacing w:after="0" w:line="81" w:lineRule="exact"/>
        <w:rPr>
          <w:sz w:val="20"/>
          <w:szCs w:val="20"/>
          <w:color w:val="auto"/>
        </w:rPr>
      </w:pPr>
    </w:p>
    <w:p>
      <w:pPr>
        <w:ind w:right="260"/>
        <w:spacing w:after="0" w:line="258" w:lineRule="auto"/>
        <w:rPr>
          <w:sz w:val="20"/>
          <w:szCs w:val="20"/>
          <w:color w:val="auto"/>
        </w:rPr>
      </w:pPr>
      <w:r>
        <w:rPr>
          <w:rFonts w:ascii="Arial" w:cs="Arial" w:eastAsia="Arial" w:hAnsi="Arial"/>
          <w:sz w:val="13"/>
          <w:szCs w:val="13"/>
          <w:color w:val="auto"/>
        </w:rPr>
        <w:t>Complete, sign, date and return your proxy card or voting instruction form in the envelope provided</w:t>
      </w:r>
    </w:p>
    <w:p>
      <w:pPr>
        <w:spacing w:after="0" w:line="200" w:lineRule="exact"/>
        <w:rPr>
          <w:sz w:val="20"/>
          <w:szCs w:val="20"/>
          <w:color w:val="auto"/>
        </w:rPr>
      </w:pPr>
    </w:p>
    <w:p>
      <w:pPr>
        <w:sectPr>
          <w:pgSz w:w="11900" w:h="16838" w:orient="portrait"/>
          <w:cols w:equalWidth="0" w:num="3">
            <w:col w:w="3480" w:space="360"/>
            <w:col w:w="3440" w:space="280"/>
            <w:col w:w="3680"/>
          </w:cols>
          <w:pgMar w:left="320" w:top="121" w:right="33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By Order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488315" cy="4540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88315"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3"/>
          <w:szCs w:val="13"/>
          <w:b w:val="1"/>
          <w:bCs w:val="1"/>
          <w:color w:val="23628F"/>
        </w:rPr>
        <w:t>MICHAEL C. RAY</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Executive Vice President, Chief Legal Officer and Secretary</w:t>
      </w:r>
    </w:p>
    <w:p>
      <w:pPr>
        <w:spacing w:after="0"/>
        <w:rPr>
          <w:sz w:val="20"/>
          <w:szCs w:val="20"/>
          <w:color w:val="auto"/>
        </w:rPr>
      </w:pPr>
      <w:r>
        <w:rPr>
          <w:rFonts w:ascii="Arial" w:cs="Arial" w:eastAsia="Arial" w:hAnsi="Arial"/>
          <w:sz w:val="13"/>
          <w:szCs w:val="13"/>
          <w:color w:val="auto"/>
        </w:rPr>
        <w:t>October 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514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514350"/>
                    </a:xfrm>
                    <a:prstGeom prst="rect">
                      <a:avLst/>
                    </a:prstGeom>
                    <a:noFill/>
                  </pic:spPr>
                </pic:pic>
              </a:graphicData>
            </a:graphic>
          </wp:anchor>
        </w:drawing>
      </w:r>
    </w:p>
    <w:p>
      <w:pPr>
        <w:spacing w:after="0" w:line="314" w:lineRule="exact"/>
        <w:rPr>
          <w:sz w:val="20"/>
          <w:szCs w:val="20"/>
          <w:color w:val="auto"/>
        </w:rPr>
      </w:pPr>
    </w:p>
    <w:p>
      <w:pPr>
        <w:ind w:left="120" w:right="180"/>
        <w:spacing w:after="0" w:line="253" w:lineRule="auto"/>
        <w:rPr>
          <w:sz w:val="20"/>
          <w:szCs w:val="20"/>
          <w:color w:val="auto"/>
        </w:rPr>
      </w:pPr>
      <w:r>
        <w:rPr>
          <w:rFonts w:ascii="Arial" w:cs="Arial" w:eastAsia="Arial" w:hAnsi="Arial"/>
          <w:sz w:val="13"/>
          <w:szCs w:val="13"/>
          <w:b w:val="1"/>
          <w:bCs w:val="1"/>
          <w:color w:val="auto"/>
        </w:rPr>
        <w:t>Important notice regarding the availability of proxy materials for our annual meeting of stockholders to be held on November 18, 2020: On or about October 5, 2020, proxy materials for the annual meeting, including the attached Proxy Statement and our 2020 Annual Report to stockholders, are being furnished to stockholders entitled to vote at the annual meeting. The Proxy Statement and 2020 Annual Report to stockholders are available on our Investor Relations website at investor.wdc.com. You can also view these materials at www.proxyvote.com by using the control number provided on your proxy card or Notice of Internet Availability of Proxy Materials.</w:t>
      </w:r>
    </w:p>
    <w:p>
      <w:pPr>
        <w:spacing w:after="0" w:line="285"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3"/>
          <w:szCs w:val="13"/>
          <w:color w:val="23628F"/>
        </w:rPr>
        <w:t>2020 PROXY STATEMENT</w:t>
      </w:r>
      <w:r>
        <w:rPr>
          <w:sz w:val="20"/>
          <w:szCs w:val="20"/>
          <w:color w:val="auto"/>
        </w:rPr>
        <w:tab/>
      </w:r>
      <w:r>
        <w:rPr>
          <w:rFonts w:ascii="Arial" w:cs="Arial" w:eastAsia="Arial" w:hAnsi="Arial"/>
          <w:sz w:val="16"/>
          <w:szCs w:val="16"/>
          <w:b w:val="1"/>
          <w:bCs w:val="1"/>
          <w:color w:val="23628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1532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199" w:lineRule="exact"/>
        <w:rPr>
          <w:sz w:val="20"/>
          <w:szCs w:val="20"/>
          <w:color w:val="auto"/>
        </w:rPr>
      </w:pPr>
    </w:p>
    <w:p>
      <w:pPr>
        <w:spacing w:after="0"/>
        <w:rPr>
          <w:sz w:val="20"/>
          <w:szCs w:val="20"/>
          <w:color w:val="auto"/>
        </w:rPr>
      </w:pPr>
      <w:r>
        <w:rPr>
          <w:rFonts w:ascii="Arial" w:cs="Arial" w:eastAsia="Arial" w:hAnsi="Arial"/>
          <w:sz w:val="31"/>
          <w:szCs w:val="31"/>
          <w:b w:val="1"/>
          <w:bCs w:val="1"/>
          <w:color w:val="819DBB"/>
        </w:rPr>
        <w:t>VIRTUAL ANNUAL MEETING</w:t>
      </w:r>
    </w:p>
    <w:p>
      <w:pPr>
        <w:spacing w:after="0" w:line="255" w:lineRule="exact"/>
        <w:rPr>
          <w:sz w:val="20"/>
          <w:szCs w:val="20"/>
          <w:color w:val="auto"/>
        </w:rPr>
      </w:pPr>
    </w:p>
    <w:p>
      <w:pPr>
        <w:ind w:right="80"/>
        <w:spacing w:after="0" w:line="243" w:lineRule="auto"/>
        <w:rPr>
          <w:sz w:val="20"/>
          <w:szCs w:val="20"/>
          <w:color w:val="auto"/>
        </w:rPr>
      </w:pPr>
      <w:r>
        <w:rPr>
          <w:rFonts w:ascii="Arial" w:cs="Arial" w:eastAsia="Arial" w:hAnsi="Arial"/>
          <w:sz w:val="13"/>
          <w:szCs w:val="13"/>
          <w:color w:val="auto"/>
        </w:rPr>
        <w:t>Our 2020 annual meeting of stockholders (the “Annual Meeting”) will be an audio-only meeting conducted virtually, via an online virtual annual meeting platform that will allow stockholders to participate and submit questions directly to our Board of Directors and management. We are implementing a virtual annual meeting format this year in order to leverage technology to enhance stockholder access to the Annual Meeting by enabling attendance and participation from any location around the world by visiting www.virtualshareholdermeeting.com/WDC2020. We believe that the virtual annual meeting format will give stockholders the opportunity to exercise the same rights as if they had attended an in-person meeting and believe that these measures will enhance stockholder access and encourage participation and communication with our Board of Directors and management.</w:t>
      </w:r>
    </w:p>
    <w:p>
      <w:pPr>
        <w:spacing w:after="0" w:line="168"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Benefits of a Virtual Annual Meeting</w:t>
      </w:r>
    </w:p>
    <w:p>
      <w:pPr>
        <w:spacing w:after="0" w:line="257" w:lineRule="exact"/>
        <w:rPr>
          <w:sz w:val="20"/>
          <w:szCs w:val="20"/>
          <w:color w:val="auto"/>
        </w:rPr>
      </w:pPr>
    </w:p>
    <w:p>
      <w:pPr>
        <w:ind w:left="240" w:right="320" w:hanging="232"/>
        <w:spacing w:after="0" w:line="248" w:lineRule="auto"/>
        <w:tabs>
          <w:tab w:leader="none" w:pos="240" w:val="left"/>
        </w:tabs>
        <w:numPr>
          <w:ilvl w:val="0"/>
          <w:numId w:val="10"/>
        </w:numPr>
        <w:rPr>
          <w:rFonts w:ascii="Arial" w:cs="Arial" w:eastAsia="Arial" w:hAnsi="Arial"/>
          <w:sz w:val="13"/>
          <w:szCs w:val="13"/>
          <w:color w:val="61C1AF"/>
        </w:rPr>
      </w:pPr>
      <w:r>
        <w:rPr>
          <w:rFonts w:ascii="Arial" w:cs="Arial" w:eastAsia="Arial" w:hAnsi="Arial"/>
          <w:sz w:val="13"/>
          <w:szCs w:val="13"/>
          <w:color w:val="auto"/>
        </w:rPr>
        <w:t>We believe a virtual annual meeting format facilitates stockholder attendance and participation by enabling all stockholders to participate fully, equally and without cost, using an Internet-connected device from any location around the world. In addition, the virtual annual meeting format increases our ability to engage with all stockholders, regardless of size, resources or physical location and enables us to protect the health and safety of all attendees, particularly in light of the COVID-19 pandemic.</w:t>
      </w:r>
    </w:p>
    <w:p>
      <w:pPr>
        <w:spacing w:after="0" w:line="90" w:lineRule="exact"/>
        <w:rPr>
          <w:rFonts w:ascii="Arial" w:cs="Arial" w:eastAsia="Arial" w:hAnsi="Arial"/>
          <w:sz w:val="13"/>
          <w:szCs w:val="13"/>
          <w:color w:val="61C1AF"/>
        </w:rPr>
      </w:pPr>
    </w:p>
    <w:p>
      <w:pPr>
        <w:ind w:left="240" w:hanging="232"/>
        <w:spacing w:after="0" w:line="258" w:lineRule="auto"/>
        <w:tabs>
          <w:tab w:leader="none" w:pos="240" w:val="left"/>
        </w:tabs>
        <w:numPr>
          <w:ilvl w:val="0"/>
          <w:numId w:val="10"/>
        </w:numPr>
        <w:rPr>
          <w:rFonts w:ascii="Arial" w:cs="Arial" w:eastAsia="Arial" w:hAnsi="Arial"/>
          <w:sz w:val="13"/>
          <w:szCs w:val="13"/>
          <w:color w:val="61C1AF"/>
        </w:rPr>
      </w:pPr>
      <w:r>
        <w:rPr>
          <w:rFonts w:ascii="Arial" w:cs="Arial" w:eastAsia="Arial" w:hAnsi="Arial"/>
          <w:sz w:val="13"/>
          <w:szCs w:val="13"/>
          <w:color w:val="auto"/>
        </w:rPr>
        <w:t>Stockholders of record and beneficial owners as of September 21, 2020, the record date, will have the ability to submit questions directly to our management and Board of Directors and vote electronically at the Annual Meeting via the online virtual annual meeting platform.</w:t>
      </w:r>
    </w:p>
    <w:p>
      <w:pPr>
        <w:spacing w:after="0" w:line="158"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Attendance at the Virtual Annual Meeting</w:t>
      </w:r>
    </w:p>
    <w:p>
      <w:pPr>
        <w:spacing w:after="0" w:line="257" w:lineRule="exact"/>
        <w:rPr>
          <w:sz w:val="20"/>
          <w:szCs w:val="20"/>
          <w:color w:val="auto"/>
        </w:rPr>
      </w:pPr>
    </w:p>
    <w:p>
      <w:pPr>
        <w:ind w:left="240" w:right="200" w:hanging="232"/>
        <w:spacing w:after="0" w:line="258" w:lineRule="auto"/>
        <w:tabs>
          <w:tab w:leader="none" w:pos="240" w:val="left"/>
        </w:tabs>
        <w:numPr>
          <w:ilvl w:val="0"/>
          <w:numId w:val="11"/>
        </w:numPr>
        <w:rPr>
          <w:rFonts w:ascii="Arial" w:cs="Arial" w:eastAsia="Arial" w:hAnsi="Arial"/>
          <w:sz w:val="13"/>
          <w:szCs w:val="13"/>
          <w:color w:val="61C1AF"/>
        </w:rPr>
      </w:pPr>
      <w:r>
        <w:rPr>
          <w:rFonts w:ascii="Arial" w:cs="Arial" w:eastAsia="Arial" w:hAnsi="Arial"/>
          <w:sz w:val="13"/>
          <w:szCs w:val="13"/>
          <w:color w:val="auto"/>
        </w:rPr>
        <w:t>Attendance at the Annual Meeting is open to the public online at www.virtualshareholdermeeting.com/WDC2020, but you are entitled to participate in the Annual Meeting by voting or asking questions only if you were a stockholder of record or beneficial owner as of September 21, 2020, the record date, or you hold a valid legal proxy for the Annual Meeting.</w:t>
      </w:r>
    </w:p>
    <w:p>
      <w:pPr>
        <w:spacing w:after="0" w:line="83" w:lineRule="exact"/>
        <w:rPr>
          <w:rFonts w:ascii="Arial" w:cs="Arial" w:eastAsia="Arial" w:hAnsi="Arial"/>
          <w:sz w:val="13"/>
          <w:szCs w:val="13"/>
          <w:color w:val="61C1AF"/>
        </w:rPr>
      </w:pPr>
    </w:p>
    <w:p>
      <w:pPr>
        <w:ind w:left="240" w:right="240" w:hanging="232"/>
        <w:spacing w:after="0" w:line="258" w:lineRule="auto"/>
        <w:tabs>
          <w:tab w:leader="none" w:pos="240" w:val="left"/>
        </w:tabs>
        <w:numPr>
          <w:ilvl w:val="0"/>
          <w:numId w:val="11"/>
        </w:numPr>
        <w:rPr>
          <w:rFonts w:ascii="Arial" w:cs="Arial" w:eastAsia="Arial" w:hAnsi="Arial"/>
          <w:sz w:val="13"/>
          <w:szCs w:val="13"/>
          <w:color w:val="61C1AF"/>
        </w:rPr>
      </w:pPr>
      <w:r>
        <w:rPr>
          <w:rFonts w:ascii="Arial" w:cs="Arial" w:eastAsia="Arial" w:hAnsi="Arial"/>
          <w:sz w:val="13"/>
          <w:szCs w:val="13"/>
          <w:color w:val="auto"/>
        </w:rPr>
        <w:t>To participate in the Annual Meeting by voting or asking questions, you will need the 16-digit control number included on your Notice of Internet Availability of the Proxy Materials, on your proxy card or on the instructions that accompanied your proxy materials.</w:t>
      </w:r>
    </w:p>
    <w:p>
      <w:pPr>
        <w:spacing w:after="0" w:line="83" w:lineRule="exact"/>
        <w:rPr>
          <w:rFonts w:ascii="Arial" w:cs="Arial" w:eastAsia="Arial" w:hAnsi="Arial"/>
          <w:sz w:val="13"/>
          <w:szCs w:val="13"/>
          <w:color w:val="61C1AF"/>
        </w:rPr>
      </w:pPr>
    </w:p>
    <w:p>
      <w:pPr>
        <w:ind w:left="240" w:hanging="232"/>
        <w:spacing w:after="0" w:line="248" w:lineRule="auto"/>
        <w:tabs>
          <w:tab w:leader="none" w:pos="240" w:val="left"/>
        </w:tabs>
        <w:numPr>
          <w:ilvl w:val="0"/>
          <w:numId w:val="11"/>
        </w:numPr>
        <w:rPr>
          <w:rFonts w:ascii="Arial" w:cs="Arial" w:eastAsia="Arial" w:hAnsi="Arial"/>
          <w:sz w:val="13"/>
          <w:szCs w:val="13"/>
          <w:color w:val="61C1AF"/>
        </w:rPr>
      </w:pPr>
      <w:r>
        <w:rPr>
          <w:rFonts w:ascii="Arial" w:cs="Arial" w:eastAsia="Arial" w:hAnsi="Arial"/>
          <w:sz w:val="13"/>
          <w:szCs w:val="13"/>
          <w:color w:val="auto"/>
        </w:rPr>
        <w:t>If you were a stockholder as of September 21, 2020, the record date, you may vote shares held in your name as the stockholder of record or shares for which you are the beneficial owner but not the stockholder of record electronically during the Annual Meeting through the online virtual annual meeting platform by following the instructions provided when you log in to the online virtual annual meeting platform.</w:t>
      </w:r>
    </w:p>
    <w:p>
      <w:pPr>
        <w:spacing w:after="0" w:line="90" w:lineRule="exact"/>
        <w:rPr>
          <w:rFonts w:ascii="Arial" w:cs="Arial" w:eastAsia="Arial" w:hAnsi="Arial"/>
          <w:sz w:val="13"/>
          <w:szCs w:val="13"/>
          <w:color w:val="61C1AF"/>
        </w:rPr>
      </w:pPr>
    </w:p>
    <w:p>
      <w:pPr>
        <w:ind w:left="240" w:right="360" w:hanging="232"/>
        <w:spacing w:after="0" w:line="258" w:lineRule="auto"/>
        <w:tabs>
          <w:tab w:leader="none" w:pos="240" w:val="left"/>
        </w:tabs>
        <w:numPr>
          <w:ilvl w:val="0"/>
          <w:numId w:val="11"/>
        </w:numPr>
        <w:rPr>
          <w:rFonts w:ascii="Arial" w:cs="Arial" w:eastAsia="Arial" w:hAnsi="Arial"/>
          <w:sz w:val="13"/>
          <w:szCs w:val="13"/>
          <w:color w:val="61C1AF"/>
        </w:rPr>
      </w:pPr>
      <w:r>
        <w:rPr>
          <w:rFonts w:ascii="Arial" w:cs="Arial" w:eastAsia="Arial" w:hAnsi="Arial"/>
          <w:sz w:val="13"/>
          <w:szCs w:val="13"/>
          <w:color w:val="auto"/>
        </w:rPr>
        <w:t>On the day of the Annual Meeting (November 18, 2020), stockholders may begin to log in to the online virtual annual meeting platform beginning at 7:45 a.m. Pacific Time, and the meeting will begin promptly at 8:00 a.m. Pacific Time. Please allow ample time for online login.</w:t>
      </w:r>
    </w:p>
    <w:p>
      <w:pPr>
        <w:spacing w:after="0" w:line="83" w:lineRule="exact"/>
        <w:rPr>
          <w:rFonts w:ascii="Arial" w:cs="Arial" w:eastAsia="Arial" w:hAnsi="Arial"/>
          <w:sz w:val="13"/>
          <w:szCs w:val="13"/>
          <w:color w:val="61C1AF"/>
        </w:rPr>
      </w:pPr>
    </w:p>
    <w:p>
      <w:pPr>
        <w:ind w:left="240" w:right="220" w:hanging="232"/>
        <w:spacing w:after="0" w:line="258" w:lineRule="auto"/>
        <w:tabs>
          <w:tab w:leader="none" w:pos="240" w:val="left"/>
        </w:tabs>
        <w:numPr>
          <w:ilvl w:val="0"/>
          <w:numId w:val="11"/>
        </w:numPr>
        <w:rPr>
          <w:rFonts w:ascii="Arial" w:cs="Arial" w:eastAsia="Arial" w:hAnsi="Arial"/>
          <w:sz w:val="13"/>
          <w:szCs w:val="13"/>
          <w:color w:val="61C1AF"/>
        </w:rPr>
      </w:pPr>
      <w:r>
        <w:rPr>
          <w:rFonts w:ascii="Arial" w:cs="Arial" w:eastAsia="Arial" w:hAnsi="Arial"/>
          <w:sz w:val="13"/>
          <w:szCs w:val="13"/>
          <w:color w:val="auto"/>
        </w:rPr>
        <w:t>We will have technicians ready to assist you with any technical difficulties you may have accessing the Annual Meeting. If you encounter any difficulties accessing or logging in to the Annual Meeting, please call the technical support number displayed on the login page of the online virtual annual meeting platform.</w:t>
      </w:r>
    </w:p>
    <w:p>
      <w:pPr>
        <w:spacing w:after="0" w:line="158"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Questions at the Virtual Annual Meeting</w:t>
      </w:r>
    </w:p>
    <w:p>
      <w:pPr>
        <w:spacing w:after="0" w:line="257" w:lineRule="exact"/>
        <w:rPr>
          <w:sz w:val="20"/>
          <w:szCs w:val="20"/>
          <w:color w:val="auto"/>
        </w:rPr>
      </w:pPr>
    </w:p>
    <w:p>
      <w:pPr>
        <w:ind w:left="240" w:right="160" w:hanging="232"/>
        <w:spacing w:after="0" w:line="245" w:lineRule="auto"/>
        <w:tabs>
          <w:tab w:leader="none" w:pos="240" w:val="left"/>
        </w:tabs>
        <w:numPr>
          <w:ilvl w:val="0"/>
          <w:numId w:val="12"/>
        </w:numPr>
        <w:rPr>
          <w:rFonts w:ascii="Arial" w:cs="Arial" w:eastAsia="Arial" w:hAnsi="Arial"/>
          <w:sz w:val="13"/>
          <w:szCs w:val="13"/>
          <w:color w:val="61C1AF"/>
        </w:rPr>
      </w:pPr>
      <w:r>
        <w:rPr>
          <w:rFonts w:ascii="Arial" w:cs="Arial" w:eastAsia="Arial" w:hAnsi="Arial"/>
          <w:sz w:val="13"/>
          <w:szCs w:val="13"/>
          <w:color w:val="auto"/>
        </w:rPr>
        <w:t>During the Annual Meeting, we will answer as many stockholder-submitted questions as time permits, and any questions that we are unable to address during the Annual Meeting will be published and answered on our website following the meeting with the exception of any questions that are irrelevant to the purpose of the Annual Meeting or our business or that contain inappropriate or derogatory references which are not in good taste. If we receive substantially similar questions, we will group such questions together and provide a single response to avoid repetition.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YOU WILL NOT BE ABLE TO ATTEND THE ANNUAL MEETING IN PERSON</w:t>
      </w:r>
    </w:p>
    <w:p>
      <w:pPr>
        <w:spacing w:after="0" w:line="225"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23628F"/>
        </w:rPr>
      </w:pPr>
      <w:r>
        <w:rPr>
          <w:rFonts w:ascii="Arial" w:cs="Arial" w:eastAsia="Arial" w:hAnsi="Arial"/>
          <w:sz w:val="13"/>
          <w:szCs w:val="13"/>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15327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Arial" w:cs="Arial" w:eastAsia="Arial" w:hAnsi="Arial"/>
          <w:sz w:val="50"/>
          <w:szCs w:val="50"/>
          <w:b w:val="1"/>
          <w:bCs w:val="1"/>
          <w:color w:val="23628F"/>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32"/>
        </w:trPr>
        <w:tc>
          <w:tcPr>
            <w:tcW w:w="520" w:type="dxa"/>
            <w:vAlign w:val="bottom"/>
            <w:vMerge w:val="restart"/>
          </w:tcPr>
          <w:p>
            <w:pPr>
              <w:jc w:val="right"/>
              <w:spacing w:after="0"/>
              <w:rPr>
                <w:rFonts w:ascii="Arial" w:cs="Arial" w:eastAsia="Arial" w:hAnsi="Arial"/>
                <w:sz w:val="22"/>
                <w:szCs w:val="22"/>
                <w:b w:val="1"/>
                <w:bCs w:val="1"/>
                <w:u w:val="single" w:color="auto"/>
                <w:color w:val="23628F"/>
              </w:rPr>
            </w:pPr>
            <w:hyperlink w:anchor="page4">
              <w:r>
                <w:rPr>
                  <w:rFonts w:ascii="Arial" w:cs="Arial" w:eastAsia="Arial" w:hAnsi="Arial"/>
                  <w:sz w:val="22"/>
                  <w:szCs w:val="22"/>
                  <w:b w:val="1"/>
                  <w:bCs w:val="1"/>
                  <w:u w:val="single" w:color="auto"/>
                  <w:color w:val="23628F"/>
                </w:rPr>
                <w:t>1</w:t>
              </w:r>
            </w:hyperlink>
          </w:p>
        </w:tc>
        <w:tc>
          <w:tcPr>
            <w:tcW w:w="20" w:type="dxa"/>
            <w:vAlign w:val="bottom"/>
          </w:tcPr>
          <w:p>
            <w:pPr>
              <w:spacing w:after="0"/>
              <w:rPr>
                <w:sz w:val="2"/>
                <w:szCs w:val="2"/>
                <w:color w:val="auto"/>
              </w:rPr>
            </w:pPr>
          </w:p>
        </w:tc>
        <w:tc>
          <w:tcPr>
            <w:tcW w:w="10700" w:type="dxa"/>
            <w:vAlign w:val="bottom"/>
            <w:vMerge w:val="restart"/>
          </w:tcPr>
          <w:p>
            <w:pPr>
              <w:ind w:left="540"/>
              <w:spacing w:after="0"/>
              <w:rPr>
                <w:rFonts w:ascii="Arial" w:cs="Arial" w:eastAsia="Arial" w:hAnsi="Arial"/>
                <w:sz w:val="22"/>
                <w:szCs w:val="22"/>
                <w:b w:val="1"/>
                <w:bCs w:val="1"/>
                <w:u w:val="single" w:color="auto"/>
                <w:color w:val="23628F"/>
              </w:rPr>
            </w:pPr>
            <w:hyperlink w:anchor="page4">
              <w:r>
                <w:rPr>
                  <w:rFonts w:ascii="Arial" w:cs="Arial" w:eastAsia="Arial" w:hAnsi="Arial"/>
                  <w:sz w:val="22"/>
                  <w:szCs w:val="22"/>
                  <w:b w:val="1"/>
                  <w:bCs w:val="1"/>
                  <w:u w:val="single" w:color="auto"/>
                  <w:color w:val="23628F"/>
                </w:rPr>
                <w:t>Letter from Our Chairman</w:t>
              </w:r>
            </w:hyperlink>
          </w:p>
        </w:tc>
        <w:tc>
          <w:tcPr>
            <w:tcW w:w="0" w:type="dxa"/>
            <w:vAlign w:val="bottom"/>
          </w:tcPr>
          <w:p>
            <w:pPr>
              <w:spacing w:after="0" w:line="20" w:lineRule="exact"/>
              <w:rPr>
                <w:sz w:val="1"/>
                <w:szCs w:val="1"/>
                <w:color w:val="auto"/>
              </w:rPr>
            </w:pPr>
          </w:p>
        </w:tc>
      </w:tr>
      <w:tr>
        <w:trPr>
          <w:trHeight w:val="253"/>
        </w:trPr>
        <w:tc>
          <w:tcPr>
            <w:tcW w:w="52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107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shd w:val="clear" w:color="auto" w:fill="000000"/>
          </w:tcPr>
          <w:p>
            <w:pPr>
              <w:spacing w:after="0"/>
              <w:rPr>
                <w:sz w:val="8"/>
                <w:szCs w:val="8"/>
                <w:color w:val="auto"/>
              </w:rPr>
            </w:pPr>
          </w:p>
        </w:tc>
        <w:tc>
          <w:tcPr>
            <w:tcW w:w="10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520" w:type="dxa"/>
            <w:vAlign w:val="bottom"/>
            <w:vMerge w:val="restart"/>
          </w:tcPr>
          <w:p>
            <w:pPr>
              <w:jc w:val="right"/>
              <w:spacing w:after="0"/>
              <w:rPr>
                <w:rFonts w:ascii="Arial" w:cs="Arial" w:eastAsia="Arial" w:hAnsi="Arial"/>
                <w:sz w:val="22"/>
                <w:szCs w:val="22"/>
                <w:b w:val="1"/>
                <w:bCs w:val="1"/>
                <w:u w:val="single" w:color="auto"/>
                <w:color w:val="23628F"/>
              </w:rPr>
            </w:pPr>
            <w:hyperlink w:anchor="page5">
              <w:r>
                <w:rPr>
                  <w:rFonts w:ascii="Arial" w:cs="Arial" w:eastAsia="Arial" w:hAnsi="Arial"/>
                  <w:sz w:val="22"/>
                  <w:szCs w:val="22"/>
                  <w:b w:val="1"/>
                  <w:bCs w:val="1"/>
                  <w:u w:val="single" w:color="auto"/>
                  <w:color w:val="23628F"/>
                </w:rPr>
                <w:t>2</w:t>
              </w:r>
            </w:hyperlink>
          </w:p>
        </w:tc>
        <w:tc>
          <w:tcPr>
            <w:tcW w:w="20" w:type="dxa"/>
            <w:vAlign w:val="bottom"/>
          </w:tcPr>
          <w:p>
            <w:pPr>
              <w:spacing w:after="0"/>
              <w:rPr>
                <w:sz w:val="5"/>
                <w:szCs w:val="5"/>
                <w:color w:val="auto"/>
              </w:rPr>
            </w:pPr>
          </w:p>
        </w:tc>
        <w:tc>
          <w:tcPr>
            <w:tcW w:w="10700" w:type="dxa"/>
            <w:vAlign w:val="bottom"/>
            <w:vMerge w:val="restart"/>
          </w:tcPr>
          <w:p>
            <w:pPr>
              <w:ind w:left="540"/>
              <w:spacing w:after="0"/>
              <w:rPr>
                <w:rFonts w:ascii="Arial" w:cs="Arial" w:eastAsia="Arial" w:hAnsi="Arial"/>
                <w:sz w:val="22"/>
                <w:szCs w:val="22"/>
                <w:b w:val="1"/>
                <w:bCs w:val="1"/>
                <w:u w:val="single" w:color="auto"/>
                <w:color w:val="23628F"/>
              </w:rPr>
            </w:pPr>
            <w:hyperlink w:anchor="page5">
              <w:r>
                <w:rPr>
                  <w:rFonts w:ascii="Arial" w:cs="Arial" w:eastAsia="Arial" w:hAnsi="Arial"/>
                  <w:sz w:val="22"/>
                  <w:szCs w:val="22"/>
                  <w:b w:val="1"/>
                  <w:bCs w:val="1"/>
                  <w:u w:val="single" w:color="auto"/>
                  <w:color w:val="23628F"/>
                </w:rPr>
                <w:t>Letter from Our Lead Independent Director</w:t>
              </w:r>
            </w:hyperlink>
          </w:p>
        </w:tc>
        <w:tc>
          <w:tcPr>
            <w:tcW w:w="0" w:type="dxa"/>
            <w:vAlign w:val="bottom"/>
          </w:tcPr>
          <w:p>
            <w:pPr>
              <w:spacing w:after="0"/>
              <w:rPr>
                <w:sz w:val="1"/>
                <w:szCs w:val="1"/>
                <w:color w:val="auto"/>
              </w:rPr>
            </w:pPr>
          </w:p>
        </w:tc>
      </w:tr>
      <w:tr>
        <w:trPr>
          <w:trHeight w:val="321"/>
        </w:trPr>
        <w:tc>
          <w:tcPr>
            <w:tcW w:w="520" w:type="dxa"/>
            <w:vAlign w:val="bottom"/>
            <w:vMerge w:val="continue"/>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107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shd w:val="clear" w:color="auto" w:fill="000000"/>
          </w:tcPr>
          <w:p>
            <w:pPr>
              <w:spacing w:after="0"/>
              <w:rPr>
                <w:sz w:val="8"/>
                <w:szCs w:val="8"/>
                <w:color w:val="auto"/>
              </w:rPr>
            </w:pPr>
          </w:p>
        </w:tc>
        <w:tc>
          <w:tcPr>
            <w:tcW w:w="10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520" w:type="dxa"/>
            <w:vAlign w:val="bottom"/>
            <w:vMerge w:val="restart"/>
          </w:tcPr>
          <w:p>
            <w:pPr>
              <w:jc w:val="right"/>
              <w:spacing w:after="0"/>
              <w:rPr>
                <w:rFonts w:ascii="Arial" w:cs="Arial" w:eastAsia="Arial" w:hAnsi="Arial"/>
                <w:sz w:val="22"/>
                <w:szCs w:val="22"/>
                <w:b w:val="1"/>
                <w:bCs w:val="1"/>
                <w:u w:val="single" w:color="auto"/>
                <w:color w:val="23628F"/>
              </w:rPr>
            </w:pPr>
            <w:hyperlink w:anchor="page6">
              <w:r>
                <w:rPr>
                  <w:rFonts w:ascii="Arial" w:cs="Arial" w:eastAsia="Arial" w:hAnsi="Arial"/>
                  <w:sz w:val="22"/>
                  <w:szCs w:val="22"/>
                  <w:b w:val="1"/>
                  <w:bCs w:val="1"/>
                  <w:u w:val="single" w:color="auto"/>
                  <w:color w:val="23628F"/>
                </w:rPr>
                <w:t>3</w:t>
              </w:r>
            </w:hyperlink>
          </w:p>
        </w:tc>
        <w:tc>
          <w:tcPr>
            <w:tcW w:w="20" w:type="dxa"/>
            <w:vAlign w:val="bottom"/>
          </w:tcPr>
          <w:p>
            <w:pPr>
              <w:spacing w:after="0"/>
              <w:rPr>
                <w:sz w:val="5"/>
                <w:szCs w:val="5"/>
                <w:color w:val="auto"/>
              </w:rPr>
            </w:pPr>
          </w:p>
        </w:tc>
        <w:tc>
          <w:tcPr>
            <w:tcW w:w="10700" w:type="dxa"/>
            <w:vAlign w:val="bottom"/>
            <w:vMerge w:val="restart"/>
          </w:tcPr>
          <w:p>
            <w:pPr>
              <w:ind w:left="60"/>
              <w:spacing w:after="0"/>
              <w:rPr>
                <w:rFonts w:ascii="Arial" w:cs="Arial" w:eastAsia="Arial" w:hAnsi="Arial"/>
                <w:sz w:val="22"/>
                <w:szCs w:val="22"/>
                <w:b w:val="1"/>
                <w:bCs w:val="1"/>
                <w:u w:val="single" w:color="auto"/>
                <w:color w:val="23628F"/>
              </w:rPr>
            </w:pPr>
            <w:hyperlink w:anchor="page6">
              <w:r>
                <w:rPr>
                  <w:rFonts w:ascii="Arial" w:cs="Arial" w:eastAsia="Arial" w:hAnsi="Arial"/>
                  <w:sz w:val="22"/>
                  <w:szCs w:val="22"/>
                  <w:b w:val="1"/>
                  <w:bCs w:val="1"/>
                  <w:u w:val="single" w:color="auto"/>
                  <w:color w:val="23628F"/>
                </w:rPr>
                <w:t>Notice of Annual Meeting of Stockholders</w:t>
              </w:r>
            </w:hyperlink>
          </w:p>
        </w:tc>
        <w:tc>
          <w:tcPr>
            <w:tcW w:w="0" w:type="dxa"/>
            <w:vAlign w:val="bottom"/>
          </w:tcPr>
          <w:p>
            <w:pPr>
              <w:spacing w:after="0"/>
              <w:rPr>
                <w:sz w:val="1"/>
                <w:szCs w:val="1"/>
                <w:color w:val="auto"/>
              </w:rPr>
            </w:pPr>
          </w:p>
        </w:tc>
      </w:tr>
      <w:tr>
        <w:trPr>
          <w:trHeight w:val="321"/>
        </w:trPr>
        <w:tc>
          <w:tcPr>
            <w:tcW w:w="520" w:type="dxa"/>
            <w:vAlign w:val="bottom"/>
            <w:vMerge w:val="continue"/>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107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5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shd w:val="clear" w:color="auto" w:fill="000000"/>
          </w:tcPr>
          <w:p>
            <w:pPr>
              <w:spacing w:after="0"/>
              <w:rPr>
                <w:sz w:val="5"/>
                <w:szCs w:val="5"/>
                <w:color w:val="auto"/>
              </w:rPr>
            </w:pPr>
          </w:p>
        </w:tc>
        <w:tc>
          <w:tcPr>
            <w:tcW w:w="10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-839470</wp:posOffset>
            </wp:positionV>
            <wp:extent cx="179705" cy="1803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9705" cy="180340"/>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-522605</wp:posOffset>
            </wp:positionV>
            <wp:extent cx="179705" cy="1797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9705" cy="179705"/>
                    </a:xfrm>
                    <a:prstGeom prst="rect">
                      <a:avLst/>
                    </a:prstGeom>
                    <a:noFill/>
                  </pic:spPr>
                </pic:pic>
              </a:graphicData>
            </a:graphic>
          </wp:anchor>
        </w:drawing>
      </w:r>
    </w:p>
    <w:p>
      <w:pPr>
        <w:ind w:left="1080" w:hanging="242"/>
        <w:spacing w:after="0"/>
        <w:tabs>
          <w:tab w:leader="none" w:pos="1080" w:val="left"/>
        </w:tabs>
        <w:numPr>
          <w:ilvl w:val="0"/>
          <w:numId w:val="14"/>
        </w:numPr>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Virtual Annual Meeting</w:t>
        </w:r>
      </w:hyperlink>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316"/>
        </w:trPr>
        <w:tc>
          <w:tcPr>
            <w:tcW w:w="520" w:type="dxa"/>
            <w:vAlign w:val="bottom"/>
          </w:tcPr>
          <w:p>
            <w:pPr>
              <w:jc w:val="right"/>
              <w:spacing w:after="0"/>
              <w:rPr>
                <w:rFonts w:ascii="Arial" w:cs="Arial" w:eastAsia="Arial" w:hAnsi="Arial"/>
                <w:sz w:val="22"/>
                <w:szCs w:val="22"/>
                <w:b w:val="1"/>
                <w:bCs w:val="1"/>
                <w:u w:val="single" w:color="auto"/>
                <w:color w:val="23628F"/>
              </w:rPr>
            </w:pPr>
            <w:hyperlink w:anchor="page10">
              <w:r>
                <w:rPr>
                  <w:rFonts w:ascii="Arial" w:cs="Arial" w:eastAsia="Arial" w:hAnsi="Arial"/>
                  <w:sz w:val="22"/>
                  <w:szCs w:val="22"/>
                  <w:b w:val="1"/>
                  <w:bCs w:val="1"/>
                  <w:u w:val="single" w:color="auto"/>
                  <w:color w:val="23628F"/>
                </w:rPr>
                <w:t>6</w:t>
              </w:r>
            </w:hyperlink>
          </w:p>
        </w:tc>
        <w:tc>
          <w:tcPr>
            <w:tcW w:w="20" w:type="dxa"/>
            <w:vAlign w:val="bottom"/>
            <w:shd w:val="clear" w:color="auto" w:fill="000000"/>
          </w:tcPr>
          <w:p>
            <w:pPr>
              <w:spacing w:after="0"/>
              <w:rPr>
                <w:sz w:val="24"/>
                <w:szCs w:val="24"/>
                <w:color w:val="auto"/>
              </w:rPr>
            </w:pPr>
          </w:p>
        </w:tc>
        <w:tc>
          <w:tcPr>
            <w:tcW w:w="10700" w:type="dxa"/>
            <w:vAlign w:val="bottom"/>
            <w:gridSpan w:val="3"/>
          </w:tcPr>
          <w:p>
            <w:pPr>
              <w:ind w:left="60"/>
              <w:spacing w:after="0"/>
              <w:rPr>
                <w:rFonts w:ascii="Arial" w:cs="Arial" w:eastAsia="Arial" w:hAnsi="Arial"/>
                <w:sz w:val="22"/>
                <w:szCs w:val="22"/>
                <w:b w:val="1"/>
                <w:bCs w:val="1"/>
                <w:u w:val="single" w:color="auto"/>
                <w:color w:val="23628F"/>
              </w:rPr>
            </w:pPr>
            <w:hyperlink w:anchor="page10">
              <w:r>
                <w:rPr>
                  <w:rFonts w:ascii="Arial" w:cs="Arial" w:eastAsia="Arial" w:hAnsi="Arial"/>
                  <w:sz w:val="22"/>
                  <w:szCs w:val="22"/>
                  <w:b w:val="1"/>
                  <w:bCs w:val="1"/>
                  <w:u w:val="single" w:color="auto"/>
                  <w:color w:val="23628F"/>
                </w:rPr>
                <w:t>Disclaimers</w:t>
              </w:r>
            </w:hyperlink>
          </w:p>
        </w:tc>
        <w:tc>
          <w:tcPr>
            <w:tcW w:w="0" w:type="dxa"/>
            <w:vAlign w:val="bottom"/>
          </w:tcPr>
          <w:p>
            <w:pPr>
              <w:spacing w:after="0"/>
              <w:rPr>
                <w:sz w:val="1"/>
                <w:szCs w:val="1"/>
                <w:color w:val="auto"/>
              </w:rPr>
            </w:pPr>
          </w:p>
        </w:tc>
      </w:tr>
      <w:tr>
        <w:trPr>
          <w:trHeight w:val="58"/>
        </w:trPr>
        <w:tc>
          <w:tcPr>
            <w:tcW w:w="5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shd w:val="clear" w:color="auto" w:fill="000000"/>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9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520" w:type="dxa"/>
            <w:vAlign w:val="bottom"/>
            <w:vMerge w:val="restart"/>
          </w:tcPr>
          <w:p>
            <w:pPr>
              <w:jc w:val="right"/>
              <w:spacing w:after="0"/>
              <w:rPr>
                <w:rFonts w:ascii="Arial" w:cs="Arial" w:eastAsia="Arial" w:hAnsi="Arial"/>
                <w:sz w:val="22"/>
                <w:szCs w:val="22"/>
                <w:b w:val="1"/>
                <w:bCs w:val="1"/>
                <w:u w:val="single" w:color="auto"/>
                <w:color w:val="23628F"/>
              </w:rPr>
            </w:pPr>
            <w:hyperlink w:anchor="page11">
              <w:r>
                <w:rPr>
                  <w:rFonts w:ascii="Arial" w:cs="Arial" w:eastAsia="Arial" w:hAnsi="Arial"/>
                  <w:sz w:val="22"/>
                  <w:szCs w:val="22"/>
                  <w:b w:val="1"/>
                  <w:bCs w:val="1"/>
                  <w:u w:val="single" w:color="auto"/>
                  <w:color w:val="23628F"/>
                </w:rPr>
                <w:t>7</w:t>
              </w:r>
            </w:hyperlink>
          </w:p>
        </w:tc>
        <w:tc>
          <w:tcPr>
            <w:tcW w:w="20" w:type="dxa"/>
            <w:vAlign w:val="bottom"/>
          </w:tcPr>
          <w:p>
            <w:pPr>
              <w:spacing w:after="0"/>
              <w:rPr>
                <w:sz w:val="5"/>
                <w:szCs w:val="5"/>
                <w:color w:val="auto"/>
              </w:rPr>
            </w:pPr>
          </w:p>
        </w:tc>
        <w:tc>
          <w:tcPr>
            <w:tcW w:w="10700" w:type="dxa"/>
            <w:vAlign w:val="bottom"/>
            <w:gridSpan w:val="3"/>
            <w:vMerge w:val="restart"/>
          </w:tcPr>
          <w:p>
            <w:pPr>
              <w:ind w:left="60"/>
              <w:spacing w:after="0"/>
              <w:rPr>
                <w:rFonts w:ascii="Arial" w:cs="Arial" w:eastAsia="Arial" w:hAnsi="Arial"/>
                <w:sz w:val="22"/>
                <w:szCs w:val="22"/>
                <w:b w:val="1"/>
                <w:bCs w:val="1"/>
                <w:u w:val="single" w:color="auto"/>
                <w:color w:val="23628F"/>
              </w:rPr>
            </w:pPr>
            <w:hyperlink w:anchor="page11">
              <w:r>
                <w:rPr>
                  <w:rFonts w:ascii="Arial" w:cs="Arial" w:eastAsia="Arial" w:hAnsi="Arial"/>
                  <w:sz w:val="22"/>
                  <w:szCs w:val="22"/>
                  <w:b w:val="1"/>
                  <w:bCs w:val="1"/>
                  <w:u w:val="single" w:color="auto"/>
                  <w:color w:val="23628F"/>
                </w:rPr>
                <w:t>Proxy Summary</w:t>
              </w:r>
            </w:hyperlink>
          </w:p>
        </w:tc>
        <w:tc>
          <w:tcPr>
            <w:tcW w:w="0" w:type="dxa"/>
            <w:vAlign w:val="bottom"/>
          </w:tcPr>
          <w:p>
            <w:pPr>
              <w:spacing w:after="0"/>
              <w:rPr>
                <w:sz w:val="1"/>
                <w:szCs w:val="1"/>
                <w:color w:val="auto"/>
              </w:rPr>
            </w:pPr>
          </w:p>
        </w:tc>
      </w:tr>
      <w:tr>
        <w:trPr>
          <w:trHeight w:val="321"/>
        </w:trPr>
        <w:tc>
          <w:tcPr>
            <w:tcW w:w="520" w:type="dxa"/>
            <w:vAlign w:val="bottom"/>
            <w:vMerge w:val="continue"/>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1070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5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shd w:val="clear" w:color="auto" w:fill="000000"/>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9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520" w:type="dxa"/>
            <w:vAlign w:val="bottom"/>
            <w:vMerge w:val="restart"/>
          </w:tcPr>
          <w:p>
            <w:pPr>
              <w:jc w:val="right"/>
              <w:spacing w:after="0"/>
              <w:rPr>
                <w:rFonts w:ascii="Arial" w:cs="Arial" w:eastAsia="Arial" w:hAnsi="Arial"/>
                <w:sz w:val="22"/>
                <w:szCs w:val="22"/>
                <w:b w:val="1"/>
                <w:bCs w:val="1"/>
                <w:u w:val="single" w:color="auto"/>
                <w:color w:val="23628F"/>
              </w:rPr>
            </w:pPr>
            <w:hyperlink w:anchor="page20">
              <w:r>
                <w:rPr>
                  <w:rFonts w:ascii="Arial" w:cs="Arial" w:eastAsia="Arial" w:hAnsi="Arial"/>
                  <w:sz w:val="22"/>
                  <w:szCs w:val="22"/>
                  <w:b w:val="1"/>
                  <w:bCs w:val="1"/>
                  <w:u w:val="single" w:color="auto"/>
                  <w:color w:val="23628F"/>
                </w:rPr>
                <w:t>16</w:t>
              </w:r>
            </w:hyperlink>
          </w:p>
        </w:tc>
        <w:tc>
          <w:tcPr>
            <w:tcW w:w="20" w:type="dxa"/>
            <w:vAlign w:val="bottom"/>
          </w:tcPr>
          <w:p>
            <w:pPr>
              <w:spacing w:after="0"/>
              <w:rPr>
                <w:sz w:val="5"/>
                <w:szCs w:val="5"/>
                <w:color w:val="auto"/>
              </w:rPr>
            </w:pPr>
          </w:p>
        </w:tc>
        <w:tc>
          <w:tcPr>
            <w:tcW w:w="10700" w:type="dxa"/>
            <w:vAlign w:val="bottom"/>
            <w:gridSpan w:val="3"/>
            <w:vMerge w:val="restart"/>
          </w:tcPr>
          <w:p>
            <w:pPr>
              <w:ind w:left="60"/>
              <w:spacing w:after="0"/>
              <w:rPr>
                <w:rFonts w:ascii="Arial" w:cs="Arial" w:eastAsia="Arial" w:hAnsi="Arial"/>
                <w:sz w:val="22"/>
                <w:szCs w:val="22"/>
                <w:b w:val="1"/>
                <w:bCs w:val="1"/>
                <w:u w:val="single" w:color="auto"/>
                <w:color w:val="23628F"/>
              </w:rPr>
            </w:pPr>
            <w:hyperlink w:anchor="page20">
              <w:r>
                <w:rPr>
                  <w:rFonts w:ascii="Arial" w:cs="Arial" w:eastAsia="Arial" w:hAnsi="Arial"/>
                  <w:sz w:val="22"/>
                  <w:szCs w:val="22"/>
                  <w:b w:val="1"/>
                  <w:bCs w:val="1"/>
                  <w:u w:val="single" w:color="auto"/>
                  <w:color w:val="23628F"/>
                </w:rPr>
                <w:t>Corporate Governance Matters</w:t>
              </w:r>
            </w:hyperlink>
          </w:p>
        </w:tc>
        <w:tc>
          <w:tcPr>
            <w:tcW w:w="0" w:type="dxa"/>
            <w:vAlign w:val="bottom"/>
          </w:tcPr>
          <w:p>
            <w:pPr>
              <w:spacing w:after="0"/>
              <w:rPr>
                <w:sz w:val="1"/>
                <w:szCs w:val="1"/>
                <w:color w:val="auto"/>
              </w:rPr>
            </w:pPr>
          </w:p>
        </w:tc>
      </w:tr>
      <w:tr>
        <w:trPr>
          <w:trHeight w:val="321"/>
        </w:trPr>
        <w:tc>
          <w:tcPr>
            <w:tcW w:w="520" w:type="dxa"/>
            <w:vAlign w:val="bottom"/>
            <w:vMerge w:val="continue"/>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1070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5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shd w:val="clear" w:color="auto" w:fill="000000"/>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9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58"/>
        </w:trPr>
        <w:tc>
          <w:tcPr>
            <w:tcW w:w="520" w:type="dxa"/>
            <w:vAlign w:val="bottom"/>
          </w:tcPr>
          <w:p>
            <w:pPr>
              <w:spacing w:after="0"/>
              <w:rPr>
                <w:sz w:val="5"/>
                <w:szCs w:val="5"/>
                <w:color w:val="auto"/>
              </w:rPr>
            </w:pPr>
          </w:p>
        </w:tc>
        <w:tc>
          <w:tcPr>
            <w:tcW w:w="560" w:type="dxa"/>
            <w:vAlign w:val="bottom"/>
            <w:gridSpan w:val="2"/>
            <w:vMerge w:val="restart"/>
          </w:tcPr>
          <w:p>
            <w:pPr>
              <w:jc w:val="right"/>
              <w:ind w:right="32"/>
              <w:spacing w:after="0"/>
              <w:rPr>
                <w:rFonts w:ascii="Arial" w:cs="Arial" w:eastAsia="Arial" w:hAnsi="Arial"/>
                <w:sz w:val="18"/>
                <w:szCs w:val="18"/>
                <w:u w:val="single" w:color="auto"/>
                <w:color w:val="616161"/>
              </w:rPr>
            </w:pPr>
            <w:hyperlink w:anchor="page20">
              <w:r>
                <w:rPr>
                  <w:rFonts w:ascii="Arial" w:cs="Arial" w:eastAsia="Arial" w:hAnsi="Arial"/>
                  <w:sz w:val="18"/>
                  <w:szCs w:val="18"/>
                  <w:u w:val="single" w:color="auto"/>
                  <w:color w:val="616161"/>
                </w:rPr>
                <w:t>16</w:t>
              </w:r>
            </w:hyperlink>
          </w:p>
        </w:tc>
        <w:tc>
          <w:tcPr>
            <w:tcW w:w="1040" w:type="dxa"/>
            <w:vAlign w:val="bottom"/>
            <w:tcBorders>
              <w:bottom w:val="single" w:sz="8" w:color="61C4AF"/>
            </w:tcBorders>
          </w:tcPr>
          <w:p>
            <w:pPr>
              <w:spacing w:after="0"/>
              <w:rPr>
                <w:sz w:val="5"/>
                <w:szCs w:val="5"/>
                <w:color w:val="auto"/>
              </w:rPr>
            </w:pPr>
          </w:p>
        </w:tc>
        <w:tc>
          <w:tcPr>
            <w:tcW w:w="9120" w:type="dxa"/>
            <w:vAlign w:val="bottom"/>
            <w:vMerge w:val="restart"/>
          </w:tcPr>
          <w:p>
            <w:pPr>
              <w:ind w:left="4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Election of Directors</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1040" w:type="dxa"/>
            <w:vAlign w:val="bottom"/>
            <w:tcBorders>
              <w:left w:val="single" w:sz="8" w:color="61C4AF"/>
              <w:bottom w:val="single" w:sz="8" w:color="61C4AF"/>
              <w:right w:val="single" w:sz="8" w:color="61C4AF"/>
            </w:tcBorders>
          </w:tcPr>
          <w:p>
            <w:pPr>
              <w:ind w:left="60"/>
              <w:spacing w:after="0" w:line="196" w:lineRule="exact"/>
              <w:rPr>
                <w:rFonts w:ascii="Arial" w:cs="Arial" w:eastAsia="Arial" w:hAnsi="Arial"/>
                <w:sz w:val="18"/>
                <w:szCs w:val="18"/>
                <w:b w:val="1"/>
                <w:bCs w:val="1"/>
                <w:u w:val="single" w:color="auto"/>
                <w:color w:val="61C4AF"/>
              </w:rPr>
            </w:pPr>
            <w:hyperlink w:anchor="page20">
              <w:r>
                <w:rPr>
                  <w:rFonts w:ascii="Arial" w:cs="Arial" w:eastAsia="Arial" w:hAnsi="Arial"/>
                  <w:sz w:val="18"/>
                  <w:szCs w:val="18"/>
                  <w:b w:val="1"/>
                  <w:bCs w:val="1"/>
                  <w:u w:val="single" w:color="auto"/>
                  <w:color w:val="61C4AF"/>
                </w:rPr>
                <w:t>Proposal 1</w:t>
              </w:r>
            </w:hyperlink>
          </w:p>
        </w:tc>
        <w:tc>
          <w:tcPr>
            <w:tcW w:w="9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20" w:type="dxa"/>
            <w:vAlign w:val="bottom"/>
          </w:tcPr>
          <w:p>
            <w:pPr>
              <w:spacing w:after="0"/>
              <w:rPr>
                <w:sz w:val="20"/>
                <w:szCs w:val="20"/>
                <w:color w:val="auto"/>
              </w:rPr>
            </w:pPr>
          </w:p>
        </w:tc>
        <w:tc>
          <w:tcPr>
            <w:tcW w:w="560" w:type="dxa"/>
            <w:vAlign w:val="bottom"/>
            <w:gridSpan w:val="2"/>
          </w:tcPr>
          <w:p>
            <w:pPr>
              <w:jc w:val="right"/>
              <w:ind w:right="32"/>
              <w:spacing w:after="0"/>
              <w:rPr>
                <w:rFonts w:ascii="Arial" w:cs="Arial" w:eastAsia="Arial" w:hAnsi="Arial"/>
                <w:sz w:val="18"/>
                <w:szCs w:val="18"/>
                <w:u w:val="single" w:color="auto"/>
                <w:color w:val="616161"/>
              </w:rPr>
            </w:pPr>
            <w:hyperlink w:anchor="page21">
              <w:r>
                <w:rPr>
                  <w:rFonts w:ascii="Arial" w:cs="Arial" w:eastAsia="Arial" w:hAnsi="Arial"/>
                  <w:sz w:val="18"/>
                  <w:szCs w:val="18"/>
                  <w:u w:val="single" w:color="auto"/>
                  <w:color w:val="616161"/>
                </w:rPr>
                <w:t>17</w:t>
              </w:r>
            </w:hyperlink>
          </w:p>
        </w:tc>
        <w:tc>
          <w:tcPr>
            <w:tcW w:w="10160" w:type="dxa"/>
            <w:vAlign w:val="bottom"/>
            <w:gridSpan w:val="2"/>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Nominees for Election</w:t>
              </w:r>
            </w:hyperlink>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380"/>
        <w:spacing w:after="0"/>
        <w:tabs>
          <w:tab w:leader="none" w:pos="1660" w:val="left"/>
        </w:tabs>
        <w:rPr>
          <w:rFonts w:ascii="Arial" w:cs="Arial" w:eastAsia="Arial" w:hAnsi="Arial"/>
          <w:sz w:val="13"/>
          <w:szCs w:val="13"/>
          <w:u w:val="single" w:color="auto"/>
          <w:color w:val="0000EE"/>
        </w:rPr>
      </w:pPr>
      <w:r>
        <w:rPr>
          <w:rFonts w:ascii="Arial" w:cs="Arial" w:eastAsia="Arial" w:hAnsi="Arial"/>
          <w:sz w:val="13"/>
          <w:szCs w:val="13"/>
          <w:u w:val="single" w:color="auto"/>
          <w:color w:val="0000EE"/>
        </w:rPr>
        <w:t>21</w:t>
        <w:tab/>
      </w:r>
      <w:hyperlink w:anchor="page25">
        <w:r>
          <w:rPr>
            <w:rFonts w:ascii="Arial" w:cs="Arial" w:eastAsia="Arial" w:hAnsi="Arial"/>
            <w:sz w:val="13"/>
            <w:szCs w:val="13"/>
            <w:u w:val="single" w:color="auto"/>
            <w:color w:val="0000EE"/>
          </w:rPr>
          <w:t>Director Skills and Expertise</w:t>
        </w:r>
      </w:hyperlink>
    </w:p>
    <w:p>
      <w:pPr>
        <w:spacing w:after="0" w:line="70" w:lineRule="exact"/>
        <w:rPr>
          <w:sz w:val="20"/>
          <w:szCs w:val="20"/>
          <w:color w:val="auto"/>
        </w:rPr>
      </w:pPr>
    </w:p>
    <w:p>
      <w:pPr>
        <w:ind w:left="1080" w:hanging="340"/>
        <w:spacing w:after="0"/>
        <w:tabs>
          <w:tab w:leader="none" w:pos="1080" w:val="left"/>
        </w:tabs>
        <w:numPr>
          <w:ilvl w:val="0"/>
          <w:numId w:val="15"/>
        </w:numPr>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Director Nominations and Board Refreshment</w:t>
        </w:r>
      </w:hyperlink>
    </w:p>
    <w:p>
      <w:pPr>
        <w:spacing w:after="0" w:line="36" w:lineRule="exact"/>
        <w:rPr>
          <w:rFonts w:ascii="Arial" w:cs="Arial" w:eastAsia="Arial" w:hAnsi="Arial"/>
          <w:sz w:val="18"/>
          <w:szCs w:val="18"/>
          <w:u w:val="single" w:color="auto"/>
          <w:color w:val="0000EE"/>
        </w:rPr>
      </w:pPr>
    </w:p>
    <w:p>
      <w:pPr>
        <w:ind w:left="1080" w:hanging="340"/>
        <w:spacing w:after="0"/>
        <w:tabs>
          <w:tab w:leader="none" w:pos="1080" w:val="left"/>
        </w:tabs>
        <w:numPr>
          <w:ilvl w:val="0"/>
          <w:numId w:val="16"/>
        </w:numPr>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Board’s Role and Responsibilities</w:t>
        </w:r>
      </w:hyperlink>
    </w:p>
    <w:p>
      <w:pPr>
        <w:spacing w:after="0" w:line="59" w:lineRule="exact"/>
        <w:rPr>
          <w:rFonts w:ascii="Arial" w:cs="Arial" w:eastAsia="Arial" w:hAnsi="Arial"/>
          <w:sz w:val="18"/>
          <w:szCs w:val="18"/>
          <w:u w:val="single" w:color="auto"/>
          <w:color w:val="616161"/>
        </w:rPr>
      </w:pPr>
    </w:p>
    <w:p>
      <w:pPr>
        <w:ind w:left="1380"/>
        <w:spacing w:after="0"/>
        <w:tabs>
          <w:tab w:leader="none" w:pos="1660" w:val="left"/>
        </w:tabs>
        <w:rPr>
          <w:rFonts w:ascii="Arial" w:cs="Arial" w:eastAsia="Arial" w:hAnsi="Arial"/>
          <w:sz w:val="13"/>
          <w:szCs w:val="13"/>
          <w:u w:val="single" w:color="auto"/>
          <w:color w:val="0000EE"/>
        </w:rPr>
      </w:pPr>
      <w:r>
        <w:rPr>
          <w:rFonts w:ascii="Arial" w:cs="Arial" w:eastAsia="Arial" w:hAnsi="Arial"/>
          <w:sz w:val="13"/>
          <w:szCs w:val="13"/>
          <w:u w:val="single" w:color="auto"/>
          <w:color w:val="0000EE"/>
        </w:rPr>
        <w:t>27</w:t>
        <w:tab/>
      </w:r>
      <w:hyperlink w:anchor="page31">
        <w:r>
          <w:rPr>
            <w:rFonts w:ascii="Arial" w:cs="Arial" w:eastAsia="Arial" w:hAnsi="Arial"/>
            <w:sz w:val="13"/>
            <w:szCs w:val="13"/>
            <w:u w:val="single" w:color="auto"/>
            <w:color w:val="0000EE"/>
          </w:rPr>
          <w:t>Stockholder Engagement</w:t>
        </w:r>
      </w:hyperlink>
    </w:p>
    <w:p>
      <w:pPr>
        <w:spacing w:after="0" w:line="94" w:lineRule="exact"/>
        <w:rPr>
          <w:rFonts w:ascii="Arial" w:cs="Arial" w:eastAsia="Arial" w:hAnsi="Arial"/>
          <w:sz w:val="18"/>
          <w:szCs w:val="18"/>
          <w:u w:val="single" w:color="auto"/>
          <w:color w:val="616161"/>
        </w:rPr>
      </w:pPr>
    </w:p>
    <w:p>
      <w:pPr>
        <w:ind w:left="1380"/>
        <w:spacing w:after="0"/>
        <w:tabs>
          <w:tab w:leader="none" w:pos="1660" w:val="left"/>
        </w:tabs>
        <w:rPr>
          <w:rFonts w:ascii="Arial" w:cs="Arial" w:eastAsia="Arial" w:hAnsi="Arial"/>
          <w:sz w:val="13"/>
          <w:szCs w:val="13"/>
          <w:u w:val="single" w:color="auto"/>
          <w:color w:val="0000EE"/>
        </w:rPr>
      </w:pPr>
      <w:r>
        <w:rPr>
          <w:rFonts w:ascii="Arial" w:cs="Arial" w:eastAsia="Arial" w:hAnsi="Arial"/>
          <w:sz w:val="13"/>
          <w:szCs w:val="13"/>
          <w:u w:val="single" w:color="auto"/>
          <w:color w:val="0000EE"/>
        </w:rPr>
        <w:t>29</w:t>
        <w:tab/>
      </w:r>
      <w:hyperlink w:anchor="page33">
        <w:r>
          <w:rPr>
            <w:rFonts w:ascii="Arial" w:cs="Arial" w:eastAsia="Arial" w:hAnsi="Arial"/>
            <w:sz w:val="13"/>
            <w:szCs w:val="13"/>
            <w:u w:val="single" w:color="auto"/>
            <w:color w:val="0000EE"/>
          </w:rPr>
          <w:t>Corporate Responsibility and Sustainability</w:t>
        </w:r>
      </w:hyperlink>
    </w:p>
    <w:p>
      <w:pPr>
        <w:spacing w:after="0" w:line="94" w:lineRule="exact"/>
        <w:rPr>
          <w:rFonts w:ascii="Arial" w:cs="Arial" w:eastAsia="Arial" w:hAnsi="Arial"/>
          <w:sz w:val="18"/>
          <w:szCs w:val="18"/>
          <w:u w:val="single" w:color="auto"/>
          <w:color w:val="616161"/>
        </w:rPr>
      </w:pPr>
    </w:p>
    <w:p>
      <w:pPr>
        <w:ind w:left="1380"/>
        <w:spacing w:after="0"/>
        <w:tabs>
          <w:tab w:leader="none" w:pos="1660" w:val="left"/>
        </w:tabs>
        <w:rPr>
          <w:rFonts w:ascii="Arial" w:cs="Arial" w:eastAsia="Arial" w:hAnsi="Arial"/>
          <w:sz w:val="13"/>
          <w:szCs w:val="13"/>
          <w:u w:val="single" w:color="auto"/>
          <w:color w:val="0000EE"/>
        </w:rPr>
      </w:pPr>
      <w:r>
        <w:rPr>
          <w:rFonts w:ascii="Arial" w:cs="Arial" w:eastAsia="Arial" w:hAnsi="Arial"/>
          <w:sz w:val="13"/>
          <w:szCs w:val="13"/>
          <w:u w:val="single" w:color="auto"/>
          <w:color w:val="0000EE"/>
        </w:rPr>
        <w:t>31</w:t>
        <w:tab/>
      </w:r>
      <w:hyperlink w:anchor="page35">
        <w:r>
          <w:rPr>
            <w:rFonts w:ascii="Arial" w:cs="Arial" w:eastAsia="Arial" w:hAnsi="Arial"/>
            <w:sz w:val="13"/>
            <w:szCs w:val="13"/>
            <w:u w:val="single" w:color="auto"/>
            <w:color w:val="0000EE"/>
          </w:rPr>
          <w:t>Risk Oversight and Compensation Risk Assessment</w:t>
        </w:r>
      </w:hyperlink>
    </w:p>
    <w:p>
      <w:pPr>
        <w:spacing w:after="0" w:line="70" w:lineRule="exact"/>
        <w:rPr>
          <w:rFonts w:ascii="Arial" w:cs="Arial" w:eastAsia="Arial" w:hAnsi="Arial"/>
          <w:sz w:val="18"/>
          <w:szCs w:val="18"/>
          <w:u w:val="single" w:color="auto"/>
          <w:color w:val="616161"/>
        </w:rPr>
      </w:pPr>
    </w:p>
    <w:p>
      <w:pPr>
        <w:ind w:left="1080" w:hanging="340"/>
        <w:spacing w:after="0"/>
        <w:tabs>
          <w:tab w:leader="none" w:pos="1080" w:val="left"/>
        </w:tabs>
        <w:numPr>
          <w:ilvl w:val="0"/>
          <w:numId w:val="17"/>
        </w:numPr>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Board Structure</w:t>
        </w:r>
      </w:hyperlink>
    </w:p>
    <w:p>
      <w:pPr>
        <w:spacing w:after="0" w:line="59" w:lineRule="exact"/>
        <w:rPr>
          <w:rFonts w:ascii="Arial" w:cs="Arial" w:eastAsia="Arial" w:hAnsi="Arial"/>
          <w:sz w:val="18"/>
          <w:szCs w:val="18"/>
          <w:u w:val="single" w:color="auto"/>
          <w:color w:val="616161"/>
        </w:rPr>
      </w:pPr>
    </w:p>
    <w:p>
      <w:pPr>
        <w:ind w:left="1380"/>
        <w:spacing w:after="0"/>
        <w:tabs>
          <w:tab w:leader="none" w:pos="1660" w:val="left"/>
        </w:tabs>
        <w:rPr>
          <w:rFonts w:ascii="Arial" w:cs="Arial" w:eastAsia="Arial" w:hAnsi="Arial"/>
          <w:sz w:val="13"/>
          <w:szCs w:val="13"/>
          <w:u w:val="single" w:color="auto"/>
          <w:color w:val="0000EE"/>
        </w:rPr>
      </w:pPr>
      <w:r>
        <w:rPr>
          <w:rFonts w:ascii="Arial" w:cs="Arial" w:eastAsia="Arial" w:hAnsi="Arial"/>
          <w:sz w:val="13"/>
          <w:szCs w:val="13"/>
          <w:u w:val="single" w:color="auto"/>
          <w:color w:val="0000EE"/>
        </w:rPr>
        <w:t>34</w:t>
        <w:tab/>
      </w:r>
      <w:hyperlink w:anchor="page38">
        <w:r>
          <w:rPr>
            <w:rFonts w:ascii="Arial" w:cs="Arial" w:eastAsia="Arial" w:hAnsi="Arial"/>
            <w:sz w:val="13"/>
            <w:szCs w:val="13"/>
            <w:u w:val="single" w:color="auto"/>
            <w:color w:val="0000EE"/>
          </w:rPr>
          <w:t>Lead Independent Director</w:t>
        </w:r>
      </w:hyperlink>
    </w:p>
    <w:p>
      <w:pPr>
        <w:spacing w:after="0" w:line="70" w:lineRule="exact"/>
        <w:rPr>
          <w:rFonts w:ascii="Arial" w:cs="Arial" w:eastAsia="Arial" w:hAnsi="Arial"/>
          <w:sz w:val="18"/>
          <w:szCs w:val="18"/>
          <w:u w:val="single" w:color="auto"/>
          <w:color w:val="616161"/>
        </w:rPr>
      </w:pPr>
    </w:p>
    <w:p>
      <w:pPr>
        <w:ind w:left="1080" w:hanging="340"/>
        <w:spacing w:after="0"/>
        <w:tabs>
          <w:tab w:leader="none" w:pos="1080" w:val="left"/>
        </w:tabs>
        <w:numPr>
          <w:ilvl w:val="0"/>
          <w:numId w:val="18"/>
        </w:numPr>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Board Processes and Policies</w:t>
        </w:r>
      </w:hyperlink>
    </w:p>
    <w:p>
      <w:pPr>
        <w:spacing w:after="0" w:line="59" w:lineRule="exact"/>
        <w:rPr>
          <w:rFonts w:ascii="Arial" w:cs="Arial" w:eastAsia="Arial" w:hAnsi="Arial"/>
          <w:sz w:val="18"/>
          <w:szCs w:val="18"/>
          <w:u w:val="single" w:color="auto"/>
          <w:color w:val="616161"/>
        </w:rPr>
      </w:pPr>
    </w:p>
    <w:p>
      <w:pPr>
        <w:ind w:left="1380"/>
        <w:spacing w:after="0"/>
        <w:tabs>
          <w:tab w:leader="none" w:pos="1660" w:val="left"/>
        </w:tabs>
        <w:rPr>
          <w:rFonts w:ascii="Arial" w:cs="Arial" w:eastAsia="Arial" w:hAnsi="Arial"/>
          <w:sz w:val="13"/>
          <w:szCs w:val="13"/>
          <w:u w:val="single" w:color="auto"/>
          <w:color w:val="0000EE"/>
        </w:rPr>
      </w:pPr>
      <w:r>
        <w:rPr>
          <w:rFonts w:ascii="Arial" w:cs="Arial" w:eastAsia="Arial" w:hAnsi="Arial"/>
          <w:sz w:val="13"/>
          <w:szCs w:val="13"/>
          <w:u w:val="single" w:color="auto"/>
          <w:color w:val="0000EE"/>
        </w:rPr>
        <w:t>38</w:t>
        <w:tab/>
      </w:r>
      <w:hyperlink w:anchor="page42">
        <w:r>
          <w:rPr>
            <w:rFonts w:ascii="Arial" w:cs="Arial" w:eastAsia="Arial" w:hAnsi="Arial"/>
            <w:sz w:val="13"/>
            <w:szCs w:val="13"/>
            <w:u w:val="single" w:color="auto"/>
            <w:color w:val="0000EE"/>
          </w:rPr>
          <w:t>Board Evaluation</w:t>
        </w:r>
      </w:hyperlink>
    </w:p>
    <w:p>
      <w:pPr>
        <w:spacing w:after="0" w:line="70" w:lineRule="exact"/>
        <w:rPr>
          <w:rFonts w:ascii="Arial" w:cs="Arial" w:eastAsia="Arial" w:hAnsi="Arial"/>
          <w:sz w:val="18"/>
          <w:szCs w:val="18"/>
          <w:u w:val="single" w:color="auto"/>
          <w:color w:val="616161"/>
        </w:rPr>
      </w:pPr>
    </w:p>
    <w:p>
      <w:pPr>
        <w:ind w:left="1080" w:hanging="340"/>
        <w:spacing w:after="0"/>
        <w:tabs>
          <w:tab w:leader="none" w:pos="1080" w:val="left"/>
        </w:tabs>
        <w:numPr>
          <w:ilvl w:val="0"/>
          <w:numId w:val="19"/>
        </w:numPr>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Director Compensation</w:t>
        </w:r>
      </w:hyperlink>
    </w:p>
    <w:p>
      <w:pPr>
        <w:spacing w:after="0" w:line="20" w:lineRule="exact"/>
        <w:rPr>
          <w:rFonts w:ascii="Arial" w:cs="Arial" w:eastAsia="Arial" w:hAnsi="Arial"/>
          <w:sz w:val="18"/>
          <w:szCs w:val="18"/>
          <w:u w:val="single" w:color="auto"/>
          <w:color w:val="616161"/>
        </w:rPr>
      </w:pPr>
      <w:r>
        <w:rPr>
          <w:rFonts w:ascii="Arial" w:cs="Arial" w:eastAsia="Arial" w:hAnsi="Arial"/>
          <w:sz w:val="18"/>
          <w:szCs w:val="18"/>
          <w:u w:val="single" w:color="auto"/>
          <w:color w:val="616161"/>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2489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248920"/>
                    </a:xfrm>
                    <a:prstGeom prst="rect">
                      <a:avLst/>
                    </a:prstGeom>
                    <a:noFill/>
                  </pic:spPr>
                </pic:pic>
              </a:graphicData>
            </a:graphic>
          </wp:anchor>
        </w:drawing>
      </w:r>
    </w:p>
    <w:p>
      <w:pPr>
        <w:spacing w:after="0" w:line="102" w:lineRule="exact"/>
        <w:rPr>
          <w:rFonts w:ascii="Arial" w:cs="Arial" w:eastAsia="Arial" w:hAnsi="Arial"/>
          <w:sz w:val="18"/>
          <w:szCs w:val="18"/>
          <w:u w:val="single" w:color="auto"/>
          <w:color w:val="616161"/>
        </w:rPr>
      </w:pPr>
    </w:p>
    <w:p>
      <w:pPr>
        <w:ind w:left="200"/>
        <w:spacing w:after="0"/>
        <w:rPr>
          <w:rFonts w:ascii="Arial" w:cs="Arial" w:eastAsia="Arial" w:hAnsi="Arial"/>
          <w:sz w:val="22"/>
          <w:szCs w:val="22"/>
          <w:b w:val="1"/>
          <w:bCs w:val="1"/>
          <w:u w:val="single" w:color="auto"/>
          <w:color w:val="23628F"/>
        </w:rPr>
      </w:pPr>
      <w:hyperlink w:anchor="page48">
        <w:r>
          <w:rPr>
            <w:rFonts w:ascii="Arial" w:cs="Arial" w:eastAsia="Arial" w:hAnsi="Arial"/>
            <w:sz w:val="22"/>
            <w:szCs w:val="22"/>
            <w:b w:val="1"/>
            <w:bCs w:val="1"/>
            <w:u w:val="single" w:color="auto"/>
            <w:color w:val="23628F"/>
          </w:rPr>
          <w:t>44  Executive Officers</w:t>
        </w:r>
      </w:hyperlink>
    </w:p>
    <w:p>
      <w:pPr>
        <w:spacing w:after="0" w:line="20" w:lineRule="exact"/>
        <w:rPr>
          <w:rFonts w:ascii="Arial" w:cs="Arial" w:eastAsia="Arial" w:hAnsi="Arial"/>
          <w:sz w:val="18"/>
          <w:szCs w:val="18"/>
          <w:u w:val="single" w:color="auto"/>
          <w:color w:val="616161"/>
        </w:rPr>
      </w:pPr>
      <w:r>
        <w:rPr>
          <w:rFonts w:ascii="Arial" w:cs="Arial" w:eastAsia="Arial" w:hAnsi="Arial"/>
          <w:sz w:val="18"/>
          <w:szCs w:val="18"/>
          <w:u w:val="single" w:color="auto"/>
          <w:color w:val="616161"/>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2489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248920"/>
                    </a:xfrm>
                    <a:prstGeom prst="rect">
                      <a:avLst/>
                    </a:prstGeom>
                    <a:noFill/>
                  </pic:spPr>
                </pic:pic>
              </a:graphicData>
            </a:graphic>
          </wp:anchor>
        </w:drawing>
      </w:r>
    </w:p>
    <w:p>
      <w:pPr>
        <w:spacing w:after="0" w:line="186" w:lineRule="exact"/>
        <w:rPr>
          <w:rFonts w:ascii="Arial" w:cs="Arial" w:eastAsia="Arial" w:hAnsi="Arial"/>
          <w:sz w:val="18"/>
          <w:szCs w:val="18"/>
          <w:u w:val="single" w:color="auto"/>
          <w:color w:val="616161"/>
        </w:rPr>
      </w:pPr>
    </w:p>
    <w:p>
      <w:pPr>
        <w:ind w:left="200"/>
        <w:spacing w:after="0"/>
        <w:rPr>
          <w:rFonts w:ascii="Arial" w:cs="Arial" w:eastAsia="Arial" w:hAnsi="Arial"/>
          <w:sz w:val="22"/>
          <w:szCs w:val="22"/>
          <w:b w:val="1"/>
          <w:bCs w:val="1"/>
          <w:u w:val="single" w:color="auto"/>
          <w:color w:val="23628F"/>
        </w:rPr>
      </w:pPr>
      <w:hyperlink w:anchor="page50">
        <w:r>
          <w:rPr>
            <w:rFonts w:ascii="Arial" w:cs="Arial" w:eastAsia="Arial" w:hAnsi="Arial"/>
            <w:sz w:val="22"/>
            <w:szCs w:val="22"/>
            <w:b w:val="1"/>
            <w:bCs w:val="1"/>
            <w:u w:val="single" w:color="auto"/>
            <w:color w:val="23628F"/>
          </w:rPr>
          <w:t>46  Executive Compensation</w:t>
        </w:r>
      </w:hyperlink>
    </w:p>
    <w:p>
      <w:pPr>
        <w:spacing w:after="0" w:line="166" w:lineRule="exact"/>
        <w:rPr>
          <w:rFonts w:ascii="Arial" w:cs="Arial" w:eastAsia="Arial" w:hAnsi="Arial"/>
          <w:sz w:val="18"/>
          <w:szCs w:val="18"/>
          <w:u w:val="single" w:color="auto"/>
          <w:color w:val="616161"/>
        </w:rPr>
      </w:pPr>
    </w:p>
    <w:p>
      <w:pPr>
        <w:ind w:left="1140" w:hanging="400"/>
        <w:spacing w:after="0"/>
        <w:tabs>
          <w:tab w:leader="none" w:pos="1140" w:val="left"/>
        </w:tabs>
        <w:numPr>
          <w:ilvl w:val="0"/>
          <w:numId w:val="20"/>
        </w:numPr>
        <w:rPr>
          <w:rFonts w:ascii="Arial" w:cs="Arial" w:eastAsia="Arial" w:hAnsi="Arial"/>
          <w:sz w:val="18"/>
          <w:szCs w:val="18"/>
          <w:b w:val="1"/>
          <w:bCs w:val="1"/>
          <w:u w:val="single" w:color="auto"/>
          <w:color w:val="61C4AF"/>
        </w:rPr>
      </w:pPr>
      <w:hyperlink w:anchor="page50">
        <w:r>
          <w:rPr>
            <w:rFonts w:ascii="Arial" w:cs="Arial" w:eastAsia="Arial" w:hAnsi="Arial"/>
            <w:sz w:val="18"/>
            <w:szCs w:val="18"/>
            <w:b w:val="1"/>
            <w:bCs w:val="1"/>
            <w:u w:val="single" w:color="auto"/>
            <w:color w:val="61C4AF"/>
          </w:rPr>
          <w:t xml:space="preserve">Proposal 2 </w:t>
        </w:r>
        <w:r>
          <w:rPr>
            <w:rFonts w:ascii="Arial" w:cs="Arial" w:eastAsia="Arial" w:hAnsi="Arial"/>
            <w:sz w:val="18"/>
            <w:szCs w:val="18"/>
            <w:u w:val="single" w:color="auto"/>
            <w:color w:val="0000EE"/>
          </w:rPr>
          <w:t>Advisory Vote on Executive Compensation</w:t>
        </w:r>
      </w:hyperlink>
    </w:p>
    <w:p>
      <w:pPr>
        <w:spacing w:after="0" w:line="54" w:lineRule="exact"/>
        <w:rPr>
          <w:rFonts w:ascii="Arial" w:cs="Arial" w:eastAsia="Arial" w:hAnsi="Arial"/>
          <w:sz w:val="18"/>
          <w:szCs w:val="18"/>
          <w:b w:val="1"/>
          <w:bCs w:val="1"/>
          <w:u w:val="single" w:color="auto"/>
          <w:color w:val="61C4AF"/>
        </w:rPr>
      </w:pPr>
    </w:p>
    <w:p>
      <w:pPr>
        <w:ind w:left="1080" w:hanging="340"/>
        <w:spacing w:after="0"/>
        <w:tabs>
          <w:tab w:leader="none" w:pos="1080" w:val="left"/>
        </w:tabs>
        <w:numPr>
          <w:ilvl w:val="0"/>
          <w:numId w:val="20"/>
        </w:numPr>
        <w:rPr>
          <w:rFonts w:ascii="Arial" w:cs="Arial" w:eastAsia="Arial" w:hAnsi="Arial"/>
          <w:sz w:val="18"/>
          <w:szCs w:val="18"/>
          <w:u w:val="single" w:color="auto"/>
          <w:color w:val="0000EE"/>
        </w:rPr>
      </w:pPr>
      <w:r>
        <w:rPr>
          <w:rFonts w:ascii="Arial" w:cs="Arial" w:eastAsia="Arial" w:hAnsi="Arial"/>
          <w:sz w:val="1"/>
          <w:szCs w:val="1"/>
          <w:u w:val="single" w:color="auto"/>
          <w:color w:val="616161"/>
        </w:rPr>
        <w:drawing>
          <wp:inline distT="0" distB="0" distL="0" distR="0">
            <wp:extent cx="111760" cy="11112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1760" cy="111125"/>
                    </a:xfrm>
                    <a:prstGeom prst="rect">
                      <a:avLst/>
                    </a:prstGeom>
                    <a:noFill/>
                    <a:ln>
                      <a:noFill/>
                    </a:ln>
                  </pic:spPr>
                </pic:pic>
              </a:graphicData>
            </a:graphic>
          </wp:inline>
        </w:drawing>
      </w:r>
      <w:hyperlink w:anchor="page51">
        <w:r>
          <w:rPr>
            <w:rFonts w:ascii="Arial" w:cs="Arial" w:eastAsia="Arial" w:hAnsi="Arial"/>
            <w:sz w:val="18"/>
            <w:szCs w:val="18"/>
            <w:u w:val="single" w:color="auto"/>
            <w:color w:val="0000EE"/>
          </w:rPr>
          <w:t xml:space="preserve"> Letter to Stockholders from the Compensation and Talent Committee</w:t>
        </w:r>
      </w:hyperlink>
    </w:p>
    <w:p>
      <w:pPr>
        <w:spacing w:after="0" w:line="59" w:lineRule="exact"/>
        <w:rPr>
          <w:rFonts w:ascii="Arial" w:cs="Arial" w:eastAsia="Arial" w:hAnsi="Arial"/>
          <w:sz w:val="18"/>
          <w:szCs w:val="18"/>
          <w:u w:val="single" w:color="auto"/>
          <w:color w:val="0000EE"/>
        </w:rPr>
      </w:pPr>
    </w:p>
    <w:p>
      <w:pPr>
        <w:ind w:left="1080" w:hanging="340"/>
        <w:spacing w:after="0"/>
        <w:tabs>
          <w:tab w:leader="none" w:pos="1080" w:val="left"/>
        </w:tabs>
        <w:numPr>
          <w:ilvl w:val="0"/>
          <w:numId w:val="20"/>
        </w:numPr>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Report of the Compensation and Talent Committee</w:t>
        </w:r>
      </w:hyperlink>
    </w:p>
    <w:p>
      <w:pPr>
        <w:spacing w:after="0" w:line="36" w:lineRule="exact"/>
        <w:rPr>
          <w:rFonts w:ascii="Arial" w:cs="Arial" w:eastAsia="Arial" w:hAnsi="Arial"/>
          <w:sz w:val="18"/>
          <w:szCs w:val="18"/>
          <w:u w:val="single" w:color="auto"/>
          <w:color w:val="0000EE"/>
        </w:rPr>
      </w:pPr>
    </w:p>
    <w:p>
      <w:pPr>
        <w:ind w:left="1080" w:hanging="340"/>
        <w:spacing w:after="0"/>
        <w:tabs>
          <w:tab w:leader="none" w:pos="1080" w:val="left"/>
        </w:tabs>
        <w:numPr>
          <w:ilvl w:val="0"/>
          <w:numId w:val="20"/>
        </w:numPr>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Compensation Discussion and Analysis</w:t>
        </w:r>
      </w:hyperlink>
    </w:p>
    <w:p>
      <w:pPr>
        <w:spacing w:after="0" w:line="20" w:lineRule="exact"/>
        <w:rPr>
          <w:rFonts w:ascii="Arial" w:cs="Arial" w:eastAsia="Arial" w:hAnsi="Arial"/>
          <w:sz w:val="18"/>
          <w:szCs w:val="18"/>
          <w:u w:val="single" w:color="auto"/>
          <w:color w:val="616161"/>
        </w:rPr>
      </w:pPr>
      <w:r>
        <w:rPr>
          <w:rFonts w:ascii="Arial" w:cs="Arial" w:eastAsia="Arial" w:hAnsi="Arial"/>
          <w:sz w:val="18"/>
          <w:szCs w:val="18"/>
          <w:u w:val="single" w:color="auto"/>
          <w:color w:val="616161"/>
        </w:rPr>
        <w:drawing>
          <wp:anchor simplePos="0" relativeHeight="251657728" behindDoc="1" locked="0" layoutInCell="0" allowOverlap="1">
            <wp:simplePos x="0" y="0"/>
            <wp:positionH relativeFrom="column">
              <wp:posOffset>680085</wp:posOffset>
            </wp:positionH>
            <wp:positionV relativeFrom="paragraph">
              <wp:posOffset>-623570</wp:posOffset>
            </wp:positionV>
            <wp:extent cx="664210" cy="1498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4210" cy="149860"/>
                    </a:xfrm>
                    <a:prstGeom prst="rect">
                      <a:avLst/>
                    </a:prstGeom>
                    <a:noFill/>
                  </pic:spPr>
                </pic:pic>
              </a:graphicData>
            </a:graphic>
          </wp:anchor>
        </w:drawing>
      </w:r>
    </w:p>
    <w:p>
      <w:pPr>
        <w:spacing w:after="0" w:line="39" w:lineRule="exact"/>
        <w:rPr>
          <w:rFonts w:ascii="Arial" w:cs="Arial" w:eastAsia="Arial" w:hAnsi="Arial"/>
          <w:sz w:val="18"/>
          <w:szCs w:val="18"/>
          <w:u w:val="single" w:color="auto"/>
          <w:color w:val="616161"/>
        </w:rPr>
      </w:pPr>
    </w:p>
    <w:p>
      <w:pPr>
        <w:ind w:left="1680" w:hanging="301"/>
        <w:spacing w:after="0"/>
        <w:tabs>
          <w:tab w:leader="none" w:pos="1680" w:val="left"/>
        </w:tabs>
        <w:numPr>
          <w:ilvl w:val="0"/>
          <w:numId w:val="21"/>
        </w:numPr>
        <w:rPr>
          <w:rFonts w:ascii="Arial" w:cs="Arial" w:eastAsia="Arial" w:hAnsi="Arial"/>
          <w:sz w:val="13"/>
          <w:szCs w:val="13"/>
          <w:u w:val="single" w:color="auto"/>
          <w:color w:val="0000EE"/>
        </w:rPr>
      </w:pPr>
      <w:hyperlink w:anchor="page54">
        <w:r>
          <w:rPr>
            <w:rFonts w:ascii="Arial" w:cs="Arial" w:eastAsia="Arial" w:hAnsi="Arial"/>
            <w:sz w:val="13"/>
            <w:szCs w:val="13"/>
            <w:u w:val="single" w:color="auto"/>
            <w:color w:val="0000EE"/>
          </w:rPr>
          <w:t>Fiscal 2020 Executive Summary and Chief Executive Officer Transition Discussion</w:t>
        </w:r>
      </w:hyperlink>
    </w:p>
    <w:p>
      <w:pPr>
        <w:spacing w:after="0" w:line="93" w:lineRule="exact"/>
        <w:rPr>
          <w:rFonts w:ascii="Arial" w:cs="Arial" w:eastAsia="Arial" w:hAnsi="Arial"/>
          <w:sz w:val="13"/>
          <w:szCs w:val="13"/>
          <w:u w:val="single" w:color="auto"/>
          <w:color w:val="0000EE"/>
        </w:rPr>
      </w:pPr>
    </w:p>
    <w:p>
      <w:pPr>
        <w:ind w:left="1680" w:hanging="301"/>
        <w:spacing w:after="0"/>
        <w:tabs>
          <w:tab w:leader="none" w:pos="1680" w:val="left"/>
        </w:tabs>
        <w:numPr>
          <w:ilvl w:val="0"/>
          <w:numId w:val="22"/>
        </w:numPr>
        <w:rPr>
          <w:rFonts w:ascii="Arial" w:cs="Arial" w:eastAsia="Arial" w:hAnsi="Arial"/>
          <w:sz w:val="13"/>
          <w:szCs w:val="13"/>
          <w:u w:val="single" w:color="auto"/>
          <w:color w:val="0000EE"/>
        </w:rPr>
      </w:pPr>
      <w:hyperlink w:anchor="page63">
        <w:r>
          <w:rPr>
            <w:rFonts w:ascii="Arial" w:cs="Arial" w:eastAsia="Arial" w:hAnsi="Arial"/>
            <w:sz w:val="13"/>
            <w:szCs w:val="13"/>
            <w:u w:val="single" w:color="auto"/>
            <w:color w:val="0000EE"/>
          </w:rPr>
          <w:t>Fiscal 2020 Philosophy, Objectives and Process</w:t>
        </w:r>
      </w:hyperlink>
    </w:p>
    <w:p>
      <w:pPr>
        <w:spacing w:after="0" w:line="93" w:lineRule="exact"/>
        <w:rPr>
          <w:rFonts w:ascii="Arial" w:cs="Arial" w:eastAsia="Arial" w:hAnsi="Arial"/>
          <w:sz w:val="13"/>
          <w:szCs w:val="13"/>
          <w:u w:val="single" w:color="auto"/>
          <w:color w:val="0000EE"/>
        </w:rPr>
      </w:pPr>
    </w:p>
    <w:p>
      <w:pPr>
        <w:ind w:left="1680" w:hanging="301"/>
        <w:spacing w:after="0"/>
        <w:tabs>
          <w:tab w:leader="none" w:pos="1680" w:val="left"/>
        </w:tabs>
        <w:numPr>
          <w:ilvl w:val="0"/>
          <w:numId w:val="23"/>
        </w:numPr>
        <w:rPr>
          <w:rFonts w:ascii="Arial" w:cs="Arial" w:eastAsia="Arial" w:hAnsi="Arial"/>
          <w:sz w:val="13"/>
          <w:szCs w:val="13"/>
          <w:u w:val="single" w:color="auto"/>
          <w:color w:val="0000EE"/>
        </w:rPr>
      </w:pPr>
      <w:hyperlink w:anchor="page68">
        <w:r>
          <w:rPr>
            <w:rFonts w:ascii="Arial" w:cs="Arial" w:eastAsia="Arial" w:hAnsi="Arial"/>
            <w:sz w:val="13"/>
            <w:szCs w:val="13"/>
            <w:u w:val="single" w:color="auto"/>
            <w:color w:val="0000EE"/>
          </w:rPr>
          <w:t>Fiscal 2020 Decisions and Outcomes</w:t>
        </w:r>
      </w:hyperlink>
    </w:p>
    <w:p>
      <w:pPr>
        <w:spacing w:after="0" w:line="93" w:lineRule="exact"/>
        <w:rPr>
          <w:rFonts w:ascii="Arial" w:cs="Arial" w:eastAsia="Arial" w:hAnsi="Arial"/>
          <w:sz w:val="13"/>
          <w:szCs w:val="13"/>
          <w:u w:val="single" w:color="auto"/>
          <w:color w:val="0000EE"/>
        </w:rPr>
      </w:pPr>
    </w:p>
    <w:p>
      <w:pPr>
        <w:ind w:left="1680" w:hanging="301"/>
        <w:spacing w:after="0"/>
        <w:tabs>
          <w:tab w:leader="none" w:pos="1680" w:val="left"/>
        </w:tabs>
        <w:numPr>
          <w:ilvl w:val="0"/>
          <w:numId w:val="24"/>
        </w:numPr>
        <w:rPr>
          <w:rFonts w:ascii="Arial" w:cs="Arial" w:eastAsia="Arial" w:hAnsi="Arial"/>
          <w:sz w:val="13"/>
          <w:szCs w:val="13"/>
          <w:u w:val="single" w:color="auto"/>
          <w:color w:val="0000EE"/>
        </w:rPr>
      </w:pPr>
      <w:hyperlink w:anchor="page75">
        <w:r>
          <w:rPr>
            <w:rFonts w:ascii="Arial" w:cs="Arial" w:eastAsia="Arial" w:hAnsi="Arial"/>
            <w:sz w:val="13"/>
            <w:szCs w:val="13"/>
            <w:u w:val="single" w:color="auto"/>
            <w:color w:val="0000EE"/>
          </w:rPr>
          <w:t>Fiscal 2021 Decisions</w:t>
        </w:r>
      </w:hyperlink>
    </w:p>
    <w:p>
      <w:pPr>
        <w:spacing w:after="0" w:line="93" w:lineRule="exact"/>
        <w:rPr>
          <w:rFonts w:ascii="Arial" w:cs="Arial" w:eastAsia="Arial" w:hAnsi="Arial"/>
          <w:sz w:val="13"/>
          <w:szCs w:val="13"/>
          <w:u w:val="single" w:color="auto"/>
          <w:color w:val="0000EE"/>
        </w:rPr>
      </w:pPr>
    </w:p>
    <w:p>
      <w:pPr>
        <w:ind w:left="1680" w:hanging="301"/>
        <w:spacing w:after="0"/>
        <w:tabs>
          <w:tab w:leader="none" w:pos="1680" w:val="left"/>
        </w:tabs>
        <w:numPr>
          <w:ilvl w:val="0"/>
          <w:numId w:val="25"/>
        </w:numPr>
        <w:rPr>
          <w:rFonts w:ascii="Arial" w:cs="Arial" w:eastAsia="Arial" w:hAnsi="Arial"/>
          <w:sz w:val="13"/>
          <w:szCs w:val="13"/>
          <w:u w:val="single" w:color="auto"/>
          <w:color w:val="0000EE"/>
        </w:rPr>
      </w:pPr>
      <w:hyperlink w:anchor="page78">
        <w:r>
          <w:rPr>
            <w:rFonts w:ascii="Arial" w:cs="Arial" w:eastAsia="Arial" w:hAnsi="Arial"/>
            <w:sz w:val="13"/>
            <w:szCs w:val="13"/>
            <w:u w:val="single" w:color="auto"/>
            <w:color w:val="0000EE"/>
          </w:rPr>
          <w:t>Other Program Features and Policies</w:t>
        </w:r>
      </w:hyperlink>
    </w:p>
    <w:p>
      <w:pPr>
        <w:spacing w:after="0" w:line="70" w:lineRule="exact"/>
        <w:rPr>
          <w:rFonts w:ascii="Arial" w:cs="Arial" w:eastAsia="Arial" w:hAnsi="Arial"/>
          <w:sz w:val="13"/>
          <w:szCs w:val="13"/>
          <w:u w:val="single" w:color="auto"/>
          <w:color w:val="0000EE"/>
        </w:rPr>
      </w:pPr>
    </w:p>
    <w:p>
      <w:pPr>
        <w:ind w:left="1080" w:hanging="340"/>
        <w:spacing w:after="0"/>
        <w:tabs>
          <w:tab w:leader="none" w:pos="1080" w:val="left"/>
        </w:tabs>
        <w:numPr>
          <w:ilvl w:val="0"/>
          <w:numId w:val="26"/>
        </w:numPr>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Executive Compensation Tables and Narratives</w:t>
        </w:r>
      </w:hyperlink>
    </w:p>
    <w:p>
      <w:pPr>
        <w:spacing w:after="0" w:line="59" w:lineRule="exact"/>
        <w:rPr>
          <w:rFonts w:ascii="Arial" w:cs="Arial" w:eastAsia="Arial" w:hAnsi="Arial"/>
          <w:sz w:val="13"/>
          <w:szCs w:val="13"/>
          <w:u w:val="single" w:color="auto"/>
          <w:color w:val="0000EE"/>
        </w:rPr>
      </w:pPr>
    </w:p>
    <w:p>
      <w:pPr>
        <w:ind w:left="1680" w:hanging="301"/>
        <w:spacing w:after="0"/>
        <w:tabs>
          <w:tab w:leader="none" w:pos="1680" w:val="left"/>
        </w:tabs>
        <w:numPr>
          <w:ilvl w:val="0"/>
          <w:numId w:val="27"/>
        </w:numPr>
        <w:rPr>
          <w:rFonts w:ascii="Arial" w:cs="Arial" w:eastAsia="Arial" w:hAnsi="Arial"/>
          <w:sz w:val="13"/>
          <w:szCs w:val="13"/>
          <w:u w:val="single" w:color="auto"/>
          <w:color w:val="0000EE"/>
        </w:rPr>
      </w:pPr>
      <w:hyperlink w:anchor="page81">
        <w:r>
          <w:rPr>
            <w:rFonts w:ascii="Arial" w:cs="Arial" w:eastAsia="Arial" w:hAnsi="Arial"/>
            <w:sz w:val="13"/>
            <w:szCs w:val="13"/>
            <w:u w:val="single" w:color="auto"/>
            <w:color w:val="0000EE"/>
          </w:rPr>
          <w:t>Fiscal 2018—2020 Summary Compensation Table</w:t>
        </w:r>
      </w:hyperlink>
    </w:p>
    <w:p>
      <w:pPr>
        <w:spacing w:after="0" w:line="93" w:lineRule="exact"/>
        <w:rPr>
          <w:rFonts w:ascii="Arial" w:cs="Arial" w:eastAsia="Arial" w:hAnsi="Arial"/>
          <w:sz w:val="13"/>
          <w:szCs w:val="13"/>
          <w:u w:val="single" w:color="auto"/>
          <w:color w:val="0000EE"/>
        </w:rPr>
      </w:pPr>
    </w:p>
    <w:p>
      <w:pPr>
        <w:ind w:left="1680" w:hanging="301"/>
        <w:spacing w:after="0"/>
        <w:tabs>
          <w:tab w:leader="none" w:pos="1680" w:val="left"/>
        </w:tabs>
        <w:numPr>
          <w:ilvl w:val="0"/>
          <w:numId w:val="28"/>
        </w:numPr>
        <w:rPr>
          <w:rFonts w:ascii="Arial" w:cs="Arial" w:eastAsia="Arial" w:hAnsi="Arial"/>
          <w:sz w:val="13"/>
          <w:szCs w:val="13"/>
          <w:u w:val="single" w:color="auto"/>
          <w:color w:val="0000EE"/>
        </w:rPr>
      </w:pPr>
      <w:hyperlink w:anchor="page83">
        <w:r>
          <w:rPr>
            <w:rFonts w:ascii="Arial" w:cs="Arial" w:eastAsia="Arial" w:hAnsi="Arial"/>
            <w:sz w:val="13"/>
            <w:szCs w:val="13"/>
            <w:u w:val="single" w:color="auto"/>
            <w:color w:val="0000EE"/>
          </w:rPr>
          <w:t>Fiscal 2020 Grants of Plan-Based Awards Table</w:t>
        </w:r>
      </w:hyperlink>
    </w:p>
    <w:p>
      <w:pPr>
        <w:spacing w:after="0" w:line="93" w:lineRule="exact"/>
        <w:rPr>
          <w:rFonts w:ascii="Arial" w:cs="Arial" w:eastAsia="Arial" w:hAnsi="Arial"/>
          <w:sz w:val="13"/>
          <w:szCs w:val="13"/>
          <w:u w:val="single" w:color="auto"/>
          <w:color w:val="0000EE"/>
        </w:rPr>
      </w:pPr>
    </w:p>
    <w:p>
      <w:pPr>
        <w:ind w:left="1680" w:hanging="301"/>
        <w:spacing w:after="0"/>
        <w:tabs>
          <w:tab w:leader="none" w:pos="1680" w:val="left"/>
        </w:tabs>
        <w:numPr>
          <w:ilvl w:val="0"/>
          <w:numId w:val="28"/>
        </w:numPr>
        <w:rPr>
          <w:rFonts w:ascii="Arial" w:cs="Arial" w:eastAsia="Arial" w:hAnsi="Arial"/>
          <w:sz w:val="13"/>
          <w:szCs w:val="13"/>
          <w:u w:val="single" w:color="auto"/>
          <w:color w:val="0000EE"/>
        </w:rPr>
      </w:pPr>
      <w:hyperlink w:anchor="page84">
        <w:r>
          <w:rPr>
            <w:rFonts w:ascii="Arial" w:cs="Arial" w:eastAsia="Arial" w:hAnsi="Arial"/>
            <w:sz w:val="13"/>
            <w:szCs w:val="13"/>
            <w:u w:val="single" w:color="auto"/>
            <w:color w:val="0000EE"/>
          </w:rPr>
          <w:t>Description of Compensation Arrangements for Named Executive Officers</w:t>
        </w:r>
      </w:hyperlink>
    </w:p>
    <w:p>
      <w:pPr>
        <w:spacing w:after="0" w:line="93" w:lineRule="exact"/>
        <w:rPr>
          <w:rFonts w:ascii="Arial" w:cs="Arial" w:eastAsia="Arial" w:hAnsi="Arial"/>
          <w:sz w:val="13"/>
          <w:szCs w:val="13"/>
          <w:u w:val="single" w:color="auto"/>
          <w:color w:val="0000EE"/>
        </w:rPr>
      </w:pPr>
    </w:p>
    <w:p>
      <w:pPr>
        <w:ind w:left="1680" w:hanging="301"/>
        <w:spacing w:after="0"/>
        <w:tabs>
          <w:tab w:leader="none" w:pos="1680" w:val="left"/>
        </w:tabs>
        <w:numPr>
          <w:ilvl w:val="0"/>
          <w:numId w:val="29"/>
        </w:numPr>
        <w:rPr>
          <w:rFonts w:ascii="Arial" w:cs="Arial" w:eastAsia="Arial" w:hAnsi="Arial"/>
          <w:sz w:val="13"/>
          <w:szCs w:val="13"/>
          <w:u w:val="single" w:color="auto"/>
          <w:color w:val="0000EE"/>
        </w:rPr>
      </w:pPr>
      <w:hyperlink w:anchor="page86">
        <w:r>
          <w:rPr>
            <w:rFonts w:ascii="Arial" w:cs="Arial" w:eastAsia="Arial" w:hAnsi="Arial"/>
            <w:sz w:val="13"/>
            <w:szCs w:val="13"/>
            <w:u w:val="single" w:color="auto"/>
            <w:color w:val="0000EE"/>
          </w:rPr>
          <w:t>Outstanding Equity Awards at Fiscal 2020 Year-End Table</w:t>
        </w:r>
      </w:hyperlink>
    </w:p>
    <w:p>
      <w:pPr>
        <w:spacing w:after="0" w:line="93" w:lineRule="exact"/>
        <w:rPr>
          <w:rFonts w:ascii="Arial" w:cs="Arial" w:eastAsia="Arial" w:hAnsi="Arial"/>
          <w:sz w:val="13"/>
          <w:szCs w:val="13"/>
          <w:u w:val="single" w:color="auto"/>
          <w:color w:val="0000EE"/>
        </w:rPr>
      </w:pPr>
    </w:p>
    <w:p>
      <w:pPr>
        <w:ind w:left="1680" w:hanging="301"/>
        <w:spacing w:after="0"/>
        <w:tabs>
          <w:tab w:leader="none" w:pos="1680" w:val="left"/>
        </w:tabs>
        <w:numPr>
          <w:ilvl w:val="0"/>
          <w:numId w:val="30"/>
        </w:numPr>
        <w:rPr>
          <w:rFonts w:ascii="Arial" w:cs="Arial" w:eastAsia="Arial" w:hAnsi="Arial"/>
          <w:sz w:val="13"/>
          <w:szCs w:val="13"/>
          <w:u w:val="single" w:color="auto"/>
          <w:color w:val="0000EE"/>
        </w:rPr>
      </w:pPr>
      <w:hyperlink w:anchor="page88">
        <w:r>
          <w:rPr>
            <w:rFonts w:ascii="Arial" w:cs="Arial" w:eastAsia="Arial" w:hAnsi="Arial"/>
            <w:sz w:val="13"/>
            <w:szCs w:val="13"/>
            <w:u w:val="single" w:color="auto"/>
            <w:color w:val="0000EE"/>
          </w:rPr>
          <w:t>Fiscal 2020 Option Exercises and Stock Vested Table</w:t>
        </w:r>
      </w:hyperlink>
    </w:p>
    <w:p>
      <w:pPr>
        <w:spacing w:after="0" w:line="93" w:lineRule="exact"/>
        <w:rPr>
          <w:rFonts w:ascii="Arial" w:cs="Arial" w:eastAsia="Arial" w:hAnsi="Arial"/>
          <w:sz w:val="13"/>
          <w:szCs w:val="13"/>
          <w:u w:val="single" w:color="auto"/>
          <w:color w:val="0000EE"/>
        </w:rPr>
      </w:pPr>
    </w:p>
    <w:p>
      <w:pPr>
        <w:ind w:left="1680" w:hanging="301"/>
        <w:spacing w:after="0"/>
        <w:tabs>
          <w:tab w:leader="none" w:pos="1680" w:val="left"/>
        </w:tabs>
        <w:numPr>
          <w:ilvl w:val="0"/>
          <w:numId w:val="30"/>
        </w:numPr>
        <w:rPr>
          <w:rFonts w:ascii="Arial" w:cs="Arial" w:eastAsia="Arial" w:hAnsi="Arial"/>
          <w:sz w:val="13"/>
          <w:szCs w:val="13"/>
          <w:u w:val="single" w:color="auto"/>
          <w:color w:val="0000EE"/>
        </w:rPr>
      </w:pPr>
      <w:hyperlink w:anchor="page89">
        <w:r>
          <w:rPr>
            <w:rFonts w:ascii="Arial" w:cs="Arial" w:eastAsia="Arial" w:hAnsi="Arial"/>
            <w:sz w:val="13"/>
            <w:szCs w:val="13"/>
            <w:u w:val="single" w:color="auto"/>
            <w:color w:val="0000EE"/>
          </w:rPr>
          <w:t>Fiscal 2020 Non-Qualified Deferred Compensation Table</w:t>
        </w:r>
      </w:hyperlink>
    </w:p>
    <w:p>
      <w:pPr>
        <w:spacing w:after="0" w:line="93" w:lineRule="exact"/>
        <w:rPr>
          <w:rFonts w:ascii="Arial" w:cs="Arial" w:eastAsia="Arial" w:hAnsi="Arial"/>
          <w:sz w:val="13"/>
          <w:szCs w:val="13"/>
          <w:u w:val="single" w:color="auto"/>
          <w:color w:val="0000EE"/>
        </w:rPr>
      </w:pPr>
    </w:p>
    <w:p>
      <w:pPr>
        <w:ind w:left="1680" w:hanging="301"/>
        <w:spacing w:after="0"/>
        <w:tabs>
          <w:tab w:leader="none" w:pos="1680" w:val="left"/>
        </w:tabs>
        <w:numPr>
          <w:ilvl w:val="0"/>
          <w:numId w:val="30"/>
        </w:numPr>
        <w:rPr>
          <w:rFonts w:ascii="Arial" w:cs="Arial" w:eastAsia="Arial" w:hAnsi="Arial"/>
          <w:sz w:val="13"/>
          <w:szCs w:val="13"/>
          <w:u w:val="single" w:color="auto"/>
          <w:color w:val="0000EE"/>
        </w:rPr>
      </w:pPr>
      <w:hyperlink w:anchor="page90">
        <w:r>
          <w:rPr>
            <w:rFonts w:ascii="Arial" w:cs="Arial" w:eastAsia="Arial" w:hAnsi="Arial"/>
            <w:sz w:val="13"/>
            <w:szCs w:val="13"/>
            <w:u w:val="single" w:color="auto"/>
            <w:color w:val="0000EE"/>
          </w:rPr>
          <w:t>Potential Payments upon Termination or Change in Control</w:t>
        </w:r>
      </w:hyperlink>
    </w:p>
    <w:p>
      <w:pPr>
        <w:spacing w:after="0" w:line="70" w:lineRule="exact"/>
        <w:rPr>
          <w:rFonts w:ascii="Arial" w:cs="Arial" w:eastAsia="Arial" w:hAnsi="Arial"/>
          <w:sz w:val="13"/>
          <w:szCs w:val="13"/>
          <w:u w:val="single" w:color="auto"/>
          <w:color w:val="0000EE"/>
        </w:rPr>
      </w:pPr>
    </w:p>
    <w:p>
      <w:pPr>
        <w:ind w:left="1080" w:hanging="340"/>
        <w:spacing w:after="0"/>
        <w:tabs>
          <w:tab w:leader="none" w:pos="1080" w:val="left"/>
        </w:tabs>
        <w:numPr>
          <w:ilvl w:val="0"/>
          <w:numId w:val="31"/>
        </w:numPr>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CEO Pay Ratio</w:t>
        </w:r>
      </w:hyperlink>
    </w:p>
    <w:p>
      <w:pPr>
        <w:spacing w:after="0" w:line="20" w:lineRule="exact"/>
        <w:rPr>
          <w:rFonts w:ascii="Arial" w:cs="Arial" w:eastAsia="Arial" w:hAnsi="Arial"/>
          <w:sz w:val="13"/>
          <w:szCs w:val="13"/>
          <w:u w:val="single" w:color="auto"/>
          <w:color w:val="0000EE"/>
        </w:rPr>
      </w:pPr>
      <w:r>
        <w:rPr>
          <w:rFonts w:ascii="Arial" w:cs="Arial" w:eastAsia="Arial" w:hAnsi="Arial"/>
          <w:sz w:val="13"/>
          <w:szCs w:val="13"/>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2482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248285"/>
                    </a:xfrm>
                    <a:prstGeom prst="rect">
                      <a:avLst/>
                    </a:prstGeom>
                    <a:noFill/>
                  </pic:spPr>
                </pic:pic>
              </a:graphicData>
            </a:graphic>
          </wp:anchor>
        </w:drawing>
      </w:r>
    </w:p>
    <w:p>
      <w:pPr>
        <w:spacing w:after="0" w:line="102" w:lineRule="exact"/>
        <w:rPr>
          <w:rFonts w:ascii="Arial" w:cs="Arial" w:eastAsia="Arial" w:hAnsi="Arial"/>
          <w:sz w:val="13"/>
          <w:szCs w:val="13"/>
          <w:u w:val="single" w:color="auto"/>
          <w:color w:val="0000EE"/>
        </w:rPr>
      </w:pPr>
    </w:p>
    <w:p>
      <w:pPr>
        <w:ind w:left="600" w:hanging="391"/>
        <w:spacing w:after="0"/>
        <w:tabs>
          <w:tab w:leader="none" w:pos="600" w:val="left"/>
        </w:tabs>
        <w:numPr>
          <w:ilvl w:val="0"/>
          <w:numId w:val="32"/>
        </w:numPr>
        <w:rPr>
          <w:rFonts w:ascii="Arial" w:cs="Arial" w:eastAsia="Arial" w:hAnsi="Arial"/>
          <w:sz w:val="22"/>
          <w:szCs w:val="22"/>
          <w:b w:val="1"/>
          <w:bCs w:val="1"/>
          <w:u w:val="single" w:color="auto"/>
          <w:color w:val="23628F"/>
        </w:rPr>
      </w:pPr>
      <w:hyperlink w:anchor="page97">
        <w:r>
          <w:rPr>
            <w:rFonts w:ascii="Arial" w:cs="Arial" w:eastAsia="Arial" w:hAnsi="Arial"/>
            <w:sz w:val="22"/>
            <w:szCs w:val="22"/>
            <w:b w:val="1"/>
            <w:bCs w:val="1"/>
            <w:u w:val="single" w:color="auto"/>
            <w:color w:val="23628F"/>
          </w:rPr>
          <w:t>Equity Compensation Plan Information</w:t>
        </w:r>
      </w:hyperlink>
    </w:p>
    <w:p>
      <w:pPr>
        <w:spacing w:after="0" w:line="206" w:lineRule="exact"/>
        <w:rPr>
          <w:rFonts w:ascii="Arial" w:cs="Arial" w:eastAsia="Arial" w:hAnsi="Arial"/>
          <w:sz w:val="22"/>
          <w:szCs w:val="22"/>
          <w:b w:val="1"/>
          <w:bCs w:val="1"/>
          <w:u w:val="single" w:color="auto"/>
          <w:color w:val="23628F"/>
        </w:rPr>
      </w:pPr>
    </w:p>
    <w:p>
      <w:pPr>
        <w:ind w:left="600" w:hanging="391"/>
        <w:spacing w:after="0"/>
        <w:tabs>
          <w:tab w:leader="none" w:pos="600" w:val="left"/>
        </w:tabs>
        <w:numPr>
          <w:ilvl w:val="0"/>
          <w:numId w:val="32"/>
        </w:numPr>
        <w:rPr>
          <w:rFonts w:ascii="Arial" w:cs="Arial" w:eastAsia="Arial" w:hAnsi="Arial"/>
          <w:sz w:val="22"/>
          <w:szCs w:val="22"/>
          <w:b w:val="1"/>
          <w:bCs w:val="1"/>
          <w:u w:val="single" w:color="auto"/>
          <w:color w:val="23628F"/>
        </w:rPr>
      </w:pPr>
      <w:hyperlink w:anchor="page98">
        <w:r>
          <w:rPr>
            <w:rFonts w:ascii="Arial" w:cs="Arial" w:eastAsia="Arial" w:hAnsi="Arial"/>
            <w:sz w:val="22"/>
            <w:szCs w:val="22"/>
            <w:b w:val="1"/>
            <w:bCs w:val="1"/>
            <w:u w:val="single" w:color="auto"/>
            <w:color w:val="23628F"/>
          </w:rPr>
          <w:t>Stock Ownership Information</w:t>
        </w:r>
      </w:hyperlink>
    </w:p>
    <w:p>
      <w:pPr>
        <w:spacing w:after="0" w:line="20" w:lineRule="exact"/>
        <w:rPr>
          <w:rFonts w:ascii="Arial" w:cs="Arial" w:eastAsia="Arial" w:hAnsi="Arial"/>
          <w:sz w:val="22"/>
          <w:szCs w:val="22"/>
          <w:b w:val="1"/>
          <w:bCs w:val="1"/>
          <w:u w:val="single" w:color="auto"/>
          <w:color w:val="23628F"/>
        </w:rPr>
      </w:pPr>
      <w:r>
        <w:rPr>
          <w:rFonts w:ascii="Arial" w:cs="Arial" w:eastAsia="Arial" w:hAnsi="Arial"/>
          <w:sz w:val="22"/>
          <w:szCs w:val="22"/>
          <w:b w:val="1"/>
          <w:bCs w:val="1"/>
          <w:u w:val="single" w:color="auto"/>
          <w:color w:val="23628F"/>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7132320" cy="5397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539750"/>
                    </a:xfrm>
                    <a:prstGeom prst="rect">
                      <a:avLst/>
                    </a:prstGeom>
                    <a:noFill/>
                  </pic:spPr>
                </pic:pic>
              </a:graphicData>
            </a:graphic>
          </wp:anchor>
        </w:drawing>
      </w:r>
    </w:p>
    <w:p>
      <w:pPr>
        <w:spacing w:after="0" w:line="186" w:lineRule="exact"/>
        <w:rPr>
          <w:rFonts w:ascii="Arial" w:cs="Arial" w:eastAsia="Arial" w:hAnsi="Arial"/>
          <w:sz w:val="22"/>
          <w:szCs w:val="22"/>
          <w:b w:val="1"/>
          <w:bCs w:val="1"/>
          <w:u w:val="single" w:color="auto"/>
          <w:color w:val="23628F"/>
        </w:rPr>
      </w:pPr>
    </w:p>
    <w:p>
      <w:pPr>
        <w:ind w:left="200"/>
        <w:spacing w:after="0"/>
        <w:rPr>
          <w:rFonts w:ascii="Arial" w:cs="Arial" w:eastAsia="Arial" w:hAnsi="Arial"/>
          <w:sz w:val="22"/>
          <w:szCs w:val="22"/>
          <w:b w:val="1"/>
          <w:bCs w:val="1"/>
          <w:u w:val="single" w:color="auto"/>
          <w:color w:val="23628F"/>
        </w:rPr>
      </w:pPr>
      <w:hyperlink w:anchor="page100">
        <w:r>
          <w:rPr>
            <w:rFonts w:ascii="Arial" w:cs="Arial" w:eastAsia="Arial" w:hAnsi="Arial"/>
            <w:sz w:val="22"/>
            <w:szCs w:val="22"/>
            <w:b w:val="1"/>
            <w:bCs w:val="1"/>
            <w:u w:val="single" w:color="auto"/>
            <w:color w:val="23628F"/>
          </w:rPr>
          <w:t>96  Equity Plan Proposal</w:t>
        </w:r>
      </w:hyperlink>
    </w:p>
    <w:p>
      <w:pPr>
        <w:sectPr>
          <w:pgSz w:w="11900" w:h="16838" w:orient="portrait"/>
          <w:cols w:equalWidth="0" w:num="1">
            <w:col w:w="11240"/>
          </w:cols>
          <w:pgMar w:left="320" w:top="121" w:right="339" w:bottom="0" w:gutter="0" w:footer="0" w:header="0"/>
        </w:sectPr>
      </w:pPr>
    </w:p>
    <w:p>
      <w:pPr>
        <w:spacing w:after="0" w:line="188" w:lineRule="exact"/>
        <w:rPr>
          <w:rFonts w:ascii="Arial" w:cs="Arial" w:eastAsia="Arial" w:hAnsi="Arial"/>
          <w:sz w:val="22"/>
          <w:szCs w:val="22"/>
          <w:b w:val="1"/>
          <w:bCs w:val="1"/>
          <w:u w:val="single" w:color="auto"/>
          <w:color w:val="23628F"/>
        </w:rPr>
      </w:pPr>
    </w:p>
    <w:p>
      <w:pPr>
        <w:ind w:left="740"/>
        <w:spacing w:after="0"/>
        <w:rPr>
          <w:rFonts w:ascii="Arial" w:cs="Arial" w:eastAsia="Arial" w:hAnsi="Arial"/>
          <w:sz w:val="16"/>
          <w:szCs w:val="16"/>
          <w:u w:val="single" w:color="auto"/>
          <w:color w:val="616161"/>
        </w:rPr>
      </w:pPr>
      <w:hyperlink w:anchor="page100">
        <w:r>
          <w:rPr>
            <w:rFonts w:ascii="Arial" w:cs="Arial" w:eastAsia="Arial" w:hAnsi="Arial"/>
            <w:sz w:val="16"/>
            <w:szCs w:val="16"/>
            <w:u w:val="single" w:color="auto"/>
            <w:color w:val="616161"/>
          </w:rPr>
          <w:t>96</w:t>
        </w:r>
      </w:hyperlink>
    </w:p>
    <w:p>
      <w:pPr>
        <w:spacing w:after="0" w:line="20" w:lineRule="exact"/>
        <w:rPr>
          <w:rFonts w:ascii="Arial" w:cs="Arial" w:eastAsia="Arial" w:hAnsi="Arial"/>
          <w:sz w:val="22"/>
          <w:szCs w:val="22"/>
          <w:b w:val="1"/>
          <w:bCs w:val="1"/>
          <w:u w:val="single" w:color="auto"/>
          <w:color w:val="23628F"/>
        </w:rPr>
      </w:pPr>
      <w:r>
        <w:rPr>
          <w:rFonts w:ascii="Arial" w:cs="Arial" w:eastAsia="Arial" w:hAnsi="Arial"/>
          <w:sz w:val="22"/>
          <w:szCs w:val="22"/>
          <w:b w:val="1"/>
          <w:bCs w:val="1"/>
          <w:u w:val="single" w:color="auto"/>
          <w:color w:val="23628F"/>
        </w:rPr>
        <w:br w:type="column"/>
      </w:r>
    </w:p>
    <w:p>
      <w:pPr>
        <w:spacing w:after="0" w:line="146" w:lineRule="exact"/>
        <w:rPr>
          <w:rFonts w:ascii="Arial" w:cs="Arial" w:eastAsia="Arial" w:hAnsi="Arial"/>
          <w:sz w:val="22"/>
          <w:szCs w:val="22"/>
          <w:b w:val="1"/>
          <w:bCs w:val="1"/>
          <w:u w:val="single" w:color="auto"/>
          <w:color w:val="23628F"/>
        </w:rPr>
      </w:pPr>
    </w:p>
    <w:p>
      <w:pPr>
        <w:spacing w:after="0"/>
        <w:rPr>
          <w:rFonts w:ascii="Arial" w:cs="Arial" w:eastAsia="Arial" w:hAnsi="Arial"/>
          <w:sz w:val="16"/>
          <w:szCs w:val="16"/>
          <w:b w:val="1"/>
          <w:bCs w:val="1"/>
          <w:u w:val="single" w:color="auto"/>
          <w:color w:val="61C4AF"/>
        </w:rPr>
      </w:pPr>
      <w:hyperlink w:anchor="page100">
        <w:r>
          <w:rPr>
            <w:rFonts w:ascii="Arial" w:cs="Arial" w:eastAsia="Arial" w:hAnsi="Arial"/>
            <w:sz w:val="16"/>
            <w:szCs w:val="16"/>
            <w:b w:val="1"/>
            <w:bCs w:val="1"/>
            <w:u w:val="single" w:color="auto"/>
            <w:color w:val="61C4AF"/>
          </w:rPr>
          <w:t>Proposal 3</w:t>
        </w:r>
      </w:hyperlink>
    </w:p>
    <w:p>
      <w:pPr>
        <w:spacing w:after="0" w:line="20" w:lineRule="exact"/>
        <w:rPr>
          <w:rFonts w:ascii="Arial" w:cs="Arial" w:eastAsia="Arial" w:hAnsi="Arial"/>
          <w:sz w:val="22"/>
          <w:szCs w:val="22"/>
          <w:b w:val="1"/>
          <w:bCs w:val="1"/>
          <w:u w:val="single" w:color="auto"/>
          <w:color w:val="23628F"/>
        </w:rPr>
      </w:pPr>
      <w:r>
        <w:rPr>
          <w:rFonts w:ascii="Arial" w:cs="Arial" w:eastAsia="Arial" w:hAnsi="Arial"/>
          <w:sz w:val="22"/>
          <w:szCs w:val="22"/>
          <w:b w:val="1"/>
          <w:bCs w:val="1"/>
          <w:u w:val="single" w:color="auto"/>
          <w:color w:val="23628F"/>
        </w:rPr>
        <w:drawing>
          <wp:anchor simplePos="0" relativeHeight="251657728" behindDoc="1" locked="0" layoutInCell="0" allowOverlap="1">
            <wp:simplePos x="0" y="0"/>
            <wp:positionH relativeFrom="column">
              <wp:posOffset>-43180</wp:posOffset>
            </wp:positionH>
            <wp:positionV relativeFrom="paragraph">
              <wp:posOffset>-114935</wp:posOffset>
            </wp:positionV>
            <wp:extent cx="664210" cy="1498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4210" cy="149860"/>
                    </a:xfrm>
                    <a:prstGeom prst="rect">
                      <a:avLst/>
                    </a:prstGeom>
                    <a:noFill/>
                  </pic:spPr>
                </pic:pic>
              </a:graphicData>
            </a:graphic>
          </wp:anchor>
        </w:drawing>
      </w:r>
    </w:p>
    <w:p>
      <w:pPr>
        <w:spacing w:after="0" w:line="20" w:lineRule="exact"/>
        <w:rPr>
          <w:rFonts w:ascii="Arial" w:cs="Arial" w:eastAsia="Arial" w:hAnsi="Arial"/>
          <w:sz w:val="22"/>
          <w:szCs w:val="22"/>
          <w:b w:val="1"/>
          <w:bCs w:val="1"/>
          <w:u w:val="single" w:color="auto"/>
          <w:color w:val="23628F"/>
        </w:rPr>
      </w:pPr>
      <w:r>
        <w:rPr>
          <w:rFonts w:ascii="Arial" w:cs="Arial" w:eastAsia="Arial" w:hAnsi="Arial"/>
          <w:sz w:val="22"/>
          <w:szCs w:val="22"/>
          <w:b w:val="1"/>
          <w:bCs w:val="1"/>
          <w:u w:val="single" w:color="auto"/>
          <w:color w:val="23628F"/>
        </w:rPr>
        <w:br w:type="column"/>
      </w:r>
    </w:p>
    <w:p>
      <w:pPr>
        <w:spacing w:after="0" w:line="168" w:lineRule="exact"/>
        <w:rPr>
          <w:rFonts w:ascii="Arial" w:cs="Arial" w:eastAsia="Arial" w:hAnsi="Arial"/>
          <w:sz w:val="22"/>
          <w:szCs w:val="22"/>
          <w:b w:val="1"/>
          <w:bCs w:val="1"/>
          <w:u w:val="single" w:color="auto"/>
          <w:color w:val="23628F"/>
        </w:rPr>
      </w:pPr>
    </w:p>
    <w:p>
      <w:pPr>
        <w:spacing w:after="0"/>
        <w:rPr>
          <w:rFonts w:ascii="Arial" w:cs="Arial" w:eastAsia="Arial" w:hAnsi="Arial"/>
          <w:sz w:val="16"/>
          <w:szCs w:val="16"/>
          <w:u w:val="single" w:color="auto"/>
          <w:color w:val="0000EE"/>
        </w:rPr>
      </w:pPr>
      <w:hyperlink w:anchor="page100">
        <w:r>
          <w:rPr>
            <w:rFonts w:ascii="Arial" w:cs="Arial" w:eastAsia="Arial" w:hAnsi="Arial"/>
            <w:sz w:val="16"/>
            <w:szCs w:val="16"/>
            <w:u w:val="single" w:color="auto"/>
            <w:color w:val="0000EE"/>
          </w:rPr>
          <w:t>Approval of the Amendment and Restatement of Our 2017 Performance Incentive Plan</w:t>
        </w:r>
      </w:hyperlink>
    </w:p>
    <w:p>
      <w:pPr>
        <w:spacing w:after="0" w:line="20" w:lineRule="exact"/>
        <w:rPr>
          <w:rFonts w:ascii="Arial" w:cs="Arial" w:eastAsia="Arial" w:hAnsi="Arial"/>
          <w:sz w:val="22"/>
          <w:szCs w:val="22"/>
          <w:b w:val="1"/>
          <w:bCs w:val="1"/>
          <w:u w:val="single" w:color="auto"/>
          <w:color w:val="23628F"/>
        </w:rPr>
      </w:pPr>
      <w:r>
        <w:rPr>
          <w:rFonts w:ascii="Arial" w:cs="Arial" w:eastAsia="Arial" w:hAnsi="Arial"/>
          <w:sz w:val="22"/>
          <w:szCs w:val="22"/>
          <w:b w:val="1"/>
          <w:bCs w:val="1"/>
          <w:u w:val="single" w:color="auto"/>
          <w:color w:val="23628F"/>
        </w:rPr>
        <w:drawing>
          <wp:anchor simplePos="0" relativeHeight="251657728" behindDoc="1" locked="0" layoutInCell="0" allowOverlap="1">
            <wp:simplePos x="0" y="0"/>
            <wp:positionH relativeFrom="column">
              <wp:posOffset>-1365885</wp:posOffset>
            </wp:positionH>
            <wp:positionV relativeFrom="paragraph">
              <wp:posOffset>69850</wp:posOffset>
            </wp:positionV>
            <wp:extent cx="7132320" cy="2482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248285"/>
                    </a:xfrm>
                    <a:prstGeom prst="rect">
                      <a:avLst/>
                    </a:prstGeom>
                    <a:noFill/>
                  </pic:spPr>
                </pic:pic>
              </a:graphicData>
            </a:graphic>
          </wp:anchor>
        </w:drawing>
      </w:r>
    </w:p>
    <w:p>
      <w:pPr>
        <w:spacing w:after="0" w:line="145" w:lineRule="exact"/>
        <w:rPr>
          <w:rFonts w:ascii="Arial" w:cs="Arial" w:eastAsia="Arial" w:hAnsi="Arial"/>
          <w:sz w:val="22"/>
          <w:szCs w:val="22"/>
          <w:b w:val="1"/>
          <w:bCs w:val="1"/>
          <w:u w:val="single" w:color="auto"/>
          <w:color w:val="23628F"/>
        </w:rPr>
      </w:pPr>
    </w:p>
    <w:p>
      <w:pPr>
        <w:sectPr>
          <w:pgSz w:w="11900" w:h="16838" w:orient="portrait"/>
          <w:cols w:equalWidth="0" w:num="3">
            <w:col w:w="940" w:space="200"/>
            <w:col w:w="900" w:space="120"/>
            <w:col w:w="9080"/>
          </w:cols>
          <w:pgMar w:left="320" w:top="121" w:right="339" w:bottom="0" w:gutter="0" w:footer="0" w:header="0"/>
          <w:type w:val="continuous"/>
        </w:sectPr>
      </w:pPr>
    </w:p>
    <w:p>
      <w:pPr>
        <w:ind w:left="80"/>
        <w:spacing w:after="0"/>
        <w:rPr>
          <w:rFonts w:ascii="Arial" w:cs="Arial" w:eastAsia="Arial" w:hAnsi="Arial"/>
          <w:sz w:val="22"/>
          <w:szCs w:val="22"/>
          <w:b w:val="1"/>
          <w:bCs w:val="1"/>
          <w:u w:val="single" w:color="auto"/>
          <w:color w:val="23628F"/>
        </w:rPr>
      </w:pPr>
      <w:hyperlink w:anchor="page113">
        <w:r>
          <w:rPr>
            <w:rFonts w:ascii="Arial" w:cs="Arial" w:eastAsia="Arial" w:hAnsi="Arial"/>
            <w:sz w:val="22"/>
            <w:szCs w:val="22"/>
            <w:b w:val="1"/>
            <w:bCs w:val="1"/>
            <w:u w:val="single" w:color="auto"/>
            <w:color w:val="23628F"/>
          </w:rPr>
          <w:t>109  Audit Committee Matters</w:t>
        </w:r>
      </w:hyperlink>
    </w:p>
    <w:p>
      <w:pPr>
        <w:spacing w:after="0" w:line="166" w:lineRule="exact"/>
        <w:rPr>
          <w:rFonts w:ascii="Arial" w:cs="Arial" w:eastAsia="Arial" w:hAnsi="Arial"/>
          <w:sz w:val="22"/>
          <w:szCs w:val="22"/>
          <w:b w:val="1"/>
          <w:bCs w:val="1"/>
          <w:u w:val="single" w:color="auto"/>
          <w:color w:val="23628F"/>
        </w:rPr>
      </w:pPr>
    </w:p>
    <w:p>
      <w:pPr>
        <w:ind w:left="1140" w:hanging="498"/>
        <w:spacing w:after="0"/>
        <w:tabs>
          <w:tab w:leader="none" w:pos="1140" w:val="left"/>
        </w:tabs>
        <w:numPr>
          <w:ilvl w:val="0"/>
          <w:numId w:val="33"/>
        </w:numPr>
        <w:rPr>
          <w:rFonts w:ascii="Arial" w:cs="Arial" w:eastAsia="Arial" w:hAnsi="Arial"/>
          <w:sz w:val="16"/>
          <w:szCs w:val="16"/>
          <w:b w:val="1"/>
          <w:bCs w:val="1"/>
          <w:u w:val="single" w:color="auto"/>
          <w:color w:val="61C4AF"/>
        </w:rPr>
      </w:pPr>
      <w:hyperlink w:anchor="page113">
        <w:r>
          <w:rPr>
            <w:rFonts w:ascii="Arial" w:cs="Arial" w:eastAsia="Arial" w:hAnsi="Arial"/>
            <w:sz w:val="16"/>
            <w:szCs w:val="16"/>
            <w:b w:val="1"/>
            <w:bCs w:val="1"/>
            <w:u w:val="single" w:color="auto"/>
            <w:color w:val="61C4AF"/>
          </w:rPr>
          <w:t xml:space="preserve">Proposal 4 </w:t>
        </w:r>
        <w:r>
          <w:rPr>
            <w:rFonts w:ascii="Arial" w:cs="Arial" w:eastAsia="Arial" w:hAnsi="Arial"/>
            <w:sz w:val="16"/>
            <w:szCs w:val="16"/>
            <w:u w:val="single" w:color="auto"/>
            <w:color w:val="0000EE"/>
          </w:rPr>
          <w:t>Ratification of Appointment of Our Independent Registered Public Accounting Firm</w:t>
        </w:r>
      </w:hyperlink>
    </w:p>
    <w:p>
      <w:pPr>
        <w:spacing w:after="0" w:line="81" w:lineRule="exact"/>
        <w:rPr>
          <w:rFonts w:ascii="Arial" w:cs="Arial" w:eastAsia="Arial" w:hAnsi="Arial"/>
          <w:sz w:val="16"/>
          <w:szCs w:val="16"/>
          <w:b w:val="1"/>
          <w:bCs w:val="1"/>
          <w:u w:val="single" w:color="auto"/>
          <w:color w:val="61C4AF"/>
        </w:rPr>
      </w:pPr>
    </w:p>
    <w:p>
      <w:pPr>
        <w:ind w:left="1080" w:hanging="438"/>
        <w:spacing w:after="0"/>
        <w:tabs>
          <w:tab w:leader="none" w:pos="1080" w:val="left"/>
        </w:tabs>
        <w:numPr>
          <w:ilvl w:val="0"/>
          <w:numId w:val="33"/>
        </w:numPr>
        <w:rPr>
          <w:rFonts w:ascii="Arial" w:cs="Arial" w:eastAsia="Arial" w:hAnsi="Arial"/>
          <w:sz w:val="18"/>
          <w:szCs w:val="18"/>
          <w:u w:val="single" w:color="auto"/>
          <w:color w:val="0000EE"/>
        </w:rPr>
      </w:pPr>
      <w:hyperlink w:anchor="page114">
        <w:r>
          <w:rPr>
            <w:rFonts w:ascii="Arial" w:cs="Arial" w:eastAsia="Arial" w:hAnsi="Arial"/>
            <w:sz w:val="18"/>
            <w:szCs w:val="18"/>
            <w:u w:val="single" w:color="auto"/>
            <w:color w:val="0000EE"/>
          </w:rPr>
          <w:t>Report of the Audit Committee</w:t>
        </w:r>
      </w:hyperlink>
    </w:p>
    <w:p>
      <w:pPr>
        <w:spacing w:after="0" w:line="20" w:lineRule="exact"/>
        <w:rPr>
          <w:rFonts w:ascii="Arial" w:cs="Arial" w:eastAsia="Arial" w:hAnsi="Arial"/>
          <w:sz w:val="16"/>
          <w:szCs w:val="16"/>
          <w:u w:val="single" w:color="auto"/>
          <w:color w:val="616161"/>
        </w:rPr>
      </w:pPr>
      <w:r>
        <w:rPr>
          <w:rFonts w:ascii="Arial" w:cs="Arial" w:eastAsia="Arial" w:hAnsi="Arial"/>
          <w:sz w:val="16"/>
          <w:szCs w:val="16"/>
          <w:u w:val="single" w:color="auto"/>
          <w:color w:val="616161"/>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2482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248285"/>
                    </a:xfrm>
                    <a:prstGeom prst="rect">
                      <a:avLst/>
                    </a:prstGeom>
                    <a:noFill/>
                  </pic:spPr>
                </pic:pic>
              </a:graphicData>
            </a:graphic>
          </wp:anchor>
        </w:drawing>
        <w:drawing>
          <wp:anchor simplePos="0" relativeHeight="251657728" behindDoc="1" locked="0" layoutInCell="0" allowOverlap="1">
            <wp:simplePos x="0" y="0"/>
            <wp:positionH relativeFrom="column">
              <wp:posOffset>680085</wp:posOffset>
            </wp:positionH>
            <wp:positionV relativeFrom="paragraph">
              <wp:posOffset>-297815</wp:posOffset>
            </wp:positionV>
            <wp:extent cx="664210" cy="1498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4210" cy="149860"/>
                    </a:xfrm>
                    <a:prstGeom prst="rect">
                      <a:avLst/>
                    </a:prstGeom>
                    <a:noFill/>
                  </pic:spPr>
                </pic:pic>
              </a:graphicData>
            </a:graphic>
          </wp:anchor>
        </w:drawing>
      </w:r>
    </w:p>
    <w:p>
      <w:pPr>
        <w:spacing w:after="0" w:line="102" w:lineRule="exact"/>
        <w:rPr>
          <w:rFonts w:ascii="Arial" w:cs="Arial" w:eastAsia="Arial" w:hAnsi="Arial"/>
          <w:sz w:val="16"/>
          <w:szCs w:val="16"/>
          <w:u w:val="single" w:color="auto"/>
          <w:color w:val="616161"/>
        </w:rPr>
      </w:pPr>
    </w:p>
    <w:p>
      <w:pPr>
        <w:ind w:left="80"/>
        <w:spacing w:after="0"/>
        <w:rPr>
          <w:rFonts w:ascii="Arial" w:cs="Arial" w:eastAsia="Arial" w:hAnsi="Arial"/>
          <w:sz w:val="22"/>
          <w:szCs w:val="22"/>
          <w:b w:val="1"/>
          <w:bCs w:val="1"/>
          <w:u w:val="single" w:color="auto"/>
          <w:color w:val="23628F"/>
        </w:rPr>
      </w:pPr>
      <w:hyperlink w:anchor="page116">
        <w:r>
          <w:rPr>
            <w:rFonts w:ascii="Arial" w:cs="Arial" w:eastAsia="Arial" w:hAnsi="Arial"/>
            <w:sz w:val="22"/>
            <w:szCs w:val="22"/>
            <w:b w:val="1"/>
            <w:bCs w:val="1"/>
            <w:u w:val="single" w:color="auto"/>
            <w:color w:val="23628F"/>
          </w:rPr>
          <w:t>112  Additional Information</w:t>
        </w:r>
      </w:hyperlink>
    </w:p>
    <w:p>
      <w:pPr>
        <w:sectPr>
          <w:pgSz w:w="11900" w:h="16838" w:orient="portrait"/>
          <w:cols w:equalWidth="0" w:num="1">
            <w:col w:w="11240"/>
          </w:cols>
          <w:pgMar w:left="320" w:top="121" w:right="339" w:bottom="0" w:gutter="0" w:footer="0" w:header="0"/>
          <w:type w:val="continuous"/>
        </w:sectPr>
      </w:pPr>
    </w:p>
    <w:p>
      <w:pPr>
        <w:spacing w:after="0" w:line="188" w:lineRule="exact"/>
        <w:rPr>
          <w:rFonts w:ascii="Arial" w:cs="Arial" w:eastAsia="Arial" w:hAnsi="Arial"/>
          <w:sz w:val="16"/>
          <w:szCs w:val="16"/>
          <w:u w:val="single" w:color="auto"/>
          <w:color w:val="616161"/>
        </w:rPr>
      </w:pPr>
    </w:p>
    <w:p>
      <w:pPr>
        <w:ind w:left="1080" w:hanging="438"/>
        <w:spacing w:after="0"/>
        <w:tabs>
          <w:tab w:leader="none" w:pos="1080" w:val="left"/>
        </w:tabs>
        <w:numPr>
          <w:ilvl w:val="0"/>
          <w:numId w:val="34"/>
        </w:numPr>
        <w:rPr>
          <w:rFonts w:ascii="Arial" w:cs="Arial" w:eastAsia="Arial" w:hAnsi="Arial"/>
          <w:sz w:val="16"/>
          <w:szCs w:val="16"/>
          <w:u w:val="single" w:color="auto"/>
          <w:color w:val="0000EE"/>
        </w:rPr>
      </w:pPr>
      <w:hyperlink w:anchor="page116">
        <w:r>
          <w:rPr>
            <w:rFonts w:ascii="Arial" w:cs="Arial" w:eastAsia="Arial" w:hAnsi="Arial"/>
            <w:sz w:val="16"/>
            <w:szCs w:val="16"/>
            <w:u w:val="single" w:color="auto"/>
            <w:color w:val="0000EE"/>
          </w:rPr>
          <w:t>General Information about the Annual Meeting</w:t>
        </w:r>
      </w:hyperlink>
    </w:p>
    <w:p>
      <w:pPr>
        <w:spacing w:after="0" w:line="59" w:lineRule="exact"/>
        <w:rPr>
          <w:rFonts w:ascii="Arial" w:cs="Arial" w:eastAsia="Arial" w:hAnsi="Arial"/>
          <w:sz w:val="16"/>
          <w:szCs w:val="16"/>
          <w:u w:val="single" w:color="auto"/>
          <w:color w:val="0000EE"/>
        </w:rPr>
      </w:pPr>
    </w:p>
    <w:p>
      <w:pPr>
        <w:ind w:left="1080" w:hanging="438"/>
        <w:spacing w:after="0"/>
        <w:tabs>
          <w:tab w:leader="none" w:pos="1080" w:val="left"/>
        </w:tabs>
        <w:numPr>
          <w:ilvl w:val="0"/>
          <w:numId w:val="35"/>
        </w:numPr>
        <w:rPr>
          <w:rFonts w:ascii="Arial" w:cs="Arial" w:eastAsia="Arial" w:hAnsi="Arial"/>
          <w:sz w:val="18"/>
          <w:szCs w:val="18"/>
          <w:u w:val="single" w:color="auto"/>
          <w:color w:val="0000EE"/>
        </w:rPr>
      </w:pPr>
      <w:hyperlink w:anchor="page121">
        <w:r>
          <w:rPr>
            <w:rFonts w:ascii="Arial" w:cs="Arial" w:eastAsia="Arial" w:hAnsi="Arial"/>
            <w:sz w:val="18"/>
            <w:szCs w:val="18"/>
            <w:u w:val="single" w:color="auto"/>
            <w:color w:val="0000EE"/>
          </w:rPr>
          <w:t>Availability of Annual Report</w:t>
        </w:r>
      </w:hyperlink>
    </w:p>
    <w:p>
      <w:pPr>
        <w:sectPr>
          <w:pgSz w:w="11900" w:h="16838" w:orient="portrait"/>
          <w:cols w:equalWidth="0" w:num="1">
            <w:col w:w="11240"/>
          </w:cols>
          <w:pgMar w:left="320" w:top="121" w:right="339" w:bottom="0" w:gutter="0" w:footer="0" w:header="0"/>
          <w:type w:val="continuous"/>
        </w:sectPr>
      </w:pPr>
    </w:p>
    <w:bookmarkStart w:id="8" w:name="page9"/>
    <w:bookmarkEnd w:id="8"/>
    <w:p>
      <w:pPr>
        <w:ind w:left="980" w:hanging="438"/>
        <w:spacing w:after="0"/>
        <w:tabs>
          <w:tab w:leader="none" w:pos="980" w:val="left"/>
        </w:tabs>
        <w:numPr>
          <w:ilvl w:val="0"/>
          <w:numId w:val="36"/>
        </w:numPr>
        <w:rPr>
          <w:rFonts w:ascii="Arial" w:cs="Arial" w:eastAsia="Arial" w:hAnsi="Arial"/>
          <w:sz w:val="18"/>
          <w:szCs w:val="18"/>
          <w:u w:val="single" w:color="auto"/>
          <w:color w:val="0000EE"/>
        </w:rPr>
      </w:pPr>
      <w:hyperlink w:anchor="page121">
        <w:r>
          <w:rPr>
            <w:rFonts w:ascii="Arial" w:cs="Arial" w:eastAsia="Arial" w:hAnsi="Arial"/>
            <w:sz w:val="18"/>
            <w:szCs w:val="18"/>
            <w:u w:val="single" w:color="auto"/>
            <w:color w:val="0000EE"/>
          </w:rPr>
          <w:t>Communication with the Company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55245</wp:posOffset>
            </wp:positionV>
            <wp:extent cx="7132320" cy="2489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248920"/>
                    </a:xfrm>
                    <a:prstGeom prst="rect">
                      <a:avLst/>
                    </a:prstGeom>
                    <a:noFill/>
                  </pic:spPr>
                </pic:pic>
              </a:graphicData>
            </a:graphic>
          </wp:anchor>
        </w:drawing>
      </w:r>
    </w:p>
    <w:p>
      <w:pPr>
        <w:spacing w:after="0" w:line="102" w:lineRule="exact"/>
        <w:rPr>
          <w:sz w:val="20"/>
          <w:szCs w:val="20"/>
          <w:color w:val="auto"/>
        </w:rPr>
      </w:pPr>
    </w:p>
    <w:p>
      <w:pPr>
        <w:ind w:right="3380"/>
        <w:spacing w:after="0" w:line="466" w:lineRule="auto"/>
        <w:rPr>
          <w:rFonts w:ascii="Arial" w:cs="Arial" w:eastAsia="Arial" w:hAnsi="Arial"/>
          <w:sz w:val="22"/>
          <w:szCs w:val="22"/>
          <w:b w:val="1"/>
          <w:bCs w:val="1"/>
          <w:u w:val="single" w:color="auto"/>
          <w:color w:val="23628F"/>
        </w:rPr>
      </w:pPr>
      <w:hyperlink w:anchor="page122">
        <w:r>
          <w:rPr>
            <w:rFonts w:ascii="Arial" w:cs="Arial" w:eastAsia="Arial" w:hAnsi="Arial"/>
            <w:sz w:val="22"/>
            <w:szCs w:val="22"/>
            <w:b w:val="1"/>
            <w:bCs w:val="1"/>
            <w:u w:val="single" w:color="auto"/>
            <w:color w:val="23628F"/>
          </w:rPr>
          <w:t>A-1 Appendix A—Non-GAAP Financial Measures</w:t>
        </w:r>
      </w:hyperlink>
      <w:r>
        <w:rPr>
          <w:rFonts w:ascii="Arial" w:cs="Arial" w:eastAsia="Arial" w:hAnsi="Arial"/>
          <w:sz w:val="22"/>
          <w:szCs w:val="22"/>
          <w:b w:val="1"/>
          <w:bCs w:val="1"/>
          <w:u w:val="single" w:color="auto"/>
          <w:color w:val="23628F"/>
        </w:rPr>
        <w:t xml:space="preserve"> </w:t>
      </w:r>
      <w:hyperlink w:anchor="page125">
        <w:r>
          <w:rPr>
            <w:rFonts w:ascii="Arial" w:cs="Arial" w:eastAsia="Arial" w:hAnsi="Arial"/>
            <w:sz w:val="22"/>
            <w:szCs w:val="22"/>
            <w:b w:val="1"/>
            <w:bCs w:val="1"/>
            <w:u w:val="single" w:color="auto"/>
            <w:color w:val="23628F"/>
          </w:rPr>
          <w:t>B-1 Appendix B—Amended and Restated 2017 Performance 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-353695</wp:posOffset>
            </wp:positionV>
            <wp:extent cx="7132320" cy="2489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248920"/>
                    </a:xfrm>
                    <a:prstGeom prst="rect">
                      <a:avLst/>
                    </a:prstGeom>
                    <a:noFill/>
                  </pic:spPr>
                </pic:pic>
              </a:graphicData>
            </a:graphic>
          </wp:anchor>
        </w:drawing>
      </w:r>
    </w:p>
    <w:p>
      <w:pPr>
        <w:spacing w:after="0" w:line="10"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3"/>
          <w:szCs w:val="13"/>
          <w:color w:val="23628F"/>
        </w:rPr>
        <w:t>2020 PROXY STATEMENT</w:t>
      </w:r>
      <w:r>
        <w:rPr>
          <w:sz w:val="20"/>
          <w:szCs w:val="20"/>
          <w:color w:val="auto"/>
        </w:rPr>
        <w:tab/>
      </w:r>
      <w:r>
        <w:rPr>
          <w:rFonts w:ascii="Arial" w:cs="Arial" w:eastAsia="Arial" w:hAnsi="Arial"/>
          <w:sz w:val="16"/>
          <w:szCs w:val="16"/>
          <w:b w:val="1"/>
          <w:bCs w:val="1"/>
          <w:color w:val="23628F"/>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158750</wp:posOffset>
            </wp:positionV>
            <wp:extent cx="715327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140"/>
          </w:cols>
          <w:pgMar w:left="420" w:top="156"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Arial" w:cs="Arial" w:eastAsia="Arial" w:hAnsi="Arial"/>
          <w:sz w:val="50"/>
          <w:szCs w:val="50"/>
          <w:b w:val="1"/>
          <w:bCs w:val="1"/>
          <w:color w:val="23628F"/>
        </w:rPr>
        <w:t>Disclaimers</w:t>
      </w:r>
    </w:p>
    <w:p>
      <w:pPr>
        <w:spacing w:after="0" w:line="251" w:lineRule="exact"/>
        <w:rPr>
          <w:sz w:val="20"/>
          <w:szCs w:val="20"/>
          <w:color w:val="auto"/>
        </w:rPr>
      </w:pPr>
    </w:p>
    <w:p>
      <w:pPr>
        <w:spacing w:after="0"/>
        <w:rPr>
          <w:sz w:val="20"/>
          <w:szCs w:val="20"/>
          <w:color w:val="auto"/>
        </w:rPr>
      </w:pPr>
      <w:r>
        <w:rPr>
          <w:rFonts w:ascii="Arial" w:cs="Arial" w:eastAsia="Arial" w:hAnsi="Arial"/>
          <w:sz w:val="31"/>
          <w:szCs w:val="31"/>
          <w:b w:val="1"/>
          <w:bCs w:val="1"/>
          <w:color w:val="819DBB"/>
        </w:rPr>
        <w:t>CAUTIONARY NOTE REGARDING FORWARD-LOOKING STATEMENTS</w:t>
      </w:r>
    </w:p>
    <w:p>
      <w:pPr>
        <w:spacing w:after="0" w:line="255" w:lineRule="exact"/>
        <w:rPr>
          <w:sz w:val="20"/>
          <w:szCs w:val="20"/>
          <w:color w:val="auto"/>
        </w:rPr>
      </w:pPr>
    </w:p>
    <w:p>
      <w:pPr>
        <w:spacing w:after="0"/>
        <w:rPr>
          <w:sz w:val="20"/>
          <w:szCs w:val="20"/>
          <w:color w:val="auto"/>
        </w:rPr>
      </w:pPr>
      <w:r>
        <w:rPr>
          <w:rFonts w:ascii="Arial" w:cs="Arial" w:eastAsia="Arial" w:hAnsi="Arial"/>
          <w:sz w:val="13"/>
          <w:szCs w:val="13"/>
          <w:color w:val="auto"/>
        </w:rPr>
        <w:t>This Proxy Statement contains forward-looking statements, including but not limited to, statements concerning our product and technology portfolio, views with respect to the growth of digital data, our business strategy and strategic priorities, our ability to execute our strategy, our expectations regarding the impact of COVID-19, our director succession plans, plans for our sustainability program including policies and reporting in the area of human rights and our diversity and inclusion efforts. These forward-looking statements are based on our current expectations and are subject to risks and uncertainties that could cause actual results to differ materially from those expressed in the forward-looking statements, including: future responses to and effect of the COVID-19 pandemic; volatility in global economic conditions; business conditions and growth in the storage ecosystem; impact of restructuring activities and cost saving initiatives; impact of competitive products and pricing; market acceptance and cost of commodity materials and specialized product components; actions by competitors; unexpected advances in competing technologies; our development and introduction of products based on new technologies and expansion into new data storage markets; risks associated with acquisitions, divestitures, mergers and joint ventures; difficulties or delays in manufacturing; the outcome of legal proceedings; and other risks and uncertainties listed in our Annual Report on Form 10-K for the fiscal year ended July 3, 2020 and our other reports filed with the Securities and Exchange Commission (the “SEC”), to which your attention is directed. You should not place undue reliance on these forward-looking statements, which speak only as of the date hereof, and we undertake no obligation to update these forward-looking statements to reflect subsequent events or circumstances.</w:t>
      </w:r>
    </w:p>
    <w:p>
      <w:pPr>
        <w:spacing w:after="0" w:line="324" w:lineRule="exact"/>
        <w:rPr>
          <w:sz w:val="20"/>
          <w:szCs w:val="20"/>
          <w:color w:val="auto"/>
        </w:rPr>
      </w:pPr>
    </w:p>
    <w:p>
      <w:pPr>
        <w:spacing w:after="0"/>
        <w:rPr>
          <w:sz w:val="20"/>
          <w:szCs w:val="20"/>
          <w:color w:val="auto"/>
        </w:rPr>
      </w:pPr>
      <w:r>
        <w:rPr>
          <w:rFonts w:ascii="Arial" w:cs="Arial" w:eastAsia="Arial" w:hAnsi="Arial"/>
          <w:sz w:val="31"/>
          <w:szCs w:val="31"/>
          <w:b w:val="1"/>
          <w:bCs w:val="1"/>
          <w:color w:val="819DBB"/>
        </w:rPr>
        <w:t>WEBSITE REFERENCES</w:t>
      </w:r>
    </w:p>
    <w:p>
      <w:pPr>
        <w:spacing w:after="0" w:line="255" w:lineRule="exact"/>
        <w:rPr>
          <w:sz w:val="20"/>
          <w:szCs w:val="20"/>
          <w:color w:val="auto"/>
        </w:rPr>
      </w:pPr>
    </w:p>
    <w:p>
      <w:pPr>
        <w:ind w:right="20"/>
        <w:spacing w:after="0" w:line="258" w:lineRule="auto"/>
        <w:rPr>
          <w:sz w:val="20"/>
          <w:szCs w:val="20"/>
          <w:color w:val="auto"/>
        </w:rPr>
      </w:pPr>
      <w:r>
        <w:rPr>
          <w:rFonts w:ascii="Arial" w:cs="Arial" w:eastAsia="Arial" w:hAnsi="Arial"/>
          <w:sz w:val="13"/>
          <w:szCs w:val="13"/>
          <w:color w:val="auto"/>
        </w:rPr>
        <w:t>You may also access additional information about Western Digital at www.westerndigital.com. References to our website throughout this Proxy Statement are provided for convenience only and the content on our website does not constitute a part of this Proxy Statement.</w:t>
      </w:r>
    </w:p>
    <w:p>
      <w:pPr>
        <w:spacing w:after="0" w:line="187"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b w:val="1"/>
          <w:bCs w:val="1"/>
          <w:color w:val="23628F"/>
        </w:rPr>
      </w:pPr>
      <w:r>
        <w:rPr>
          <w:rFonts w:ascii="Arial" w:cs="Arial" w:eastAsia="Arial" w:hAnsi="Arial"/>
          <w:sz w:val="13"/>
          <w:szCs w:val="13"/>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15327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Arial" w:cs="Arial" w:eastAsia="Arial" w:hAnsi="Arial"/>
          <w:sz w:val="50"/>
          <w:szCs w:val="50"/>
          <w:b w:val="1"/>
          <w:bCs w:val="1"/>
          <w:color w:val="23628F"/>
        </w:rPr>
        <w:t>Proxy Summary</w:t>
      </w:r>
    </w:p>
    <w:p>
      <w:pPr>
        <w:spacing w:after="0" w:line="268" w:lineRule="exact"/>
        <w:rPr>
          <w:sz w:val="20"/>
          <w:szCs w:val="20"/>
          <w:color w:val="auto"/>
        </w:rPr>
      </w:pPr>
    </w:p>
    <w:p>
      <w:pPr>
        <w:spacing w:after="0" w:line="281" w:lineRule="auto"/>
        <w:rPr>
          <w:sz w:val="20"/>
          <w:szCs w:val="20"/>
          <w:color w:val="auto"/>
        </w:rPr>
      </w:pPr>
      <w:r>
        <w:rPr>
          <w:rFonts w:ascii="Arial" w:cs="Arial" w:eastAsia="Arial" w:hAnsi="Arial"/>
          <w:sz w:val="13"/>
          <w:szCs w:val="13"/>
          <w:i w:val="1"/>
          <w:iCs w:val="1"/>
          <w:color w:val="auto"/>
        </w:rPr>
        <w:t>This summary highlights information contained elsewhere in this Proxy Statement. This summary does not contain all of the information that you should consider. We encourage you to read the entire Proxy Statement for more information about these topics prior to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1234440" cy="685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34440" cy="68580"/>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OUR LONG-TERM VALUE CREATION STRATEGY</w:t>
      </w:r>
    </w:p>
    <w:p>
      <w:pPr>
        <w:spacing w:after="0" w:line="252" w:lineRule="exact"/>
        <w:rPr>
          <w:sz w:val="20"/>
          <w:szCs w:val="20"/>
          <w:color w:val="auto"/>
        </w:rPr>
      </w:pPr>
    </w:p>
    <w:p>
      <w:pPr>
        <w:spacing w:after="0"/>
        <w:rPr>
          <w:sz w:val="20"/>
          <w:szCs w:val="20"/>
          <w:color w:val="auto"/>
        </w:rPr>
      </w:pPr>
      <w:r>
        <w:rPr>
          <w:rFonts w:ascii="Arial" w:cs="Arial" w:eastAsia="Arial" w:hAnsi="Arial"/>
          <w:sz w:val="13"/>
          <w:szCs w:val="13"/>
          <w:color w:val="auto"/>
        </w:rPr>
        <w:t>Our strategy is dependent on continuing to build a culture of growth and innovation to accomplish four major strategic pillars: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5176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5176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b w:val="1"/>
          <w:bCs w:val="1"/>
          <w:color w:val="F7961D"/>
        </w:rPr>
        <w:t>Lead in HDD and Flash Technology</w:t>
      </w:r>
    </w:p>
    <w:p>
      <w:pPr>
        <w:spacing w:after="0" w:line="60" w:lineRule="exact"/>
        <w:rPr>
          <w:sz w:val="20"/>
          <w:szCs w:val="20"/>
          <w:color w:val="auto"/>
        </w:rPr>
      </w:pPr>
    </w:p>
    <w:p>
      <w:pPr>
        <w:spacing w:after="0" w:line="284" w:lineRule="auto"/>
        <w:rPr>
          <w:sz w:val="20"/>
          <w:szCs w:val="20"/>
          <w:color w:val="auto"/>
        </w:rPr>
      </w:pPr>
      <w:r>
        <w:rPr>
          <w:rFonts w:ascii="Arial" w:cs="Arial" w:eastAsia="Arial" w:hAnsi="Arial"/>
          <w:sz w:val="13"/>
          <w:szCs w:val="13"/>
          <w:b w:val="1"/>
          <w:bCs w:val="1"/>
          <w:color w:val="F7961D"/>
        </w:rPr>
        <w:t>Maintaining leadership in core storage technologies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color w:val="61C4AF"/>
        </w:rPr>
        <w:t>Lead in Enterprise Data Infrastructure</w:t>
      </w:r>
    </w:p>
    <w:p>
      <w:pPr>
        <w:spacing w:after="0" w:line="60" w:lineRule="exact"/>
        <w:rPr>
          <w:sz w:val="20"/>
          <w:szCs w:val="20"/>
          <w:color w:val="auto"/>
        </w:rPr>
      </w:pPr>
    </w:p>
    <w:p>
      <w:pPr>
        <w:spacing w:after="0" w:line="284" w:lineRule="auto"/>
        <w:rPr>
          <w:sz w:val="20"/>
          <w:szCs w:val="20"/>
          <w:color w:val="auto"/>
        </w:rPr>
      </w:pPr>
      <w:r>
        <w:rPr>
          <w:rFonts w:ascii="Arial" w:cs="Arial" w:eastAsia="Arial" w:hAnsi="Arial"/>
          <w:sz w:val="13"/>
          <w:szCs w:val="13"/>
          <w:b w:val="1"/>
          <w:bCs w:val="1"/>
          <w:color w:val="61C4AF"/>
        </w:rPr>
        <w:t>Focusing on thought and market leadership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color w:val="18B4DE"/>
        </w:rPr>
        <w:t>Lead in Rapid Edge and Endpoint Adoption</w:t>
      </w:r>
    </w:p>
    <w:p>
      <w:pPr>
        <w:spacing w:after="0" w:line="60" w:lineRule="exact"/>
        <w:rPr>
          <w:sz w:val="20"/>
          <w:szCs w:val="20"/>
          <w:color w:val="auto"/>
        </w:rPr>
      </w:pPr>
    </w:p>
    <w:p>
      <w:pPr>
        <w:ind w:right="40"/>
        <w:spacing w:after="0" w:line="284" w:lineRule="auto"/>
        <w:rPr>
          <w:sz w:val="20"/>
          <w:szCs w:val="20"/>
          <w:color w:val="auto"/>
        </w:rPr>
      </w:pPr>
      <w:r>
        <w:rPr>
          <w:rFonts w:ascii="Arial" w:cs="Arial" w:eastAsia="Arial" w:hAnsi="Arial"/>
          <w:sz w:val="13"/>
          <w:szCs w:val="13"/>
          <w:b w:val="1"/>
          <w:bCs w:val="1"/>
          <w:color w:val="18B4DE"/>
        </w:rPr>
        <w:t>Building leadership in emerging segments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EF5660"/>
        </w:rPr>
        <w:t>Lead in Consumer Solutions</w:t>
      </w:r>
    </w:p>
    <w:p>
      <w:pPr>
        <w:spacing w:after="0" w:line="331" w:lineRule="exact"/>
        <w:rPr>
          <w:sz w:val="20"/>
          <w:szCs w:val="20"/>
          <w:color w:val="auto"/>
        </w:rPr>
      </w:pPr>
    </w:p>
    <w:p>
      <w:pPr>
        <w:ind w:right="660"/>
        <w:spacing w:after="0" w:line="284" w:lineRule="auto"/>
        <w:rPr>
          <w:sz w:val="20"/>
          <w:szCs w:val="20"/>
          <w:color w:val="auto"/>
        </w:rPr>
      </w:pPr>
      <w:r>
        <w:rPr>
          <w:rFonts w:ascii="Arial" w:cs="Arial" w:eastAsia="Arial" w:hAnsi="Arial"/>
          <w:sz w:val="13"/>
          <w:szCs w:val="13"/>
          <w:b w:val="1"/>
          <w:bCs w:val="1"/>
          <w:color w:val="EF5660"/>
        </w:rPr>
        <w:t>Expanding leadership position in consumer business</w:t>
      </w:r>
    </w:p>
    <w:p>
      <w:pPr>
        <w:spacing w:after="0" w:line="200" w:lineRule="exact"/>
        <w:rPr>
          <w:sz w:val="20"/>
          <w:szCs w:val="20"/>
          <w:color w:val="auto"/>
        </w:rPr>
      </w:pPr>
    </w:p>
    <w:p>
      <w:pPr>
        <w:sectPr>
          <w:pgSz w:w="11900" w:h="16838" w:orient="portrait"/>
          <w:cols w:equalWidth="0" w:num="4">
            <w:col w:w="2480" w:space="360"/>
            <w:col w:w="2100" w:space="700"/>
            <w:col w:w="2100" w:space="720"/>
            <w:col w:w="2780"/>
          </w:cols>
          <w:pgMar w:left="320" w:top="121" w:right="33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31"/>
          <w:szCs w:val="31"/>
          <w:b w:val="1"/>
          <w:bCs w:val="1"/>
          <w:color w:val="819DBB"/>
        </w:rPr>
        <w:t>KEY BUSINESS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1234440" cy="685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34440" cy="68580"/>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POSITIONED FOR GROWTH IN A CHALLENGING MARKET</w:t>
      </w:r>
    </w:p>
    <w:p>
      <w:pPr>
        <w:spacing w:after="0" w:line="252" w:lineRule="exact"/>
        <w:rPr>
          <w:sz w:val="20"/>
          <w:szCs w:val="20"/>
          <w:color w:val="auto"/>
        </w:rPr>
      </w:pPr>
    </w:p>
    <w:p>
      <w:pPr>
        <w:ind w:right="20"/>
        <w:spacing w:after="0" w:line="243" w:lineRule="auto"/>
        <w:rPr>
          <w:sz w:val="20"/>
          <w:szCs w:val="20"/>
          <w:color w:val="auto"/>
        </w:rPr>
      </w:pPr>
      <w:r>
        <w:rPr>
          <w:rFonts w:ascii="Arial" w:cs="Arial" w:eastAsia="Arial" w:hAnsi="Arial"/>
          <w:sz w:val="13"/>
          <w:szCs w:val="13"/>
          <w:color w:val="auto"/>
        </w:rPr>
        <w:t>Despite a challenging year, we remained focused on driving innovation for customers and long-term value creation for our stockholders. Specifically, we broadened our product portfolio and enhanced our technology leadership with a keen focus on strategy and operations. We expect these actions to position us to emerge as a stronger company as the market environment improves. These factors, along with the hiring of our new Chief Executive Officer and stockholder feedback from our engagement efforts, provided important context for the Compensation and Talent Committee’s decisions regarding executive pay for the year in review, and as described further in the section entitled “Executive Compensation—Compensation Discussion and Analysis,” fiscal 2020 compensation levels to our executive team reflect the shift in performance results.</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Our fiscal 2020 business results were adversely impacted by the ongoing COVID-19 pandemic, the start of a global economic contraction and trade-related geopolitical dynamics. We</w:t>
      </w:r>
    </w:p>
    <w:p>
      <w:pPr>
        <w:spacing w:after="0" w:line="6" w:lineRule="exact"/>
        <w:rPr>
          <w:sz w:val="20"/>
          <w:szCs w:val="20"/>
          <w:color w:val="auto"/>
        </w:rPr>
      </w:pPr>
    </w:p>
    <w:p>
      <w:pPr>
        <w:ind w:right="200"/>
        <w:spacing w:after="0" w:line="214" w:lineRule="auto"/>
        <w:rPr>
          <w:sz w:val="20"/>
          <w:szCs w:val="20"/>
          <w:color w:val="auto"/>
        </w:rPr>
      </w:pPr>
      <w:r>
        <w:rPr>
          <w:rFonts w:ascii="Arial" w:cs="Arial" w:eastAsia="Arial" w:hAnsi="Arial"/>
          <w:sz w:val="13"/>
          <w:szCs w:val="13"/>
          <w:color w:val="auto"/>
        </w:rPr>
        <w:t>delivered fiscal 2020 revenues of $16.7 billion, non-GAAP gross margin of 26.9% and $3.04 in non-GAAP diluted earnings per share (“EPS”).</w:t>
      </w:r>
      <w:r>
        <w:rPr>
          <w:rFonts w:ascii="Arial" w:cs="Arial" w:eastAsia="Arial" w:hAnsi="Arial"/>
          <w:sz w:val="22"/>
          <w:szCs w:val="22"/>
          <w:color w:val="auto"/>
          <w:vertAlign w:val="superscript"/>
        </w:rPr>
        <w:t>(1)</w:t>
      </w:r>
      <w:r>
        <w:rPr>
          <w:rFonts w:ascii="Arial" w:cs="Arial" w:eastAsia="Arial" w:hAnsi="Arial"/>
          <w:sz w:val="13"/>
          <w:szCs w:val="13"/>
          <w:color w:val="auto"/>
        </w:rPr>
        <w:t xml:space="preserve"> Our business generated $824 million in operating cash flow and we returned $595 million to stockholders through cash dividends. We also repaid $982 million of debt (consisting of $257 million in scheduled principal payments and $725 million in voluntary prepayments).</w:t>
      </w:r>
    </w:p>
    <w:p>
      <w:pPr>
        <w:spacing w:after="0" w:line="170" w:lineRule="exact"/>
        <w:rPr>
          <w:sz w:val="20"/>
          <w:szCs w:val="20"/>
          <w:color w:val="auto"/>
        </w:rPr>
      </w:pPr>
    </w:p>
    <w:p>
      <w:pPr>
        <w:spacing w:after="0"/>
        <w:rPr>
          <w:sz w:val="20"/>
          <w:szCs w:val="20"/>
          <w:color w:val="auto"/>
        </w:rPr>
      </w:pPr>
      <w:r>
        <w:rPr>
          <w:rFonts w:ascii="Arial" w:cs="Arial" w:eastAsia="Arial" w:hAnsi="Arial"/>
          <w:sz w:val="24"/>
          <w:szCs w:val="24"/>
          <w:b w:val="1"/>
          <w:bCs w:val="1"/>
          <w:color w:val="CC7300"/>
        </w:rPr>
        <w:t>Strength of Product Portfolio</w:t>
      </w:r>
    </w:p>
    <w:p>
      <w:pPr>
        <w:spacing w:after="0" w:line="257" w:lineRule="exact"/>
        <w:rPr>
          <w:sz w:val="20"/>
          <w:szCs w:val="20"/>
          <w:color w:val="auto"/>
        </w:rPr>
      </w:pPr>
    </w:p>
    <w:p>
      <w:pPr>
        <w:jc w:val="both"/>
        <w:ind w:right="60"/>
        <w:spacing w:after="0" w:line="248" w:lineRule="auto"/>
        <w:rPr>
          <w:sz w:val="20"/>
          <w:szCs w:val="20"/>
          <w:color w:val="auto"/>
        </w:rPr>
      </w:pPr>
      <w:r>
        <w:rPr>
          <w:rFonts w:ascii="Arial" w:cs="Arial" w:eastAsia="Arial" w:hAnsi="Arial"/>
          <w:sz w:val="13"/>
          <w:szCs w:val="13"/>
          <w:color w:val="auto"/>
        </w:rPr>
        <w:t>Our ability to continually drive innovation and expand our differentiated product base is an integral component to maintaining leadership and a competitive advantage in the rapidly evolving data storage industry. To that end, we made significant strides in broadening and enhancing our product offerings and delivering the strongest product portfolio in our history. Achievements of particular note include:</w:t>
      </w:r>
    </w:p>
    <w:p>
      <w:pPr>
        <w:spacing w:after="0" w:line="198" w:lineRule="exact"/>
        <w:rPr>
          <w:sz w:val="20"/>
          <w:szCs w:val="20"/>
          <w:color w:val="auto"/>
        </w:rPr>
      </w:pPr>
    </w:p>
    <w:p>
      <w:pPr>
        <w:ind w:left="240" w:hanging="232"/>
        <w:spacing w:after="0"/>
        <w:tabs>
          <w:tab w:leader="none" w:pos="240" w:val="left"/>
        </w:tabs>
        <w:numPr>
          <w:ilvl w:val="0"/>
          <w:numId w:val="38"/>
        </w:numPr>
        <w:rPr>
          <w:rFonts w:ascii="Arial" w:cs="Arial" w:eastAsia="Arial" w:hAnsi="Arial"/>
          <w:sz w:val="13"/>
          <w:szCs w:val="13"/>
          <w:color w:val="61C4AF"/>
        </w:rPr>
      </w:pPr>
      <w:r>
        <w:rPr>
          <w:rFonts w:ascii="Arial" w:cs="Arial" w:eastAsia="Arial" w:hAnsi="Arial"/>
          <w:sz w:val="13"/>
          <w:szCs w:val="13"/>
          <w:color w:val="auto"/>
        </w:rPr>
        <w:t>Enterprise SSD revenue share increased to the low double digits and will remain an important area of focus within our flash portfolio.</w:t>
      </w:r>
    </w:p>
    <w:p>
      <w:pPr>
        <w:spacing w:after="0" w:line="107" w:lineRule="exact"/>
        <w:rPr>
          <w:rFonts w:ascii="Arial" w:cs="Arial" w:eastAsia="Arial" w:hAnsi="Arial"/>
          <w:sz w:val="13"/>
          <w:szCs w:val="13"/>
          <w:color w:val="61C4AF"/>
        </w:rPr>
      </w:pPr>
    </w:p>
    <w:p>
      <w:pPr>
        <w:ind w:left="240" w:hanging="232"/>
        <w:spacing w:after="0"/>
        <w:tabs>
          <w:tab w:leader="none" w:pos="240" w:val="left"/>
        </w:tabs>
        <w:numPr>
          <w:ilvl w:val="0"/>
          <w:numId w:val="38"/>
        </w:numPr>
        <w:rPr>
          <w:rFonts w:ascii="Arial" w:cs="Arial" w:eastAsia="Arial" w:hAnsi="Arial"/>
          <w:sz w:val="13"/>
          <w:szCs w:val="13"/>
          <w:color w:val="61C4AF"/>
        </w:rPr>
      </w:pPr>
      <w:r>
        <w:rPr>
          <w:rFonts w:ascii="Arial" w:cs="Arial" w:eastAsia="Arial" w:hAnsi="Arial"/>
          <w:sz w:val="13"/>
          <w:szCs w:val="13"/>
          <w:color w:val="auto"/>
        </w:rPr>
        <w:t>In hard drives, we were the first in the industry to ship energy-assisted drives designed for mass production, including our 16-, 18- and 20-terabyte drives.</w:t>
      </w:r>
    </w:p>
    <w:p>
      <w:pPr>
        <w:spacing w:after="0" w:line="242" w:lineRule="exact"/>
        <w:rPr>
          <w:sz w:val="20"/>
          <w:szCs w:val="20"/>
          <w:color w:val="auto"/>
        </w:rPr>
      </w:pPr>
    </w:p>
    <w:p>
      <w:pPr>
        <w:ind w:left="300" w:hanging="292"/>
        <w:spacing w:after="0"/>
        <w:tabs>
          <w:tab w:leader="none" w:pos="300" w:val="left"/>
        </w:tabs>
        <w:numPr>
          <w:ilvl w:val="0"/>
          <w:numId w:val="39"/>
        </w:numPr>
        <w:rPr>
          <w:rFonts w:ascii="Arial" w:cs="Arial" w:eastAsia="Arial" w:hAnsi="Arial"/>
          <w:sz w:val="11"/>
          <w:szCs w:val="11"/>
          <w:color w:val="auto"/>
        </w:rPr>
      </w:pPr>
      <w:r>
        <w:rPr>
          <w:rFonts w:ascii="Arial" w:cs="Arial" w:eastAsia="Arial" w:hAnsi="Arial"/>
          <w:sz w:val="13"/>
          <w:szCs w:val="13"/>
          <w:color w:val="auto"/>
        </w:rPr>
        <w:t>See Appendix A to this Proxy Statement for reconciliations of GAAP gross margin and GAAP EPS to non-GAAP gross margin and non-GAAP EPS, respectively.</w:t>
      </w:r>
    </w:p>
    <w:p>
      <w:pPr>
        <w:spacing w:after="0" w:line="210"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3"/>
          <w:szCs w:val="13"/>
          <w:color w:val="23628F"/>
        </w:rPr>
        <w:t>2020 PROXY STATEMENT</w:t>
      </w:r>
      <w:r>
        <w:rPr>
          <w:sz w:val="20"/>
          <w:szCs w:val="20"/>
          <w:color w:val="auto"/>
        </w:rPr>
        <w:tab/>
      </w:r>
      <w:r>
        <w:rPr>
          <w:rFonts w:ascii="Arial" w:cs="Arial" w:eastAsia="Arial" w:hAnsi="Arial"/>
          <w:sz w:val="16"/>
          <w:szCs w:val="16"/>
          <w:b w:val="1"/>
          <w:bCs w:val="1"/>
          <w:color w:val="23628F"/>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15327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23628F"/>
        </w:rPr>
        <w:t>PROXY SUMMARY</w:t>
      </w:r>
    </w:p>
    <w:p>
      <w:pPr>
        <w:spacing w:after="0" w:line="215" w:lineRule="exact"/>
        <w:rPr>
          <w:sz w:val="20"/>
          <w:szCs w:val="20"/>
          <w:color w:val="auto"/>
        </w:rPr>
      </w:pPr>
    </w:p>
    <w:p>
      <w:pPr>
        <w:ind w:left="240" w:hanging="232"/>
        <w:spacing w:after="0"/>
        <w:tabs>
          <w:tab w:leader="none" w:pos="240" w:val="left"/>
        </w:tabs>
        <w:numPr>
          <w:ilvl w:val="0"/>
          <w:numId w:val="40"/>
        </w:numPr>
        <w:rPr>
          <w:rFonts w:ascii="Arial" w:cs="Arial" w:eastAsia="Arial" w:hAnsi="Arial"/>
          <w:sz w:val="13"/>
          <w:szCs w:val="13"/>
          <w:color w:val="61C4AF"/>
        </w:rPr>
      </w:pPr>
      <w:r>
        <w:rPr>
          <w:rFonts w:ascii="Arial" w:cs="Arial" w:eastAsia="Arial" w:hAnsi="Arial"/>
          <w:sz w:val="13"/>
          <w:szCs w:val="13"/>
          <w:color w:val="auto"/>
        </w:rPr>
        <w:t>We began shipping our new 10-terabyte air-based product powered by our innovative airflow architecture, underscoring our areal density and mechanical design leadership.</w:t>
      </w:r>
    </w:p>
    <w:p>
      <w:pPr>
        <w:spacing w:after="0" w:line="107" w:lineRule="exact"/>
        <w:rPr>
          <w:rFonts w:ascii="Arial" w:cs="Arial" w:eastAsia="Arial" w:hAnsi="Arial"/>
          <w:sz w:val="13"/>
          <w:szCs w:val="13"/>
          <w:color w:val="61C4AF"/>
        </w:rPr>
      </w:pPr>
    </w:p>
    <w:p>
      <w:pPr>
        <w:ind w:left="240" w:hanging="232"/>
        <w:spacing w:after="0"/>
        <w:tabs>
          <w:tab w:leader="none" w:pos="240" w:val="left"/>
        </w:tabs>
        <w:numPr>
          <w:ilvl w:val="0"/>
          <w:numId w:val="40"/>
        </w:numPr>
        <w:rPr>
          <w:rFonts w:ascii="Arial" w:cs="Arial" w:eastAsia="Arial" w:hAnsi="Arial"/>
          <w:sz w:val="13"/>
          <w:szCs w:val="13"/>
          <w:color w:val="61C4AF"/>
        </w:rPr>
      </w:pPr>
      <w:r>
        <w:rPr>
          <w:rFonts w:ascii="Arial" w:cs="Arial" w:eastAsia="Arial" w:hAnsi="Arial"/>
          <w:sz w:val="13"/>
          <w:szCs w:val="13"/>
          <w:color w:val="auto"/>
        </w:rPr>
        <w:t>Retail solutions continued to benefit from the trust and reputation of our brands.</w:t>
      </w:r>
    </w:p>
    <w:p>
      <w:pPr>
        <w:spacing w:after="0" w:line="182"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Technology Advances</w:t>
      </w:r>
    </w:p>
    <w:p>
      <w:pPr>
        <w:spacing w:after="0" w:line="257" w:lineRule="exact"/>
        <w:rPr>
          <w:sz w:val="20"/>
          <w:szCs w:val="20"/>
          <w:color w:val="auto"/>
        </w:rPr>
      </w:pPr>
    </w:p>
    <w:p>
      <w:pPr>
        <w:spacing w:after="0" w:line="258" w:lineRule="auto"/>
        <w:rPr>
          <w:sz w:val="20"/>
          <w:szCs w:val="20"/>
          <w:color w:val="auto"/>
        </w:rPr>
      </w:pPr>
      <w:r>
        <w:rPr>
          <w:rFonts w:ascii="Arial" w:cs="Arial" w:eastAsia="Arial" w:hAnsi="Arial"/>
          <w:sz w:val="13"/>
          <w:szCs w:val="13"/>
          <w:color w:val="auto"/>
        </w:rPr>
        <w:t>With approximately 13,500 patents worldwide and a broad approach to innovation across our entire technology portfolio, we are continuously developing and investing in new technologies and partnerships to build on our existing technology leadership:</w:t>
      </w:r>
    </w:p>
    <w:p>
      <w:pPr>
        <w:spacing w:after="0" w:line="192" w:lineRule="exact"/>
        <w:rPr>
          <w:sz w:val="20"/>
          <w:szCs w:val="20"/>
          <w:color w:val="auto"/>
        </w:rPr>
      </w:pPr>
    </w:p>
    <w:p>
      <w:pPr>
        <w:ind w:left="240" w:hanging="232"/>
        <w:spacing w:after="0"/>
        <w:tabs>
          <w:tab w:leader="none" w:pos="240" w:val="left"/>
        </w:tabs>
        <w:numPr>
          <w:ilvl w:val="0"/>
          <w:numId w:val="41"/>
        </w:numPr>
        <w:rPr>
          <w:rFonts w:ascii="Arial" w:cs="Arial" w:eastAsia="Arial" w:hAnsi="Arial"/>
          <w:sz w:val="13"/>
          <w:szCs w:val="13"/>
          <w:color w:val="61C4AF"/>
        </w:rPr>
      </w:pPr>
      <w:r>
        <w:rPr>
          <w:rFonts w:ascii="Arial" w:cs="Arial" w:eastAsia="Arial" w:hAnsi="Arial"/>
          <w:sz w:val="13"/>
          <w:szCs w:val="13"/>
          <w:color w:val="auto"/>
        </w:rPr>
        <w:t>In flash, we launched our next generation 3D NAND technology, BiCS5, which delivers exceptional capacity, performance and reliability, all at an attractive cost.</w:t>
      </w:r>
    </w:p>
    <w:p>
      <w:pPr>
        <w:spacing w:after="0" w:line="107" w:lineRule="exact"/>
        <w:rPr>
          <w:rFonts w:ascii="Arial" w:cs="Arial" w:eastAsia="Arial" w:hAnsi="Arial"/>
          <w:sz w:val="13"/>
          <w:szCs w:val="13"/>
          <w:color w:val="61C4AF"/>
        </w:rPr>
      </w:pPr>
    </w:p>
    <w:p>
      <w:pPr>
        <w:ind w:left="240" w:right="560" w:hanging="232"/>
        <w:spacing w:after="0" w:line="258" w:lineRule="auto"/>
        <w:tabs>
          <w:tab w:leader="none" w:pos="240" w:val="left"/>
        </w:tabs>
        <w:numPr>
          <w:ilvl w:val="0"/>
          <w:numId w:val="41"/>
        </w:numPr>
        <w:rPr>
          <w:rFonts w:ascii="Arial" w:cs="Arial" w:eastAsia="Arial" w:hAnsi="Arial"/>
          <w:sz w:val="13"/>
          <w:szCs w:val="13"/>
          <w:color w:val="61C4AF"/>
        </w:rPr>
      </w:pPr>
      <w:r>
        <w:rPr>
          <w:rFonts w:ascii="Arial" w:cs="Arial" w:eastAsia="Arial" w:hAnsi="Arial"/>
          <w:sz w:val="13"/>
          <w:szCs w:val="13"/>
          <w:color w:val="auto"/>
        </w:rPr>
        <w:t>We celebrated the first production wafer shipment from our K1 fab, our new manufacturing facility for 3D BiCS flash memory. This is another important milestone reflecting the successful 20-year partnership we’ve had with our joint venture partner, Kioxia Corporation.</w:t>
      </w:r>
    </w:p>
    <w:p>
      <w:pPr>
        <w:spacing w:after="0" w:line="83" w:lineRule="exact"/>
        <w:rPr>
          <w:rFonts w:ascii="Arial" w:cs="Arial" w:eastAsia="Arial" w:hAnsi="Arial"/>
          <w:sz w:val="13"/>
          <w:szCs w:val="13"/>
          <w:color w:val="61C4AF"/>
        </w:rPr>
      </w:pPr>
    </w:p>
    <w:p>
      <w:pPr>
        <w:ind w:left="240" w:right="200" w:hanging="232"/>
        <w:spacing w:after="0" w:line="258" w:lineRule="auto"/>
        <w:tabs>
          <w:tab w:leader="none" w:pos="240" w:val="left"/>
        </w:tabs>
        <w:numPr>
          <w:ilvl w:val="0"/>
          <w:numId w:val="41"/>
        </w:numPr>
        <w:rPr>
          <w:rFonts w:ascii="Arial" w:cs="Arial" w:eastAsia="Arial" w:hAnsi="Arial"/>
          <w:sz w:val="13"/>
          <w:szCs w:val="13"/>
          <w:color w:val="61C4AF"/>
        </w:rPr>
      </w:pPr>
      <w:r>
        <w:rPr>
          <w:rFonts w:ascii="Arial" w:cs="Arial" w:eastAsia="Arial" w:hAnsi="Arial"/>
          <w:sz w:val="13"/>
          <w:szCs w:val="13"/>
          <w:color w:val="auto"/>
        </w:rPr>
        <w:t>We expanded our capacity enterprise product offerings with the 16-, 18- and 20-terabyte drives all enabled by our energy-assisted recording technology. This technology is a critical step to driving continued areal density improvements in next generation capacity enterprise products.</w:t>
      </w:r>
    </w:p>
    <w:p>
      <w:pPr>
        <w:spacing w:after="0" w:line="158"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Strategic and Operational</w:t>
      </w:r>
    </w:p>
    <w:p>
      <w:pPr>
        <w:spacing w:after="0" w:line="257" w:lineRule="exact"/>
        <w:rPr>
          <w:sz w:val="20"/>
          <w:szCs w:val="20"/>
          <w:color w:val="auto"/>
        </w:rPr>
      </w:pPr>
    </w:p>
    <w:p>
      <w:pPr>
        <w:ind w:right="300"/>
        <w:spacing w:after="0" w:line="258" w:lineRule="auto"/>
        <w:rPr>
          <w:sz w:val="20"/>
          <w:szCs w:val="20"/>
          <w:color w:val="auto"/>
        </w:rPr>
      </w:pPr>
      <w:r>
        <w:rPr>
          <w:rFonts w:ascii="Arial" w:cs="Arial" w:eastAsia="Arial" w:hAnsi="Arial"/>
          <w:sz w:val="13"/>
          <w:szCs w:val="13"/>
          <w:color w:val="auto"/>
        </w:rPr>
        <w:t>Our Board of Directors and management team remain focused on the development and execution of our strategy, including aligning our structure, improving operational efficiency and attracting and retaining talent that is critical to our continued success:</w:t>
      </w:r>
    </w:p>
    <w:p>
      <w:pPr>
        <w:spacing w:after="0" w:line="192" w:lineRule="exact"/>
        <w:rPr>
          <w:sz w:val="20"/>
          <w:szCs w:val="20"/>
          <w:color w:val="auto"/>
        </w:rPr>
      </w:pPr>
    </w:p>
    <w:p>
      <w:pPr>
        <w:ind w:left="240" w:hanging="232"/>
        <w:spacing w:after="0"/>
        <w:tabs>
          <w:tab w:leader="none" w:pos="240" w:val="left"/>
        </w:tabs>
        <w:numPr>
          <w:ilvl w:val="0"/>
          <w:numId w:val="42"/>
        </w:numPr>
        <w:rPr>
          <w:rFonts w:ascii="Arial" w:cs="Arial" w:eastAsia="Arial" w:hAnsi="Arial"/>
          <w:sz w:val="13"/>
          <w:szCs w:val="13"/>
          <w:color w:val="61C4AF"/>
        </w:rPr>
      </w:pPr>
      <w:r>
        <w:rPr>
          <w:rFonts w:ascii="Arial" w:cs="Arial" w:eastAsia="Arial" w:hAnsi="Arial"/>
          <w:sz w:val="13"/>
          <w:szCs w:val="13"/>
          <w:color w:val="auto"/>
        </w:rPr>
        <w:t>In March 2020, David V. Goeckeler was appointed as our new Chief Executive Officer.</w:t>
      </w:r>
    </w:p>
    <w:p>
      <w:pPr>
        <w:spacing w:after="0" w:line="107" w:lineRule="exact"/>
        <w:rPr>
          <w:rFonts w:ascii="Arial" w:cs="Arial" w:eastAsia="Arial" w:hAnsi="Arial"/>
          <w:sz w:val="13"/>
          <w:szCs w:val="13"/>
          <w:color w:val="61C4AF"/>
        </w:rPr>
      </w:pPr>
    </w:p>
    <w:p>
      <w:pPr>
        <w:ind w:left="240" w:hanging="232"/>
        <w:spacing w:after="0"/>
        <w:tabs>
          <w:tab w:leader="none" w:pos="240" w:val="left"/>
        </w:tabs>
        <w:numPr>
          <w:ilvl w:val="0"/>
          <w:numId w:val="42"/>
        </w:numPr>
        <w:rPr>
          <w:rFonts w:ascii="Arial" w:cs="Arial" w:eastAsia="Arial" w:hAnsi="Arial"/>
          <w:sz w:val="13"/>
          <w:szCs w:val="13"/>
          <w:color w:val="61C4AF"/>
        </w:rPr>
      </w:pPr>
      <w:r>
        <w:rPr>
          <w:rFonts w:ascii="Arial" w:cs="Arial" w:eastAsia="Arial" w:hAnsi="Arial"/>
          <w:sz w:val="13"/>
          <w:szCs w:val="13"/>
          <w:color w:val="auto"/>
        </w:rPr>
        <w:t>In April 2020, we announced the suspension of our dividend program to support continued efforts to invest in the business and reduce debt.</w:t>
      </w:r>
    </w:p>
    <w:p>
      <w:pPr>
        <w:spacing w:after="0" w:line="107" w:lineRule="exact"/>
        <w:rPr>
          <w:rFonts w:ascii="Arial" w:cs="Arial" w:eastAsia="Arial" w:hAnsi="Arial"/>
          <w:sz w:val="13"/>
          <w:szCs w:val="13"/>
          <w:color w:val="61C4AF"/>
        </w:rPr>
      </w:pPr>
    </w:p>
    <w:p>
      <w:pPr>
        <w:ind w:left="240" w:right="80" w:hanging="232"/>
        <w:spacing w:after="0" w:line="248" w:lineRule="auto"/>
        <w:tabs>
          <w:tab w:leader="none" w:pos="240" w:val="left"/>
        </w:tabs>
        <w:numPr>
          <w:ilvl w:val="0"/>
          <w:numId w:val="42"/>
        </w:numPr>
        <w:rPr>
          <w:rFonts w:ascii="Arial" w:cs="Arial" w:eastAsia="Arial" w:hAnsi="Arial"/>
          <w:sz w:val="13"/>
          <w:szCs w:val="13"/>
          <w:color w:val="61C4AF"/>
        </w:rPr>
      </w:pPr>
      <w:r>
        <w:rPr>
          <w:rFonts w:ascii="Arial" w:cs="Arial" w:eastAsia="Arial" w:hAnsi="Arial"/>
          <w:sz w:val="13"/>
          <w:szCs w:val="13"/>
          <w:color w:val="auto"/>
        </w:rPr>
        <w:t>We navigated through COVID-19 complexities to provide continuity and high-quality products for our customers, deliver value to our stockholders and, importantly, prioritize the health and safety of our employees. We’ve limited the business impact of the pandemic, which primarily impacted our HDD business, by making important investments and changes to minimize manufacturing and logistical challenges caused by the pandemic.</w:t>
      </w:r>
    </w:p>
    <w:p>
      <w:pPr>
        <w:spacing w:after="0" w:line="165"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Looking Ahead</w:t>
      </w:r>
    </w:p>
    <w:p>
      <w:pPr>
        <w:spacing w:after="0" w:line="257" w:lineRule="exact"/>
        <w:rPr>
          <w:sz w:val="20"/>
          <w:szCs w:val="20"/>
          <w:color w:val="auto"/>
        </w:rPr>
      </w:pPr>
    </w:p>
    <w:p>
      <w:pPr>
        <w:ind w:right="60"/>
        <w:spacing w:after="0" w:line="248" w:lineRule="auto"/>
        <w:rPr>
          <w:sz w:val="20"/>
          <w:szCs w:val="20"/>
          <w:color w:val="auto"/>
        </w:rPr>
      </w:pPr>
      <w:r>
        <w:rPr>
          <w:rFonts w:ascii="Arial" w:cs="Arial" w:eastAsia="Arial" w:hAnsi="Arial"/>
          <w:sz w:val="13"/>
          <w:szCs w:val="13"/>
          <w:color w:val="auto"/>
        </w:rPr>
        <w:t>Our strategic priorities are centered on driving innovation for customers and value for stockholders. In this complex and dynamic environment, we believe the most important thing we can do is to keep our foot on the innovation pedal by executing on our strategic business objectives and delivering on our product roadmap. We have an extremely talented team that will continue to work on bolstering our flash and HDD portfolios while we transition to BiCS5 and ramp our energy-assisted capacity enterprise drives to high volume.</w:t>
      </w:r>
    </w:p>
    <w:p>
      <w:pPr>
        <w:spacing w:after="0" w:line="198" w:lineRule="exact"/>
        <w:rPr>
          <w:sz w:val="20"/>
          <w:szCs w:val="20"/>
          <w:color w:val="auto"/>
        </w:rPr>
      </w:pPr>
    </w:p>
    <w:p>
      <w:pPr>
        <w:jc w:val="both"/>
        <w:ind w:right="20"/>
        <w:spacing w:after="0" w:line="248" w:lineRule="auto"/>
        <w:rPr>
          <w:sz w:val="20"/>
          <w:szCs w:val="20"/>
          <w:color w:val="auto"/>
        </w:rPr>
      </w:pPr>
      <w:r>
        <w:rPr>
          <w:rFonts w:ascii="Arial" w:cs="Arial" w:eastAsia="Arial" w:hAnsi="Arial"/>
          <w:sz w:val="13"/>
          <w:szCs w:val="13"/>
          <w:color w:val="auto"/>
        </w:rPr>
        <w:t>While there are near-term challenges, the secular trends of data growth and its increasing value – key drivers of our business opportunities – remain strong. We believe the actions we are taking to evolve our portfolio to drive long-term revenue growth, gross margin improvement and cash generation, while also paying down debt and investing in the future, set us up well for long-term success.</w:t>
      </w:r>
    </w:p>
    <w:p>
      <w:pPr>
        <w:spacing w:after="0" w:line="194"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b w:val="1"/>
          <w:bCs w:val="1"/>
          <w:color w:val="23628F"/>
        </w:rPr>
      </w:pPr>
      <w:r>
        <w:rPr>
          <w:rFonts w:ascii="Arial" w:cs="Arial" w:eastAsia="Arial" w:hAnsi="Arial"/>
          <w:sz w:val="13"/>
          <w:szCs w:val="13"/>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15327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tcPr>
          <w:p>
            <w:pPr>
              <w:ind w:left="280"/>
              <w:spacing w:after="0"/>
              <w:rPr>
                <w:sz w:val="20"/>
                <w:szCs w:val="20"/>
                <w:color w:val="auto"/>
              </w:rPr>
            </w:pPr>
            <w:r>
              <w:rPr>
                <w:rFonts w:ascii="Arial" w:cs="Arial" w:eastAsia="Arial" w:hAnsi="Arial"/>
                <w:sz w:val="13"/>
                <w:szCs w:val="13"/>
                <w:color w:val="23628F"/>
              </w:rPr>
              <w:t>PROXY SUMMARY</w:t>
            </w:r>
          </w:p>
        </w:tc>
        <w:tc>
          <w:tcPr>
            <w:tcW w:w="0" w:type="dxa"/>
            <w:vAlign w:val="bottom"/>
          </w:tcPr>
          <w:p>
            <w:pPr>
              <w:spacing w:after="0"/>
              <w:rPr>
                <w:sz w:val="1"/>
                <w:szCs w:val="1"/>
                <w:color w:val="auto"/>
              </w:rPr>
            </w:pPr>
          </w:p>
        </w:tc>
      </w:tr>
      <w:tr>
        <w:trPr>
          <w:trHeight w:val="578"/>
        </w:trPr>
        <w:tc>
          <w:tcPr>
            <w:tcW w:w="4800" w:type="dxa"/>
            <w:vAlign w:val="bottom"/>
            <w:gridSpan w:val="3"/>
          </w:tcPr>
          <w:p>
            <w:pPr>
              <w:spacing w:after="0"/>
              <w:rPr>
                <w:sz w:val="20"/>
                <w:szCs w:val="20"/>
                <w:color w:val="auto"/>
              </w:rPr>
            </w:pPr>
            <w:r>
              <w:rPr>
                <w:rFonts w:ascii="Arial" w:cs="Arial" w:eastAsia="Arial" w:hAnsi="Arial"/>
                <w:sz w:val="31"/>
                <w:szCs w:val="31"/>
                <w:b w:val="1"/>
                <w:bCs w:val="1"/>
                <w:color w:val="819DBB"/>
              </w:rPr>
              <w:t>OUR DIRECTOR NOMINEES</w:t>
            </w:r>
          </w:p>
        </w:tc>
        <w:tc>
          <w:tcPr>
            <w:tcW w:w="1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Director</w:t>
            </w:r>
          </w:p>
        </w:tc>
        <w:tc>
          <w:tcPr>
            <w:tcW w:w="20" w:type="dxa"/>
            <w:vAlign w:val="bottom"/>
          </w:tcPr>
          <w:p>
            <w:pPr>
              <w:spacing w:after="0"/>
              <w:rPr>
                <w:sz w:val="17"/>
                <w:szCs w:val="17"/>
                <w:color w:val="auto"/>
              </w:rPr>
            </w:pPr>
          </w:p>
        </w:tc>
        <w:tc>
          <w:tcPr>
            <w:tcW w:w="96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Board</w:t>
            </w:r>
          </w:p>
        </w:tc>
        <w:tc>
          <w:tcPr>
            <w:tcW w:w="20" w:type="dxa"/>
            <w:vAlign w:val="bottom"/>
          </w:tcPr>
          <w:p>
            <w:pPr>
              <w:spacing w:after="0"/>
              <w:rPr>
                <w:sz w:val="17"/>
                <w:szCs w:val="17"/>
                <w:color w:val="auto"/>
              </w:rPr>
            </w:pPr>
          </w:p>
        </w:tc>
        <w:tc>
          <w:tcPr>
            <w:tcW w:w="148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Other Current Public</w:t>
            </w:r>
          </w:p>
        </w:tc>
        <w:tc>
          <w:tcPr>
            <w:tcW w:w="0" w:type="dxa"/>
            <w:vAlign w:val="bottom"/>
          </w:tcPr>
          <w:p>
            <w:pPr>
              <w:spacing w:after="0"/>
              <w:rPr>
                <w:sz w:val="1"/>
                <w:szCs w:val="1"/>
                <w:color w:val="auto"/>
              </w:rPr>
            </w:pPr>
          </w:p>
        </w:tc>
      </w:tr>
      <w:tr>
        <w:trPr>
          <w:trHeight w:val="159"/>
        </w:trPr>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660" w:type="dxa"/>
            <w:vAlign w:val="bottom"/>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960" w:type="dxa"/>
            <w:vAlign w:val="bottom"/>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1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6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 and Principal Occupation</w:t>
            </w:r>
          </w:p>
        </w:tc>
        <w:tc>
          <w:tcPr>
            <w:tcW w:w="1520" w:type="dxa"/>
            <w:vAlign w:val="bottom"/>
            <w:tcBorders>
              <w:bottom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rPr>
              <w:t>Age</w:t>
            </w: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Since</w:t>
            </w:r>
          </w:p>
        </w:tc>
        <w:tc>
          <w:tcPr>
            <w:tcW w:w="20" w:type="dxa"/>
            <w:vAlign w:val="bottom"/>
            <w:tcBorders>
              <w:bottom w:val="single" w:sz="8" w:color="auto"/>
            </w:tcBorders>
            <w:shd w:val="clear" w:color="auto" w:fill="000000"/>
          </w:tcPr>
          <w:p>
            <w:pPr>
              <w:spacing w:after="0"/>
              <w:rPr>
                <w:sz w:val="16"/>
                <w:szCs w:val="16"/>
                <w:color w:val="auto"/>
              </w:rPr>
            </w:pPr>
          </w:p>
        </w:tc>
        <w:tc>
          <w:tcPr>
            <w:tcW w:w="9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Committees</w:t>
            </w:r>
          </w:p>
        </w:tc>
        <w:tc>
          <w:tcPr>
            <w:tcW w:w="20" w:type="dxa"/>
            <w:vAlign w:val="bottom"/>
            <w:tcBorders>
              <w:bottom w:val="single" w:sz="8" w:color="auto"/>
            </w:tcBorders>
            <w:shd w:val="clear" w:color="auto" w:fill="000000"/>
          </w:tcPr>
          <w:p>
            <w:pPr>
              <w:spacing w:after="0"/>
              <w:rPr>
                <w:sz w:val="16"/>
                <w:szCs w:val="16"/>
                <w:color w:val="auto"/>
              </w:rPr>
            </w:pPr>
          </w:p>
        </w:tc>
        <w:tc>
          <w:tcPr>
            <w:tcW w:w="14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Directorships</w:t>
            </w:r>
          </w:p>
        </w:tc>
        <w:tc>
          <w:tcPr>
            <w:tcW w:w="0" w:type="dxa"/>
            <w:vAlign w:val="bottom"/>
          </w:tcPr>
          <w:p>
            <w:pPr>
              <w:spacing w:after="0"/>
              <w:rPr>
                <w:sz w:val="1"/>
                <w:szCs w:val="1"/>
                <w:color w:val="auto"/>
              </w:rPr>
            </w:pPr>
          </w:p>
        </w:tc>
      </w:tr>
      <w:tr>
        <w:trPr>
          <w:trHeight w:val="188"/>
        </w:trPr>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Arial" w:cs="Arial" w:eastAsia="Arial" w:hAnsi="Arial"/>
                <w:sz w:val="13"/>
                <w:szCs w:val="13"/>
                <w:b w:val="1"/>
                <w:bCs w:val="1"/>
                <w:color w:val="23628F"/>
              </w:rPr>
              <w:t xml:space="preserve">KIMBERLY E. ALEXY </w:t>
            </w:r>
            <w:r>
              <w:rPr>
                <w:rFonts w:ascii="Arial" w:cs="Arial" w:eastAsia="Arial" w:hAnsi="Arial"/>
                <w:sz w:val="13"/>
                <w:szCs w:val="13"/>
                <w:b w:val="1"/>
                <w:bCs w:val="1"/>
                <w:color w:val="61C4AF"/>
              </w:rPr>
              <w:t>INDEPENDENT</w:t>
            </w:r>
          </w:p>
        </w:tc>
        <w:tc>
          <w:tcPr>
            <w:tcW w:w="1520" w:type="dxa"/>
            <w:vAlign w:val="bottom"/>
          </w:tcPr>
          <w:p>
            <w:pPr>
              <w:spacing w:after="0"/>
              <w:rPr>
                <w:sz w:val="16"/>
                <w:szCs w:val="16"/>
                <w:color w:val="auto"/>
              </w:rPr>
            </w:pPr>
          </w:p>
        </w:tc>
        <w:tc>
          <w:tcPr>
            <w:tcW w:w="1780" w:type="dxa"/>
            <w:vAlign w:val="bottom"/>
            <w:gridSpan w:val="2"/>
          </w:tcPr>
          <w:p>
            <w:pPr>
              <w:ind w:left="1420"/>
              <w:spacing w:after="0"/>
              <w:rPr>
                <w:sz w:val="20"/>
                <w:szCs w:val="20"/>
                <w:color w:val="auto"/>
              </w:rPr>
            </w:pPr>
            <w:r>
              <w:rPr>
                <w:rFonts w:ascii="Arial" w:cs="Arial" w:eastAsia="Arial" w:hAnsi="Arial"/>
                <w:sz w:val="13"/>
                <w:szCs w:val="13"/>
                <w:color w:val="auto"/>
              </w:rPr>
              <w:t>50</w:t>
            </w:r>
          </w:p>
        </w:tc>
        <w:tc>
          <w:tcPr>
            <w:tcW w:w="660" w:type="dxa"/>
            <w:vAlign w:val="bottom"/>
          </w:tcPr>
          <w:p>
            <w:pPr>
              <w:ind w:left="60"/>
              <w:spacing w:after="0"/>
              <w:rPr>
                <w:sz w:val="20"/>
                <w:szCs w:val="20"/>
                <w:color w:val="auto"/>
              </w:rPr>
            </w:pPr>
            <w:r>
              <w:rPr>
                <w:rFonts w:ascii="Arial" w:cs="Arial" w:eastAsia="Arial" w:hAnsi="Arial"/>
                <w:sz w:val="13"/>
                <w:szCs w:val="13"/>
                <w:color w:val="auto"/>
              </w:rPr>
              <w:t>2018</w:t>
            </w: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80" w:type="dxa"/>
            <w:vAlign w:val="bottom"/>
          </w:tcPr>
          <w:p>
            <w:pPr>
              <w:ind w:left="60"/>
              <w:spacing w:after="0"/>
              <w:rPr>
                <w:sz w:val="20"/>
                <w:szCs w:val="20"/>
                <w:color w:val="auto"/>
              </w:rPr>
            </w:pPr>
            <w:r>
              <w:rPr>
                <w:rFonts w:ascii="Arial" w:cs="Arial" w:eastAsia="Arial" w:hAnsi="Arial"/>
                <w:sz w:val="13"/>
                <w:szCs w:val="13"/>
                <w:color w:val="auto"/>
              </w:rPr>
              <w:t>Alteryx, Inc.</w:t>
            </w:r>
          </w:p>
        </w:tc>
        <w:tc>
          <w:tcPr>
            <w:tcW w:w="0" w:type="dxa"/>
            <w:vAlign w:val="bottom"/>
          </w:tcPr>
          <w:p>
            <w:pPr>
              <w:spacing w:after="0"/>
              <w:rPr>
                <w:sz w:val="1"/>
                <w:szCs w:val="1"/>
                <w:color w:val="auto"/>
              </w:rPr>
            </w:pPr>
          </w:p>
        </w:tc>
      </w:tr>
      <w:tr>
        <w:trPr>
          <w:trHeight w:val="364"/>
        </w:trPr>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80" w:type="dxa"/>
            <w:vAlign w:val="bottom"/>
          </w:tcPr>
          <w:p>
            <w:pPr>
              <w:spacing w:after="0"/>
              <w:rPr>
                <w:sz w:val="20"/>
                <w:szCs w:val="20"/>
                <w:color w:val="auto"/>
              </w:rPr>
            </w:pPr>
            <w:r>
              <w:rPr>
                <w:rFonts w:ascii="Arial" w:cs="Arial" w:eastAsia="Arial" w:hAnsi="Arial"/>
                <w:sz w:val="13"/>
                <w:szCs w:val="13"/>
                <w:color w:val="auto"/>
              </w:rPr>
              <w:t>Principal, Alexy Capital Management</w:t>
            </w:r>
          </w:p>
        </w:tc>
        <w:tc>
          <w:tcPr>
            <w:tcW w:w="1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ind w:left="60"/>
              <w:spacing w:after="0"/>
              <w:rPr>
                <w:sz w:val="20"/>
                <w:szCs w:val="20"/>
                <w:color w:val="auto"/>
              </w:rPr>
            </w:pPr>
            <w:r>
              <w:rPr>
                <w:rFonts w:ascii="Arial" w:cs="Arial" w:eastAsia="Arial" w:hAnsi="Arial"/>
                <w:sz w:val="13"/>
                <w:szCs w:val="13"/>
                <w:color w:val="auto"/>
              </w:rPr>
              <w:t>FireEye, Inc.</w:t>
            </w:r>
          </w:p>
        </w:tc>
        <w:tc>
          <w:tcPr>
            <w:tcW w:w="0" w:type="dxa"/>
            <w:vAlign w:val="bottom"/>
          </w:tcPr>
          <w:p>
            <w:pPr>
              <w:spacing w:after="0"/>
              <w:rPr>
                <w:sz w:val="1"/>
                <w:szCs w:val="1"/>
                <w:color w:val="auto"/>
              </w:rPr>
            </w:pPr>
          </w:p>
        </w:tc>
      </w:tr>
      <w:tr>
        <w:trPr>
          <w:trHeight w:val="372"/>
        </w:trPr>
        <w:tc>
          <w:tcPr>
            <w:tcW w:w="640" w:type="dxa"/>
            <w:vAlign w:val="bottom"/>
          </w:tcPr>
          <w:p>
            <w:pPr>
              <w:spacing w:after="0"/>
              <w:rPr>
                <w:sz w:val="24"/>
                <w:szCs w:val="24"/>
                <w:color w:val="auto"/>
              </w:rPr>
            </w:pPr>
          </w:p>
        </w:tc>
        <w:tc>
          <w:tcPr>
            <w:tcW w:w="80" w:type="dxa"/>
            <w:vAlign w:val="bottom"/>
            <w:tcBorders>
              <w:bottom w:val="single" w:sz="8" w:color="959595"/>
            </w:tcBorders>
          </w:tcPr>
          <w:p>
            <w:pPr>
              <w:spacing w:after="0"/>
              <w:rPr>
                <w:sz w:val="24"/>
                <w:szCs w:val="24"/>
                <w:color w:val="auto"/>
              </w:rPr>
            </w:pPr>
          </w:p>
        </w:tc>
        <w:tc>
          <w:tcPr>
            <w:tcW w:w="4080" w:type="dxa"/>
            <w:vAlign w:val="bottom"/>
            <w:tcBorders>
              <w:bottom w:val="single" w:sz="8" w:color="959595"/>
            </w:tcBorders>
          </w:tcPr>
          <w:p>
            <w:pPr>
              <w:spacing w:after="0"/>
              <w:rPr>
                <w:sz w:val="24"/>
                <w:szCs w:val="24"/>
                <w:color w:val="auto"/>
              </w:rPr>
            </w:pPr>
          </w:p>
        </w:tc>
        <w:tc>
          <w:tcPr>
            <w:tcW w:w="1520" w:type="dxa"/>
            <w:vAlign w:val="bottom"/>
            <w:tcBorders>
              <w:bottom w:val="single" w:sz="8" w:color="959595"/>
            </w:tcBorders>
          </w:tcPr>
          <w:p>
            <w:pPr>
              <w:spacing w:after="0"/>
              <w:rPr>
                <w:sz w:val="24"/>
                <w:szCs w:val="24"/>
                <w:color w:val="auto"/>
              </w:rPr>
            </w:pPr>
          </w:p>
        </w:tc>
        <w:tc>
          <w:tcPr>
            <w:tcW w:w="1360" w:type="dxa"/>
            <w:vAlign w:val="bottom"/>
            <w:tcBorders>
              <w:bottom w:val="single" w:sz="8" w:color="959595"/>
            </w:tcBorders>
          </w:tcPr>
          <w:p>
            <w:pPr>
              <w:spacing w:after="0"/>
              <w:rPr>
                <w:sz w:val="24"/>
                <w:szCs w:val="24"/>
                <w:color w:val="auto"/>
              </w:rPr>
            </w:pPr>
          </w:p>
        </w:tc>
        <w:tc>
          <w:tcPr>
            <w:tcW w:w="420" w:type="dxa"/>
            <w:vAlign w:val="bottom"/>
            <w:tcBorders>
              <w:bottom w:val="single" w:sz="8" w:color="959595"/>
            </w:tcBorders>
          </w:tcPr>
          <w:p>
            <w:pPr>
              <w:spacing w:after="0"/>
              <w:rPr>
                <w:sz w:val="24"/>
                <w:szCs w:val="24"/>
                <w:color w:val="auto"/>
              </w:rPr>
            </w:pPr>
          </w:p>
        </w:tc>
        <w:tc>
          <w:tcPr>
            <w:tcW w:w="660" w:type="dxa"/>
            <w:vAlign w:val="bottom"/>
            <w:tcBorders>
              <w:bottom w:val="single" w:sz="8" w:color="959595"/>
            </w:tcBorders>
          </w:tcPr>
          <w:p>
            <w:pPr>
              <w:spacing w:after="0"/>
              <w:rPr>
                <w:sz w:val="24"/>
                <w:szCs w:val="24"/>
                <w:color w:val="auto"/>
              </w:rPr>
            </w:pPr>
          </w:p>
        </w:tc>
        <w:tc>
          <w:tcPr>
            <w:tcW w:w="20" w:type="dxa"/>
            <w:vAlign w:val="bottom"/>
            <w:tcBorders>
              <w:bottom w:val="single" w:sz="8" w:color="959595"/>
            </w:tcBorders>
          </w:tcPr>
          <w:p>
            <w:pPr>
              <w:spacing w:after="0"/>
              <w:rPr>
                <w:sz w:val="24"/>
                <w:szCs w:val="24"/>
                <w:color w:val="auto"/>
              </w:rPr>
            </w:pPr>
          </w:p>
        </w:tc>
        <w:tc>
          <w:tcPr>
            <w:tcW w:w="960" w:type="dxa"/>
            <w:vAlign w:val="bottom"/>
            <w:tcBorders>
              <w:bottom w:val="single" w:sz="8" w:color="959595"/>
            </w:tcBorders>
          </w:tcPr>
          <w:p>
            <w:pPr>
              <w:spacing w:after="0"/>
              <w:rPr>
                <w:sz w:val="24"/>
                <w:szCs w:val="24"/>
                <w:color w:val="auto"/>
              </w:rPr>
            </w:pPr>
          </w:p>
        </w:tc>
        <w:tc>
          <w:tcPr>
            <w:tcW w:w="20" w:type="dxa"/>
            <w:vAlign w:val="bottom"/>
            <w:tcBorders>
              <w:bottom w:val="single" w:sz="8" w:color="959595"/>
            </w:tcBorders>
          </w:tcPr>
          <w:p>
            <w:pPr>
              <w:spacing w:after="0"/>
              <w:rPr>
                <w:sz w:val="24"/>
                <w:szCs w:val="24"/>
                <w:color w:val="auto"/>
              </w:rPr>
            </w:pPr>
          </w:p>
        </w:tc>
        <w:tc>
          <w:tcPr>
            <w:tcW w:w="1480" w:type="dxa"/>
            <w:vAlign w:val="bottom"/>
            <w:tcBorders>
              <w:bottom w:val="single" w:sz="8" w:color="959595"/>
            </w:tcBorders>
          </w:tcPr>
          <w:p>
            <w:pPr>
              <w:ind w:left="60"/>
              <w:spacing w:after="0"/>
              <w:rPr>
                <w:sz w:val="20"/>
                <w:szCs w:val="20"/>
                <w:color w:val="auto"/>
              </w:rPr>
            </w:pPr>
            <w:r>
              <w:rPr>
                <w:rFonts w:ascii="Arial" w:cs="Arial" w:eastAsia="Arial" w:hAnsi="Arial"/>
                <w:sz w:val="13"/>
                <w:szCs w:val="13"/>
                <w:color w:val="auto"/>
              </w:rPr>
              <w:t>Five9, Inc.</w:t>
            </w:r>
          </w:p>
        </w:tc>
        <w:tc>
          <w:tcPr>
            <w:tcW w:w="0" w:type="dxa"/>
            <w:vAlign w:val="bottom"/>
          </w:tcPr>
          <w:p>
            <w:pPr>
              <w:spacing w:after="0"/>
              <w:rPr>
                <w:sz w:val="1"/>
                <w:szCs w:val="1"/>
                <w:color w:val="auto"/>
              </w:rPr>
            </w:pPr>
          </w:p>
        </w:tc>
      </w:tr>
      <w:tr>
        <w:trPr>
          <w:trHeight w:val="175"/>
        </w:trPr>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80" w:type="dxa"/>
            <w:vAlign w:val="bottom"/>
          </w:tcPr>
          <w:p>
            <w:pPr>
              <w:spacing w:after="0"/>
              <w:rPr>
                <w:sz w:val="20"/>
                <w:szCs w:val="20"/>
                <w:color w:val="auto"/>
              </w:rPr>
            </w:pPr>
            <w:r>
              <w:rPr>
                <w:rFonts w:ascii="Arial" w:cs="Arial" w:eastAsia="Arial" w:hAnsi="Arial"/>
                <w:sz w:val="13"/>
                <w:szCs w:val="13"/>
                <w:b w:val="1"/>
                <w:bCs w:val="1"/>
                <w:color w:val="23628F"/>
              </w:rPr>
              <w:t xml:space="preserve">MARTIN I. COLE </w:t>
            </w:r>
            <w:r>
              <w:rPr>
                <w:rFonts w:ascii="Arial" w:cs="Arial" w:eastAsia="Arial" w:hAnsi="Arial"/>
                <w:sz w:val="13"/>
                <w:szCs w:val="13"/>
                <w:b w:val="1"/>
                <w:bCs w:val="1"/>
                <w:color w:val="61C4AF"/>
              </w:rPr>
              <w:t>INDEPENDENT</w:t>
            </w:r>
          </w:p>
        </w:tc>
        <w:tc>
          <w:tcPr>
            <w:tcW w:w="1520" w:type="dxa"/>
            <w:vAlign w:val="bottom"/>
          </w:tcPr>
          <w:p>
            <w:pPr>
              <w:spacing w:after="0"/>
              <w:rPr>
                <w:sz w:val="15"/>
                <w:szCs w:val="15"/>
                <w:color w:val="auto"/>
              </w:rPr>
            </w:pPr>
          </w:p>
        </w:tc>
        <w:tc>
          <w:tcPr>
            <w:tcW w:w="1780" w:type="dxa"/>
            <w:vAlign w:val="bottom"/>
            <w:gridSpan w:val="2"/>
          </w:tcPr>
          <w:p>
            <w:pPr>
              <w:ind w:left="1420"/>
              <w:spacing w:after="0"/>
              <w:rPr>
                <w:sz w:val="20"/>
                <w:szCs w:val="20"/>
                <w:color w:val="auto"/>
              </w:rPr>
            </w:pPr>
            <w:r>
              <w:rPr>
                <w:rFonts w:ascii="Arial" w:cs="Arial" w:eastAsia="Arial" w:hAnsi="Arial"/>
                <w:sz w:val="13"/>
                <w:szCs w:val="13"/>
                <w:color w:val="auto"/>
              </w:rPr>
              <w:t>64</w:t>
            </w:r>
          </w:p>
        </w:tc>
        <w:tc>
          <w:tcPr>
            <w:tcW w:w="660" w:type="dxa"/>
            <w:vAlign w:val="bottom"/>
          </w:tcPr>
          <w:p>
            <w:pPr>
              <w:ind w:left="60"/>
              <w:spacing w:after="0"/>
              <w:rPr>
                <w:sz w:val="20"/>
                <w:szCs w:val="20"/>
                <w:color w:val="auto"/>
              </w:rPr>
            </w:pPr>
            <w:r>
              <w:rPr>
                <w:rFonts w:ascii="Arial" w:cs="Arial" w:eastAsia="Arial" w:hAnsi="Arial"/>
                <w:sz w:val="13"/>
                <w:szCs w:val="13"/>
                <w:color w:val="auto"/>
              </w:rPr>
              <w:t>2014</w:t>
            </w: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80" w:type="dxa"/>
            <w:vAlign w:val="bottom"/>
          </w:tcPr>
          <w:p>
            <w:pPr>
              <w:ind w:left="60"/>
              <w:spacing w:after="0"/>
              <w:rPr>
                <w:sz w:val="20"/>
                <w:szCs w:val="20"/>
                <w:color w:val="auto"/>
              </w:rPr>
            </w:pPr>
            <w:r>
              <w:rPr>
                <w:rFonts w:ascii="Arial" w:cs="Arial" w:eastAsia="Arial" w:hAnsi="Arial"/>
                <w:sz w:val="13"/>
                <w:szCs w:val="13"/>
                <w:color w:val="auto"/>
              </w:rPr>
              <w:t>The Western Union</w:t>
            </w: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tcPr>
          <w:p>
            <w:pPr>
              <w:ind w:left="60"/>
              <w:spacing w:after="0"/>
              <w:rPr>
                <w:sz w:val="20"/>
                <w:szCs w:val="20"/>
                <w:color w:val="auto"/>
              </w:rPr>
            </w:pPr>
            <w:r>
              <w:rPr>
                <w:rFonts w:ascii="Arial" w:cs="Arial" w:eastAsia="Arial" w:hAnsi="Arial"/>
                <w:sz w:val="13"/>
                <w:szCs w:val="13"/>
                <w:color w:val="auto"/>
              </w:rPr>
              <w:t>Company</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3"/>
                <w:szCs w:val="13"/>
                <w:color w:val="auto"/>
              </w:rPr>
              <w:t>Former Group Chief Executive, Technology of Accenture plc.</w:t>
            </w:r>
          </w:p>
        </w:tc>
        <w:tc>
          <w:tcPr>
            <w:tcW w:w="1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40" w:type="dxa"/>
            <w:vAlign w:val="bottom"/>
            <w:tcBorders>
              <w:bottom w:val="single" w:sz="8" w:color="D5DEE8"/>
            </w:tcBorders>
          </w:tcPr>
          <w:p>
            <w:pPr>
              <w:spacing w:after="0"/>
              <w:rPr>
                <w:sz w:val="15"/>
                <w:szCs w:val="15"/>
                <w:color w:val="auto"/>
              </w:rPr>
            </w:pPr>
          </w:p>
        </w:tc>
        <w:tc>
          <w:tcPr>
            <w:tcW w:w="80" w:type="dxa"/>
            <w:vAlign w:val="bottom"/>
            <w:tcBorders>
              <w:bottom w:val="single" w:sz="8" w:color="959595"/>
            </w:tcBorders>
          </w:tcPr>
          <w:p>
            <w:pPr>
              <w:spacing w:after="0"/>
              <w:rPr>
                <w:sz w:val="15"/>
                <w:szCs w:val="15"/>
                <w:color w:val="auto"/>
              </w:rPr>
            </w:pPr>
          </w:p>
        </w:tc>
        <w:tc>
          <w:tcPr>
            <w:tcW w:w="4080" w:type="dxa"/>
            <w:vAlign w:val="bottom"/>
            <w:tcBorders>
              <w:bottom w:val="single" w:sz="8" w:color="959595"/>
            </w:tcBorders>
          </w:tcPr>
          <w:p>
            <w:pPr>
              <w:spacing w:after="0"/>
              <w:rPr>
                <w:sz w:val="15"/>
                <w:szCs w:val="15"/>
                <w:color w:val="auto"/>
              </w:rPr>
            </w:pPr>
          </w:p>
        </w:tc>
        <w:tc>
          <w:tcPr>
            <w:tcW w:w="1520" w:type="dxa"/>
            <w:vAlign w:val="bottom"/>
            <w:tcBorders>
              <w:bottom w:val="single" w:sz="8" w:color="959595"/>
            </w:tcBorders>
          </w:tcPr>
          <w:p>
            <w:pPr>
              <w:spacing w:after="0"/>
              <w:rPr>
                <w:sz w:val="15"/>
                <w:szCs w:val="15"/>
                <w:color w:val="auto"/>
              </w:rPr>
            </w:pPr>
          </w:p>
        </w:tc>
        <w:tc>
          <w:tcPr>
            <w:tcW w:w="1360" w:type="dxa"/>
            <w:vAlign w:val="bottom"/>
            <w:tcBorders>
              <w:bottom w:val="single" w:sz="8" w:color="959595"/>
            </w:tcBorders>
          </w:tcPr>
          <w:p>
            <w:pPr>
              <w:spacing w:after="0"/>
              <w:rPr>
                <w:sz w:val="15"/>
                <w:szCs w:val="15"/>
                <w:color w:val="auto"/>
              </w:rPr>
            </w:pPr>
          </w:p>
        </w:tc>
        <w:tc>
          <w:tcPr>
            <w:tcW w:w="420" w:type="dxa"/>
            <w:vAlign w:val="bottom"/>
            <w:tcBorders>
              <w:bottom w:val="single" w:sz="8" w:color="959595"/>
            </w:tcBorders>
          </w:tcPr>
          <w:p>
            <w:pPr>
              <w:spacing w:after="0"/>
              <w:rPr>
                <w:sz w:val="15"/>
                <w:szCs w:val="15"/>
                <w:color w:val="auto"/>
              </w:rPr>
            </w:pPr>
          </w:p>
        </w:tc>
        <w:tc>
          <w:tcPr>
            <w:tcW w:w="660" w:type="dxa"/>
            <w:vAlign w:val="bottom"/>
            <w:tcBorders>
              <w:bottom w:val="single" w:sz="8" w:color="959595"/>
            </w:tcBorders>
          </w:tcPr>
          <w:p>
            <w:pPr>
              <w:spacing w:after="0"/>
              <w:rPr>
                <w:sz w:val="15"/>
                <w:szCs w:val="15"/>
                <w:color w:val="auto"/>
              </w:rPr>
            </w:pPr>
          </w:p>
        </w:tc>
        <w:tc>
          <w:tcPr>
            <w:tcW w:w="20" w:type="dxa"/>
            <w:vAlign w:val="bottom"/>
            <w:tcBorders>
              <w:bottom w:val="single" w:sz="8" w:color="959595"/>
            </w:tcBorders>
          </w:tcPr>
          <w:p>
            <w:pPr>
              <w:spacing w:after="0"/>
              <w:rPr>
                <w:sz w:val="15"/>
                <w:szCs w:val="15"/>
                <w:color w:val="auto"/>
              </w:rPr>
            </w:pPr>
          </w:p>
        </w:tc>
        <w:tc>
          <w:tcPr>
            <w:tcW w:w="960" w:type="dxa"/>
            <w:vAlign w:val="bottom"/>
            <w:tcBorders>
              <w:bottom w:val="single" w:sz="8" w:color="959595"/>
            </w:tcBorders>
          </w:tcPr>
          <w:p>
            <w:pPr>
              <w:spacing w:after="0"/>
              <w:rPr>
                <w:sz w:val="15"/>
                <w:szCs w:val="15"/>
                <w:color w:val="auto"/>
              </w:rPr>
            </w:pPr>
          </w:p>
        </w:tc>
        <w:tc>
          <w:tcPr>
            <w:tcW w:w="20" w:type="dxa"/>
            <w:vAlign w:val="bottom"/>
            <w:tcBorders>
              <w:bottom w:val="single" w:sz="8" w:color="959595"/>
            </w:tcBorders>
          </w:tcPr>
          <w:p>
            <w:pPr>
              <w:spacing w:after="0"/>
              <w:rPr>
                <w:sz w:val="15"/>
                <w:szCs w:val="15"/>
                <w:color w:val="auto"/>
              </w:rPr>
            </w:pPr>
          </w:p>
        </w:tc>
        <w:tc>
          <w:tcPr>
            <w:tcW w:w="1480" w:type="dxa"/>
            <w:vAlign w:val="bottom"/>
            <w:tcBorders>
              <w:bottom w:val="single" w:sz="8" w:color="959595"/>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0" w:type="dxa"/>
            <w:vAlign w:val="bottom"/>
            <w:shd w:val="clear" w:color="auto" w:fill="D5DEE8"/>
          </w:tcPr>
          <w:p>
            <w:pPr>
              <w:spacing w:after="0"/>
              <w:rPr>
                <w:sz w:val="15"/>
                <w:szCs w:val="15"/>
                <w:color w:val="auto"/>
              </w:rPr>
            </w:pPr>
          </w:p>
        </w:tc>
        <w:tc>
          <w:tcPr>
            <w:tcW w:w="80" w:type="dxa"/>
            <w:vAlign w:val="bottom"/>
            <w:shd w:val="clear" w:color="auto" w:fill="D5DEE8"/>
          </w:tcPr>
          <w:p>
            <w:pPr>
              <w:spacing w:after="0"/>
              <w:rPr>
                <w:sz w:val="15"/>
                <w:szCs w:val="15"/>
                <w:color w:val="auto"/>
              </w:rPr>
            </w:pPr>
          </w:p>
        </w:tc>
        <w:tc>
          <w:tcPr>
            <w:tcW w:w="4080" w:type="dxa"/>
            <w:vAlign w:val="bottom"/>
            <w:shd w:val="clear" w:color="auto" w:fill="D5DEE8"/>
          </w:tcPr>
          <w:p>
            <w:pPr>
              <w:spacing w:after="0"/>
              <w:rPr>
                <w:sz w:val="20"/>
                <w:szCs w:val="20"/>
                <w:color w:val="auto"/>
              </w:rPr>
            </w:pPr>
            <w:r>
              <w:rPr>
                <w:rFonts w:ascii="Arial" w:cs="Arial" w:eastAsia="Arial" w:hAnsi="Arial"/>
                <w:sz w:val="13"/>
                <w:szCs w:val="13"/>
                <w:b w:val="1"/>
                <w:bCs w:val="1"/>
                <w:color w:val="23628F"/>
              </w:rPr>
              <w:t xml:space="preserve">KATHLEEN A. COTE </w:t>
            </w:r>
            <w:r>
              <w:rPr>
                <w:rFonts w:ascii="Arial" w:cs="Arial" w:eastAsia="Arial" w:hAnsi="Arial"/>
                <w:sz w:val="13"/>
                <w:szCs w:val="13"/>
                <w:b w:val="1"/>
                <w:bCs w:val="1"/>
                <w:color w:val="61C4AF"/>
              </w:rPr>
              <w:t>LEAD INDEPENDENT DIRECTOR</w:t>
            </w:r>
          </w:p>
        </w:tc>
        <w:tc>
          <w:tcPr>
            <w:tcW w:w="1520" w:type="dxa"/>
            <w:vAlign w:val="bottom"/>
            <w:shd w:val="clear" w:color="auto" w:fill="D5DEE8"/>
          </w:tcPr>
          <w:p>
            <w:pPr>
              <w:spacing w:after="0"/>
              <w:rPr>
                <w:sz w:val="15"/>
                <w:szCs w:val="15"/>
                <w:color w:val="auto"/>
              </w:rPr>
            </w:pPr>
          </w:p>
        </w:tc>
        <w:tc>
          <w:tcPr>
            <w:tcW w:w="1780" w:type="dxa"/>
            <w:vAlign w:val="bottom"/>
            <w:tcBorders>
              <w:right w:val="single" w:sz="8" w:color="D5DEE8"/>
            </w:tcBorders>
            <w:gridSpan w:val="2"/>
            <w:shd w:val="clear" w:color="auto" w:fill="D5DEE8"/>
          </w:tcPr>
          <w:p>
            <w:pPr>
              <w:ind w:left="1420"/>
              <w:spacing w:after="0"/>
              <w:rPr>
                <w:sz w:val="20"/>
                <w:szCs w:val="20"/>
                <w:color w:val="auto"/>
              </w:rPr>
            </w:pPr>
            <w:r>
              <w:rPr>
                <w:rFonts w:ascii="Arial" w:cs="Arial" w:eastAsia="Arial" w:hAnsi="Arial"/>
                <w:sz w:val="13"/>
                <w:szCs w:val="13"/>
                <w:color w:val="auto"/>
              </w:rPr>
              <w:t>71</w:t>
            </w:r>
          </w:p>
        </w:tc>
        <w:tc>
          <w:tcPr>
            <w:tcW w:w="660" w:type="dxa"/>
            <w:vAlign w:val="bottom"/>
            <w:shd w:val="clear" w:color="auto" w:fill="D5DEE8"/>
          </w:tcPr>
          <w:p>
            <w:pPr>
              <w:ind w:left="60"/>
              <w:spacing w:after="0"/>
              <w:rPr>
                <w:sz w:val="20"/>
                <w:szCs w:val="20"/>
                <w:color w:val="auto"/>
              </w:rPr>
            </w:pPr>
            <w:r>
              <w:rPr>
                <w:rFonts w:ascii="Arial" w:cs="Arial" w:eastAsia="Arial" w:hAnsi="Arial"/>
                <w:sz w:val="13"/>
                <w:szCs w:val="13"/>
                <w:color w:val="auto"/>
              </w:rPr>
              <w:t>2001</w:t>
            </w:r>
          </w:p>
        </w:tc>
        <w:tc>
          <w:tcPr>
            <w:tcW w:w="20" w:type="dxa"/>
            <w:vAlign w:val="bottom"/>
            <w:shd w:val="clear" w:color="auto" w:fill="D5DEE8"/>
          </w:tcPr>
          <w:p>
            <w:pPr>
              <w:spacing w:after="0"/>
              <w:rPr>
                <w:sz w:val="15"/>
                <w:szCs w:val="15"/>
                <w:color w:val="auto"/>
              </w:rPr>
            </w:pPr>
          </w:p>
        </w:tc>
        <w:tc>
          <w:tcPr>
            <w:tcW w:w="960" w:type="dxa"/>
            <w:vAlign w:val="bottom"/>
            <w:shd w:val="clear" w:color="auto" w:fill="D5DEE8"/>
          </w:tcPr>
          <w:p>
            <w:pPr>
              <w:spacing w:after="0"/>
              <w:rPr>
                <w:sz w:val="15"/>
                <w:szCs w:val="15"/>
                <w:color w:val="auto"/>
              </w:rPr>
            </w:pPr>
          </w:p>
        </w:tc>
        <w:tc>
          <w:tcPr>
            <w:tcW w:w="20" w:type="dxa"/>
            <w:vAlign w:val="bottom"/>
            <w:shd w:val="clear" w:color="auto" w:fill="D5DEE8"/>
          </w:tcPr>
          <w:p>
            <w:pPr>
              <w:spacing w:after="0"/>
              <w:rPr>
                <w:sz w:val="15"/>
                <w:szCs w:val="15"/>
                <w:color w:val="auto"/>
              </w:rPr>
            </w:pPr>
          </w:p>
        </w:tc>
        <w:tc>
          <w:tcPr>
            <w:tcW w:w="1480" w:type="dxa"/>
            <w:vAlign w:val="bottom"/>
            <w:shd w:val="clear" w:color="auto" w:fill="D5DEE8"/>
          </w:tcPr>
          <w:p>
            <w:pPr>
              <w:ind w:left="60"/>
              <w:spacing w:after="0"/>
              <w:rPr>
                <w:sz w:val="20"/>
                <w:szCs w:val="20"/>
                <w:color w:val="auto"/>
              </w:rPr>
            </w:pPr>
            <w:r>
              <w:rPr>
                <w:rFonts w:ascii="Arial" w:cs="Arial" w:eastAsia="Arial" w:hAnsi="Arial"/>
                <w:sz w:val="13"/>
                <w:szCs w:val="13"/>
                <w:color w:val="auto"/>
              </w:rPr>
              <w:t>VeriSign, Inc.</w:t>
            </w:r>
          </w:p>
        </w:tc>
        <w:tc>
          <w:tcPr>
            <w:tcW w:w="0" w:type="dxa"/>
            <w:vAlign w:val="bottom"/>
          </w:tcPr>
          <w:p>
            <w:pPr>
              <w:spacing w:after="0"/>
              <w:rPr>
                <w:sz w:val="1"/>
                <w:szCs w:val="1"/>
                <w:color w:val="auto"/>
              </w:rPr>
            </w:pPr>
          </w:p>
        </w:tc>
      </w:tr>
      <w:tr>
        <w:trPr>
          <w:trHeight w:val="364"/>
        </w:trPr>
        <w:tc>
          <w:tcPr>
            <w:tcW w:w="640" w:type="dxa"/>
            <w:vAlign w:val="bottom"/>
            <w:shd w:val="clear" w:color="auto" w:fill="D5DEE8"/>
          </w:tcPr>
          <w:p>
            <w:pPr>
              <w:spacing w:after="0"/>
              <w:rPr>
                <w:sz w:val="24"/>
                <w:szCs w:val="24"/>
                <w:color w:val="auto"/>
              </w:rPr>
            </w:pPr>
          </w:p>
        </w:tc>
        <w:tc>
          <w:tcPr>
            <w:tcW w:w="80" w:type="dxa"/>
            <w:vAlign w:val="bottom"/>
            <w:shd w:val="clear" w:color="auto" w:fill="D5DEE8"/>
          </w:tcPr>
          <w:p>
            <w:pPr>
              <w:spacing w:after="0"/>
              <w:rPr>
                <w:sz w:val="24"/>
                <w:szCs w:val="24"/>
                <w:color w:val="auto"/>
              </w:rPr>
            </w:pPr>
          </w:p>
        </w:tc>
        <w:tc>
          <w:tcPr>
            <w:tcW w:w="4080" w:type="dxa"/>
            <w:vAlign w:val="bottom"/>
            <w:shd w:val="clear" w:color="auto" w:fill="D5DEE8"/>
          </w:tcPr>
          <w:p>
            <w:pPr>
              <w:spacing w:after="0"/>
              <w:rPr>
                <w:sz w:val="20"/>
                <w:szCs w:val="20"/>
                <w:color w:val="auto"/>
              </w:rPr>
            </w:pPr>
            <w:r>
              <w:rPr>
                <w:rFonts w:ascii="Arial" w:cs="Arial" w:eastAsia="Arial" w:hAnsi="Arial"/>
                <w:sz w:val="13"/>
                <w:szCs w:val="13"/>
                <w:color w:val="auto"/>
              </w:rPr>
              <w:t>Former Chief Executive Officer of Worldport Communications, Inc.</w:t>
            </w:r>
          </w:p>
        </w:tc>
        <w:tc>
          <w:tcPr>
            <w:tcW w:w="1520" w:type="dxa"/>
            <w:vAlign w:val="bottom"/>
            <w:shd w:val="clear" w:color="auto" w:fill="D5DEE8"/>
          </w:tcPr>
          <w:p>
            <w:pPr>
              <w:spacing w:after="0"/>
              <w:rPr>
                <w:sz w:val="24"/>
                <w:szCs w:val="24"/>
                <w:color w:val="auto"/>
              </w:rPr>
            </w:pPr>
          </w:p>
        </w:tc>
        <w:tc>
          <w:tcPr>
            <w:tcW w:w="1360" w:type="dxa"/>
            <w:vAlign w:val="bottom"/>
            <w:tcBorders>
              <w:right w:val="single" w:sz="8" w:color="D5DEE8"/>
            </w:tcBorders>
            <w:shd w:val="clear" w:color="auto" w:fill="D5DEE8"/>
          </w:tcPr>
          <w:p>
            <w:pPr>
              <w:spacing w:after="0"/>
              <w:rPr>
                <w:sz w:val="24"/>
                <w:szCs w:val="24"/>
                <w:color w:val="auto"/>
              </w:rPr>
            </w:pPr>
          </w:p>
        </w:tc>
        <w:tc>
          <w:tcPr>
            <w:tcW w:w="420" w:type="dxa"/>
            <w:vAlign w:val="bottom"/>
            <w:tcBorders>
              <w:right w:val="single" w:sz="8" w:color="D5DEE8"/>
            </w:tcBorders>
            <w:shd w:val="clear" w:color="auto" w:fill="D5DEE8"/>
          </w:tcPr>
          <w:p>
            <w:pPr>
              <w:spacing w:after="0"/>
              <w:rPr>
                <w:sz w:val="24"/>
                <w:szCs w:val="24"/>
                <w:color w:val="auto"/>
              </w:rPr>
            </w:pPr>
          </w:p>
        </w:tc>
        <w:tc>
          <w:tcPr>
            <w:tcW w:w="660" w:type="dxa"/>
            <w:vAlign w:val="bottom"/>
            <w:shd w:val="clear" w:color="auto" w:fill="D5DEE8"/>
          </w:tcPr>
          <w:p>
            <w:pPr>
              <w:spacing w:after="0"/>
              <w:rPr>
                <w:sz w:val="24"/>
                <w:szCs w:val="24"/>
                <w:color w:val="auto"/>
              </w:rPr>
            </w:pPr>
          </w:p>
        </w:tc>
        <w:tc>
          <w:tcPr>
            <w:tcW w:w="20" w:type="dxa"/>
            <w:vAlign w:val="bottom"/>
            <w:shd w:val="clear" w:color="auto" w:fill="D5DEE8"/>
          </w:tcPr>
          <w:p>
            <w:pPr>
              <w:spacing w:after="0"/>
              <w:rPr>
                <w:sz w:val="24"/>
                <w:szCs w:val="24"/>
                <w:color w:val="auto"/>
              </w:rPr>
            </w:pPr>
          </w:p>
        </w:tc>
        <w:tc>
          <w:tcPr>
            <w:tcW w:w="960" w:type="dxa"/>
            <w:vAlign w:val="bottom"/>
            <w:shd w:val="clear" w:color="auto" w:fill="D5DEE8"/>
          </w:tcPr>
          <w:p>
            <w:pPr>
              <w:spacing w:after="0"/>
              <w:rPr>
                <w:sz w:val="24"/>
                <w:szCs w:val="24"/>
                <w:color w:val="auto"/>
              </w:rPr>
            </w:pPr>
          </w:p>
        </w:tc>
        <w:tc>
          <w:tcPr>
            <w:tcW w:w="20" w:type="dxa"/>
            <w:vAlign w:val="bottom"/>
            <w:shd w:val="clear" w:color="auto" w:fill="D5DEE8"/>
          </w:tcPr>
          <w:p>
            <w:pPr>
              <w:spacing w:after="0"/>
              <w:rPr>
                <w:sz w:val="24"/>
                <w:szCs w:val="24"/>
                <w:color w:val="auto"/>
              </w:rPr>
            </w:pPr>
          </w:p>
        </w:tc>
        <w:tc>
          <w:tcPr>
            <w:tcW w:w="1480" w:type="dxa"/>
            <w:vAlign w:val="bottom"/>
            <w:shd w:val="clear" w:color="auto" w:fill="D5DEE8"/>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40" w:type="dxa"/>
            <w:vAlign w:val="bottom"/>
            <w:shd w:val="clear" w:color="auto" w:fill="D5DEE8"/>
          </w:tcPr>
          <w:p>
            <w:pPr>
              <w:spacing w:after="0"/>
              <w:rPr>
                <w:sz w:val="12"/>
                <w:szCs w:val="12"/>
                <w:color w:val="auto"/>
              </w:rPr>
            </w:pPr>
          </w:p>
        </w:tc>
        <w:tc>
          <w:tcPr>
            <w:tcW w:w="80" w:type="dxa"/>
            <w:vAlign w:val="bottom"/>
            <w:tcBorders>
              <w:bottom w:val="single" w:sz="8" w:color="959595"/>
            </w:tcBorders>
            <w:shd w:val="clear" w:color="auto" w:fill="D5DEE8"/>
          </w:tcPr>
          <w:p>
            <w:pPr>
              <w:spacing w:after="0"/>
              <w:rPr>
                <w:sz w:val="12"/>
                <w:szCs w:val="12"/>
                <w:color w:val="auto"/>
              </w:rPr>
            </w:pPr>
          </w:p>
        </w:tc>
        <w:tc>
          <w:tcPr>
            <w:tcW w:w="4080" w:type="dxa"/>
            <w:vAlign w:val="bottom"/>
            <w:tcBorders>
              <w:bottom w:val="single" w:sz="8" w:color="959595"/>
            </w:tcBorders>
            <w:shd w:val="clear" w:color="auto" w:fill="D5DEE8"/>
          </w:tcPr>
          <w:p>
            <w:pPr>
              <w:spacing w:after="0"/>
              <w:rPr>
                <w:sz w:val="12"/>
                <w:szCs w:val="12"/>
                <w:color w:val="auto"/>
              </w:rPr>
            </w:pPr>
          </w:p>
        </w:tc>
        <w:tc>
          <w:tcPr>
            <w:tcW w:w="1520" w:type="dxa"/>
            <w:vAlign w:val="bottom"/>
            <w:tcBorders>
              <w:bottom w:val="single" w:sz="8" w:color="959595"/>
            </w:tcBorders>
            <w:shd w:val="clear" w:color="auto" w:fill="D5DEE8"/>
          </w:tcPr>
          <w:p>
            <w:pPr>
              <w:spacing w:after="0"/>
              <w:rPr>
                <w:sz w:val="12"/>
                <w:szCs w:val="12"/>
                <w:color w:val="auto"/>
              </w:rPr>
            </w:pPr>
          </w:p>
        </w:tc>
        <w:tc>
          <w:tcPr>
            <w:tcW w:w="1360" w:type="dxa"/>
            <w:vAlign w:val="bottom"/>
            <w:tcBorders>
              <w:bottom w:val="single" w:sz="8" w:color="959595"/>
              <w:right w:val="single" w:sz="8" w:color="D5DEE8"/>
            </w:tcBorders>
            <w:shd w:val="clear" w:color="auto" w:fill="D5DEE8"/>
          </w:tcPr>
          <w:p>
            <w:pPr>
              <w:spacing w:after="0"/>
              <w:rPr>
                <w:sz w:val="12"/>
                <w:szCs w:val="12"/>
                <w:color w:val="auto"/>
              </w:rPr>
            </w:pPr>
          </w:p>
        </w:tc>
        <w:tc>
          <w:tcPr>
            <w:tcW w:w="420" w:type="dxa"/>
            <w:vAlign w:val="bottom"/>
            <w:tcBorders>
              <w:bottom w:val="single" w:sz="8" w:color="959595"/>
              <w:right w:val="single" w:sz="8" w:color="D5DEE8"/>
            </w:tcBorders>
            <w:shd w:val="clear" w:color="auto" w:fill="D5DEE8"/>
          </w:tcPr>
          <w:p>
            <w:pPr>
              <w:spacing w:after="0"/>
              <w:rPr>
                <w:sz w:val="12"/>
                <w:szCs w:val="12"/>
                <w:color w:val="auto"/>
              </w:rPr>
            </w:pPr>
          </w:p>
        </w:tc>
        <w:tc>
          <w:tcPr>
            <w:tcW w:w="660" w:type="dxa"/>
            <w:vAlign w:val="bottom"/>
            <w:tcBorders>
              <w:bottom w:val="single" w:sz="8" w:color="959595"/>
            </w:tcBorders>
            <w:shd w:val="clear" w:color="auto" w:fill="D5DEE8"/>
          </w:tcPr>
          <w:p>
            <w:pPr>
              <w:spacing w:after="0"/>
              <w:rPr>
                <w:sz w:val="12"/>
                <w:szCs w:val="12"/>
                <w:color w:val="auto"/>
              </w:rPr>
            </w:pPr>
          </w:p>
        </w:tc>
        <w:tc>
          <w:tcPr>
            <w:tcW w:w="20" w:type="dxa"/>
            <w:vAlign w:val="bottom"/>
            <w:tcBorders>
              <w:bottom w:val="single" w:sz="8" w:color="959595"/>
            </w:tcBorders>
            <w:shd w:val="clear" w:color="auto" w:fill="D5DEE8"/>
          </w:tcPr>
          <w:p>
            <w:pPr>
              <w:spacing w:after="0"/>
              <w:rPr>
                <w:sz w:val="12"/>
                <w:szCs w:val="12"/>
                <w:color w:val="auto"/>
              </w:rPr>
            </w:pPr>
          </w:p>
        </w:tc>
        <w:tc>
          <w:tcPr>
            <w:tcW w:w="960" w:type="dxa"/>
            <w:vAlign w:val="bottom"/>
            <w:tcBorders>
              <w:bottom w:val="single" w:sz="8" w:color="959595"/>
            </w:tcBorders>
            <w:shd w:val="clear" w:color="auto" w:fill="D5DEE8"/>
          </w:tcPr>
          <w:p>
            <w:pPr>
              <w:spacing w:after="0"/>
              <w:rPr>
                <w:sz w:val="12"/>
                <w:szCs w:val="12"/>
                <w:color w:val="auto"/>
              </w:rPr>
            </w:pPr>
          </w:p>
        </w:tc>
        <w:tc>
          <w:tcPr>
            <w:tcW w:w="20" w:type="dxa"/>
            <w:vAlign w:val="bottom"/>
            <w:tcBorders>
              <w:bottom w:val="single" w:sz="8" w:color="959595"/>
            </w:tcBorders>
            <w:shd w:val="clear" w:color="auto" w:fill="D5DEE8"/>
          </w:tcPr>
          <w:p>
            <w:pPr>
              <w:spacing w:after="0"/>
              <w:rPr>
                <w:sz w:val="12"/>
                <w:szCs w:val="12"/>
                <w:color w:val="auto"/>
              </w:rPr>
            </w:pPr>
          </w:p>
        </w:tc>
        <w:tc>
          <w:tcPr>
            <w:tcW w:w="1480" w:type="dxa"/>
            <w:vAlign w:val="bottom"/>
            <w:tcBorders>
              <w:bottom w:val="single" w:sz="8" w:color="959595"/>
            </w:tcBorders>
            <w:shd w:val="clear" w:color="auto" w:fill="D5DEE8"/>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80" w:type="dxa"/>
            <w:vAlign w:val="bottom"/>
          </w:tcPr>
          <w:p>
            <w:pPr>
              <w:spacing w:after="0"/>
              <w:rPr>
                <w:sz w:val="20"/>
                <w:szCs w:val="20"/>
                <w:color w:val="auto"/>
              </w:rPr>
            </w:pPr>
            <w:r>
              <w:rPr>
                <w:rFonts w:ascii="Arial" w:cs="Arial" w:eastAsia="Arial" w:hAnsi="Arial"/>
                <w:sz w:val="13"/>
                <w:szCs w:val="13"/>
                <w:b w:val="1"/>
                <w:bCs w:val="1"/>
                <w:color w:val="23628F"/>
              </w:rPr>
              <w:t xml:space="preserve">TUNÇ DOLUCA </w:t>
            </w:r>
            <w:r>
              <w:rPr>
                <w:rFonts w:ascii="Arial" w:cs="Arial" w:eastAsia="Arial" w:hAnsi="Arial"/>
                <w:sz w:val="13"/>
                <w:szCs w:val="13"/>
                <w:b w:val="1"/>
                <w:bCs w:val="1"/>
                <w:color w:val="61C4AF"/>
              </w:rPr>
              <w:t>INDEPENDENT</w:t>
            </w:r>
          </w:p>
        </w:tc>
        <w:tc>
          <w:tcPr>
            <w:tcW w:w="1520" w:type="dxa"/>
            <w:vAlign w:val="bottom"/>
          </w:tcPr>
          <w:p>
            <w:pPr>
              <w:spacing w:after="0"/>
              <w:rPr>
                <w:sz w:val="15"/>
                <w:szCs w:val="15"/>
                <w:color w:val="auto"/>
              </w:rPr>
            </w:pPr>
          </w:p>
        </w:tc>
        <w:tc>
          <w:tcPr>
            <w:tcW w:w="1780" w:type="dxa"/>
            <w:vAlign w:val="bottom"/>
            <w:gridSpan w:val="2"/>
          </w:tcPr>
          <w:p>
            <w:pPr>
              <w:ind w:left="1420"/>
              <w:spacing w:after="0"/>
              <w:rPr>
                <w:sz w:val="20"/>
                <w:szCs w:val="20"/>
                <w:color w:val="auto"/>
              </w:rPr>
            </w:pPr>
            <w:r>
              <w:rPr>
                <w:rFonts w:ascii="Arial" w:cs="Arial" w:eastAsia="Arial" w:hAnsi="Arial"/>
                <w:sz w:val="13"/>
                <w:szCs w:val="13"/>
                <w:color w:val="auto"/>
              </w:rPr>
              <w:t>62</w:t>
            </w:r>
          </w:p>
        </w:tc>
        <w:tc>
          <w:tcPr>
            <w:tcW w:w="660" w:type="dxa"/>
            <w:vAlign w:val="bottom"/>
          </w:tcPr>
          <w:p>
            <w:pPr>
              <w:ind w:left="60"/>
              <w:spacing w:after="0"/>
              <w:rPr>
                <w:sz w:val="20"/>
                <w:szCs w:val="20"/>
                <w:color w:val="auto"/>
              </w:rPr>
            </w:pPr>
            <w:r>
              <w:rPr>
                <w:rFonts w:ascii="Arial" w:cs="Arial" w:eastAsia="Arial" w:hAnsi="Arial"/>
                <w:sz w:val="13"/>
                <w:szCs w:val="13"/>
                <w:color w:val="auto"/>
              </w:rPr>
              <w:t>2018</w:t>
            </w: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80" w:type="dxa"/>
            <w:vAlign w:val="bottom"/>
          </w:tcPr>
          <w:p>
            <w:pPr>
              <w:ind w:left="60"/>
              <w:spacing w:after="0"/>
              <w:rPr>
                <w:sz w:val="20"/>
                <w:szCs w:val="20"/>
                <w:color w:val="auto"/>
              </w:rPr>
            </w:pPr>
            <w:r>
              <w:rPr>
                <w:rFonts w:ascii="Arial" w:cs="Arial" w:eastAsia="Arial" w:hAnsi="Arial"/>
                <w:sz w:val="13"/>
                <w:szCs w:val="13"/>
                <w:color w:val="auto"/>
              </w:rPr>
              <w:t>Maxim Integrated</w:t>
            </w:r>
          </w:p>
        </w:tc>
        <w:tc>
          <w:tcPr>
            <w:tcW w:w="0" w:type="dxa"/>
            <w:vAlign w:val="bottom"/>
          </w:tcPr>
          <w:p>
            <w:pPr>
              <w:spacing w:after="0"/>
              <w:rPr>
                <w:sz w:val="1"/>
                <w:szCs w:val="1"/>
                <w:color w:val="auto"/>
              </w:rPr>
            </w:pPr>
          </w:p>
        </w:tc>
      </w:tr>
      <w:tr>
        <w:trPr>
          <w:trHeight w:val="365"/>
        </w:trPr>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80" w:type="dxa"/>
            <w:vAlign w:val="bottom"/>
          </w:tcPr>
          <w:p>
            <w:pPr>
              <w:spacing w:after="0"/>
              <w:rPr>
                <w:sz w:val="20"/>
                <w:szCs w:val="20"/>
                <w:color w:val="auto"/>
              </w:rPr>
            </w:pPr>
            <w:r>
              <w:rPr>
                <w:rFonts w:ascii="Arial" w:cs="Arial" w:eastAsia="Arial" w:hAnsi="Arial"/>
                <w:sz w:val="13"/>
                <w:szCs w:val="13"/>
                <w:color w:val="auto"/>
              </w:rPr>
              <w:t>President and Chief Executive Officer of Maxim Integrated</w:t>
            </w:r>
          </w:p>
        </w:tc>
        <w:tc>
          <w:tcPr>
            <w:tcW w:w="1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40" w:type="dxa"/>
            <w:vAlign w:val="bottom"/>
          </w:tcPr>
          <w:p>
            <w:pPr>
              <w:spacing w:after="0"/>
              <w:rPr>
                <w:sz w:val="15"/>
                <w:szCs w:val="15"/>
                <w:color w:val="auto"/>
              </w:rPr>
            </w:pPr>
          </w:p>
        </w:tc>
        <w:tc>
          <w:tcPr>
            <w:tcW w:w="80" w:type="dxa"/>
            <w:vAlign w:val="bottom"/>
            <w:tcBorders>
              <w:bottom w:val="single" w:sz="8" w:color="959595"/>
            </w:tcBorders>
          </w:tcPr>
          <w:p>
            <w:pPr>
              <w:spacing w:after="0"/>
              <w:rPr>
                <w:sz w:val="15"/>
                <w:szCs w:val="15"/>
                <w:color w:val="auto"/>
              </w:rPr>
            </w:pPr>
          </w:p>
        </w:tc>
        <w:tc>
          <w:tcPr>
            <w:tcW w:w="4080" w:type="dxa"/>
            <w:vAlign w:val="bottom"/>
            <w:tcBorders>
              <w:bottom w:val="single" w:sz="8" w:color="959595"/>
            </w:tcBorders>
          </w:tcPr>
          <w:p>
            <w:pPr>
              <w:spacing w:after="0"/>
              <w:rPr>
                <w:sz w:val="15"/>
                <w:szCs w:val="15"/>
                <w:color w:val="auto"/>
              </w:rPr>
            </w:pPr>
          </w:p>
        </w:tc>
        <w:tc>
          <w:tcPr>
            <w:tcW w:w="1520" w:type="dxa"/>
            <w:vAlign w:val="bottom"/>
            <w:tcBorders>
              <w:bottom w:val="single" w:sz="8" w:color="959595"/>
            </w:tcBorders>
          </w:tcPr>
          <w:p>
            <w:pPr>
              <w:spacing w:after="0"/>
              <w:rPr>
                <w:sz w:val="15"/>
                <w:szCs w:val="15"/>
                <w:color w:val="auto"/>
              </w:rPr>
            </w:pPr>
          </w:p>
        </w:tc>
        <w:tc>
          <w:tcPr>
            <w:tcW w:w="1360" w:type="dxa"/>
            <w:vAlign w:val="bottom"/>
            <w:tcBorders>
              <w:bottom w:val="single" w:sz="8" w:color="959595"/>
            </w:tcBorders>
          </w:tcPr>
          <w:p>
            <w:pPr>
              <w:spacing w:after="0"/>
              <w:rPr>
                <w:sz w:val="15"/>
                <w:szCs w:val="15"/>
                <w:color w:val="auto"/>
              </w:rPr>
            </w:pPr>
          </w:p>
        </w:tc>
        <w:tc>
          <w:tcPr>
            <w:tcW w:w="420" w:type="dxa"/>
            <w:vAlign w:val="bottom"/>
            <w:tcBorders>
              <w:bottom w:val="single" w:sz="8" w:color="959595"/>
            </w:tcBorders>
          </w:tcPr>
          <w:p>
            <w:pPr>
              <w:spacing w:after="0"/>
              <w:rPr>
                <w:sz w:val="15"/>
                <w:szCs w:val="15"/>
                <w:color w:val="auto"/>
              </w:rPr>
            </w:pPr>
          </w:p>
        </w:tc>
        <w:tc>
          <w:tcPr>
            <w:tcW w:w="660" w:type="dxa"/>
            <w:vAlign w:val="bottom"/>
            <w:tcBorders>
              <w:bottom w:val="single" w:sz="8" w:color="959595"/>
            </w:tcBorders>
          </w:tcPr>
          <w:p>
            <w:pPr>
              <w:spacing w:after="0"/>
              <w:rPr>
                <w:sz w:val="15"/>
                <w:szCs w:val="15"/>
                <w:color w:val="auto"/>
              </w:rPr>
            </w:pPr>
          </w:p>
        </w:tc>
        <w:tc>
          <w:tcPr>
            <w:tcW w:w="20" w:type="dxa"/>
            <w:vAlign w:val="bottom"/>
            <w:tcBorders>
              <w:bottom w:val="single" w:sz="8" w:color="959595"/>
            </w:tcBorders>
          </w:tcPr>
          <w:p>
            <w:pPr>
              <w:spacing w:after="0"/>
              <w:rPr>
                <w:sz w:val="15"/>
                <w:szCs w:val="15"/>
                <w:color w:val="auto"/>
              </w:rPr>
            </w:pPr>
          </w:p>
        </w:tc>
        <w:tc>
          <w:tcPr>
            <w:tcW w:w="960" w:type="dxa"/>
            <w:vAlign w:val="bottom"/>
            <w:tcBorders>
              <w:bottom w:val="single" w:sz="8" w:color="959595"/>
            </w:tcBorders>
          </w:tcPr>
          <w:p>
            <w:pPr>
              <w:spacing w:after="0"/>
              <w:rPr>
                <w:sz w:val="15"/>
                <w:szCs w:val="15"/>
                <w:color w:val="auto"/>
              </w:rPr>
            </w:pPr>
          </w:p>
        </w:tc>
        <w:tc>
          <w:tcPr>
            <w:tcW w:w="20" w:type="dxa"/>
            <w:vAlign w:val="bottom"/>
            <w:tcBorders>
              <w:bottom w:val="single" w:sz="8" w:color="959595"/>
            </w:tcBorders>
          </w:tcPr>
          <w:p>
            <w:pPr>
              <w:spacing w:after="0"/>
              <w:rPr>
                <w:sz w:val="15"/>
                <w:szCs w:val="15"/>
                <w:color w:val="auto"/>
              </w:rPr>
            </w:pPr>
          </w:p>
        </w:tc>
        <w:tc>
          <w:tcPr>
            <w:tcW w:w="1480" w:type="dxa"/>
            <w:vAlign w:val="bottom"/>
            <w:tcBorders>
              <w:bottom w:val="single" w:sz="8" w:color="959595"/>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80" w:type="dxa"/>
            <w:vAlign w:val="bottom"/>
          </w:tcPr>
          <w:p>
            <w:pPr>
              <w:spacing w:after="0"/>
              <w:rPr>
                <w:sz w:val="20"/>
                <w:szCs w:val="20"/>
                <w:color w:val="auto"/>
              </w:rPr>
            </w:pPr>
            <w:r>
              <w:rPr>
                <w:rFonts w:ascii="Arial" w:cs="Arial" w:eastAsia="Arial" w:hAnsi="Arial"/>
                <w:sz w:val="13"/>
                <w:szCs w:val="13"/>
                <w:b w:val="1"/>
                <w:bCs w:val="1"/>
                <w:color w:val="23628F"/>
              </w:rPr>
              <w:t>DAVID V. GOECKELER</w:t>
            </w:r>
          </w:p>
        </w:tc>
        <w:tc>
          <w:tcPr>
            <w:tcW w:w="1520" w:type="dxa"/>
            <w:vAlign w:val="bottom"/>
          </w:tcPr>
          <w:p>
            <w:pPr>
              <w:spacing w:after="0"/>
              <w:rPr>
                <w:sz w:val="15"/>
                <w:szCs w:val="15"/>
                <w:color w:val="auto"/>
              </w:rPr>
            </w:pPr>
          </w:p>
        </w:tc>
        <w:tc>
          <w:tcPr>
            <w:tcW w:w="1780" w:type="dxa"/>
            <w:vAlign w:val="bottom"/>
            <w:gridSpan w:val="2"/>
          </w:tcPr>
          <w:p>
            <w:pPr>
              <w:ind w:left="1420"/>
              <w:spacing w:after="0"/>
              <w:rPr>
                <w:sz w:val="20"/>
                <w:szCs w:val="20"/>
                <w:color w:val="auto"/>
              </w:rPr>
            </w:pPr>
            <w:r>
              <w:rPr>
                <w:rFonts w:ascii="Arial" w:cs="Arial" w:eastAsia="Arial" w:hAnsi="Arial"/>
                <w:sz w:val="13"/>
                <w:szCs w:val="13"/>
                <w:color w:val="auto"/>
              </w:rPr>
              <w:t>58</w:t>
            </w:r>
          </w:p>
        </w:tc>
        <w:tc>
          <w:tcPr>
            <w:tcW w:w="660" w:type="dxa"/>
            <w:vAlign w:val="bottom"/>
          </w:tcPr>
          <w:p>
            <w:pPr>
              <w:ind w:left="60"/>
              <w:spacing w:after="0"/>
              <w:rPr>
                <w:sz w:val="20"/>
                <w:szCs w:val="20"/>
                <w:color w:val="auto"/>
              </w:rPr>
            </w:pPr>
            <w:r>
              <w:rPr>
                <w:rFonts w:ascii="Arial" w:cs="Arial" w:eastAsia="Arial" w:hAnsi="Arial"/>
                <w:sz w:val="13"/>
                <w:szCs w:val="13"/>
                <w:color w:val="auto"/>
              </w:rPr>
              <w:t>2020</w:t>
            </w: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80" w:type="dxa"/>
            <w:vAlign w:val="bottom"/>
          </w:tcPr>
          <w:p>
            <w:pPr>
              <w:ind w:left="60"/>
              <w:spacing w:after="0"/>
              <w:rPr>
                <w:sz w:val="20"/>
                <w:szCs w:val="20"/>
                <w:color w:val="auto"/>
              </w:rPr>
            </w:pPr>
            <w:r>
              <w:rPr>
                <w:rFonts w:ascii="Arial" w:cs="Arial" w:eastAsia="Arial" w:hAnsi="Arial"/>
                <w:sz w:val="13"/>
                <w:szCs w:val="13"/>
                <w:color w:val="auto"/>
              </w:rPr>
              <w:t>None</w:t>
            </w:r>
          </w:p>
        </w:tc>
        <w:tc>
          <w:tcPr>
            <w:tcW w:w="0" w:type="dxa"/>
            <w:vAlign w:val="bottom"/>
          </w:tcPr>
          <w:p>
            <w:pPr>
              <w:spacing w:after="0"/>
              <w:rPr>
                <w:sz w:val="1"/>
                <w:szCs w:val="1"/>
                <w:color w:val="auto"/>
              </w:rPr>
            </w:pPr>
          </w:p>
        </w:tc>
      </w:tr>
      <w:tr>
        <w:trPr>
          <w:trHeight w:val="365"/>
        </w:trPr>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80" w:type="dxa"/>
            <w:vAlign w:val="bottom"/>
          </w:tcPr>
          <w:p>
            <w:pPr>
              <w:spacing w:after="0"/>
              <w:rPr>
                <w:sz w:val="20"/>
                <w:szCs w:val="20"/>
                <w:color w:val="auto"/>
              </w:rPr>
            </w:pPr>
            <w:r>
              <w:rPr>
                <w:rFonts w:ascii="Arial" w:cs="Arial" w:eastAsia="Arial" w:hAnsi="Arial"/>
                <w:sz w:val="13"/>
                <w:szCs w:val="13"/>
                <w:color w:val="auto"/>
              </w:rPr>
              <w:t>Chief Executive Officer of Western Digital Corporation</w:t>
            </w:r>
          </w:p>
        </w:tc>
        <w:tc>
          <w:tcPr>
            <w:tcW w:w="1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40" w:type="dxa"/>
            <w:vAlign w:val="bottom"/>
            <w:tcBorders>
              <w:bottom w:val="single" w:sz="8" w:color="D5DEE8"/>
            </w:tcBorders>
          </w:tcPr>
          <w:p>
            <w:pPr>
              <w:spacing w:after="0"/>
              <w:rPr>
                <w:sz w:val="14"/>
                <w:szCs w:val="14"/>
                <w:color w:val="auto"/>
              </w:rPr>
            </w:pPr>
          </w:p>
        </w:tc>
        <w:tc>
          <w:tcPr>
            <w:tcW w:w="80" w:type="dxa"/>
            <w:vAlign w:val="bottom"/>
            <w:tcBorders>
              <w:bottom w:val="single" w:sz="8" w:color="959595"/>
            </w:tcBorders>
          </w:tcPr>
          <w:p>
            <w:pPr>
              <w:spacing w:after="0"/>
              <w:rPr>
                <w:sz w:val="14"/>
                <w:szCs w:val="14"/>
                <w:color w:val="auto"/>
              </w:rPr>
            </w:pPr>
          </w:p>
        </w:tc>
        <w:tc>
          <w:tcPr>
            <w:tcW w:w="5600" w:type="dxa"/>
            <w:vAlign w:val="bottom"/>
            <w:tcBorders>
              <w:bottom w:val="single" w:sz="8" w:color="959595"/>
            </w:tcBorders>
            <w:gridSpan w:val="2"/>
          </w:tcPr>
          <w:p>
            <w:pPr>
              <w:spacing w:after="0"/>
              <w:rPr>
                <w:sz w:val="14"/>
                <w:szCs w:val="14"/>
                <w:color w:val="auto"/>
              </w:rPr>
            </w:pPr>
          </w:p>
        </w:tc>
        <w:tc>
          <w:tcPr>
            <w:tcW w:w="1360" w:type="dxa"/>
            <w:vAlign w:val="bottom"/>
            <w:tcBorders>
              <w:bottom w:val="single" w:sz="8" w:color="959595"/>
            </w:tcBorders>
          </w:tcPr>
          <w:p>
            <w:pPr>
              <w:spacing w:after="0"/>
              <w:rPr>
                <w:sz w:val="14"/>
                <w:szCs w:val="14"/>
                <w:color w:val="auto"/>
              </w:rPr>
            </w:pPr>
          </w:p>
        </w:tc>
        <w:tc>
          <w:tcPr>
            <w:tcW w:w="420" w:type="dxa"/>
            <w:vAlign w:val="bottom"/>
            <w:tcBorders>
              <w:bottom w:val="single" w:sz="8" w:color="959595"/>
            </w:tcBorders>
          </w:tcPr>
          <w:p>
            <w:pPr>
              <w:spacing w:after="0"/>
              <w:rPr>
                <w:sz w:val="14"/>
                <w:szCs w:val="14"/>
                <w:color w:val="auto"/>
              </w:rPr>
            </w:pPr>
          </w:p>
        </w:tc>
        <w:tc>
          <w:tcPr>
            <w:tcW w:w="660" w:type="dxa"/>
            <w:vAlign w:val="bottom"/>
            <w:tcBorders>
              <w:bottom w:val="single" w:sz="8" w:color="959595"/>
            </w:tcBorders>
          </w:tcPr>
          <w:p>
            <w:pPr>
              <w:spacing w:after="0"/>
              <w:rPr>
                <w:sz w:val="14"/>
                <w:szCs w:val="14"/>
                <w:color w:val="auto"/>
              </w:rPr>
            </w:pPr>
          </w:p>
        </w:tc>
        <w:tc>
          <w:tcPr>
            <w:tcW w:w="20" w:type="dxa"/>
            <w:vAlign w:val="bottom"/>
            <w:tcBorders>
              <w:bottom w:val="single" w:sz="8" w:color="959595"/>
            </w:tcBorders>
          </w:tcPr>
          <w:p>
            <w:pPr>
              <w:spacing w:after="0"/>
              <w:rPr>
                <w:sz w:val="14"/>
                <w:szCs w:val="14"/>
                <w:color w:val="auto"/>
              </w:rPr>
            </w:pPr>
          </w:p>
        </w:tc>
        <w:tc>
          <w:tcPr>
            <w:tcW w:w="960" w:type="dxa"/>
            <w:vAlign w:val="bottom"/>
            <w:tcBorders>
              <w:bottom w:val="single" w:sz="8" w:color="959595"/>
            </w:tcBorders>
          </w:tcPr>
          <w:p>
            <w:pPr>
              <w:spacing w:after="0"/>
              <w:rPr>
                <w:sz w:val="14"/>
                <w:szCs w:val="14"/>
                <w:color w:val="auto"/>
              </w:rPr>
            </w:pPr>
          </w:p>
        </w:tc>
        <w:tc>
          <w:tcPr>
            <w:tcW w:w="20" w:type="dxa"/>
            <w:vAlign w:val="bottom"/>
            <w:tcBorders>
              <w:bottom w:val="single" w:sz="8" w:color="959595"/>
            </w:tcBorders>
          </w:tcPr>
          <w:p>
            <w:pPr>
              <w:spacing w:after="0"/>
              <w:rPr>
                <w:sz w:val="14"/>
                <w:szCs w:val="14"/>
                <w:color w:val="auto"/>
              </w:rPr>
            </w:pPr>
          </w:p>
        </w:tc>
        <w:tc>
          <w:tcPr>
            <w:tcW w:w="1480" w:type="dxa"/>
            <w:vAlign w:val="bottom"/>
            <w:tcBorders>
              <w:bottom w:val="single" w:sz="8" w:color="959595"/>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40" w:type="dxa"/>
            <w:vAlign w:val="bottom"/>
            <w:shd w:val="clear" w:color="auto" w:fill="D5DEE8"/>
          </w:tcPr>
          <w:p>
            <w:pPr>
              <w:spacing w:after="0"/>
              <w:rPr>
                <w:sz w:val="15"/>
                <w:szCs w:val="15"/>
                <w:color w:val="auto"/>
              </w:rPr>
            </w:pPr>
          </w:p>
        </w:tc>
        <w:tc>
          <w:tcPr>
            <w:tcW w:w="80" w:type="dxa"/>
            <w:vAlign w:val="bottom"/>
            <w:shd w:val="clear" w:color="auto" w:fill="D5DEE8"/>
          </w:tcPr>
          <w:p>
            <w:pPr>
              <w:spacing w:after="0"/>
              <w:rPr>
                <w:sz w:val="15"/>
                <w:szCs w:val="15"/>
                <w:color w:val="auto"/>
              </w:rPr>
            </w:pPr>
          </w:p>
        </w:tc>
        <w:tc>
          <w:tcPr>
            <w:tcW w:w="5600" w:type="dxa"/>
            <w:vAlign w:val="bottom"/>
            <w:gridSpan w:val="2"/>
            <w:shd w:val="clear" w:color="auto" w:fill="D5DEE8"/>
          </w:tcPr>
          <w:p>
            <w:pPr>
              <w:spacing w:after="0"/>
              <w:rPr>
                <w:sz w:val="20"/>
                <w:szCs w:val="20"/>
                <w:color w:val="auto"/>
              </w:rPr>
            </w:pPr>
            <w:r>
              <w:rPr>
                <w:rFonts w:ascii="Arial" w:cs="Arial" w:eastAsia="Arial" w:hAnsi="Arial"/>
                <w:sz w:val="13"/>
                <w:szCs w:val="13"/>
                <w:b w:val="1"/>
                <w:bCs w:val="1"/>
                <w:color w:val="23628F"/>
              </w:rPr>
              <w:t xml:space="preserve">MATTHEW E. MASSENGILL </w:t>
            </w:r>
            <w:r>
              <w:rPr>
                <w:rFonts w:ascii="Arial" w:cs="Arial" w:eastAsia="Arial" w:hAnsi="Arial"/>
                <w:sz w:val="13"/>
                <w:szCs w:val="13"/>
                <w:b w:val="1"/>
                <w:bCs w:val="1"/>
                <w:color w:val="819DBB"/>
              </w:rPr>
              <w:t>INDEPENDENT CHAIRMAN OF THE BOARD</w:t>
            </w:r>
          </w:p>
        </w:tc>
        <w:tc>
          <w:tcPr>
            <w:tcW w:w="1780" w:type="dxa"/>
            <w:vAlign w:val="bottom"/>
            <w:tcBorders>
              <w:right w:val="single" w:sz="8" w:color="D5DEE8"/>
            </w:tcBorders>
            <w:gridSpan w:val="2"/>
            <w:shd w:val="clear" w:color="auto" w:fill="D5DEE8"/>
          </w:tcPr>
          <w:p>
            <w:pPr>
              <w:ind w:left="1420"/>
              <w:spacing w:after="0"/>
              <w:rPr>
                <w:sz w:val="20"/>
                <w:szCs w:val="20"/>
                <w:color w:val="auto"/>
              </w:rPr>
            </w:pPr>
            <w:r>
              <w:rPr>
                <w:rFonts w:ascii="Arial" w:cs="Arial" w:eastAsia="Arial" w:hAnsi="Arial"/>
                <w:sz w:val="13"/>
                <w:szCs w:val="13"/>
                <w:color w:val="auto"/>
              </w:rPr>
              <w:t>59</w:t>
            </w:r>
          </w:p>
        </w:tc>
        <w:tc>
          <w:tcPr>
            <w:tcW w:w="660" w:type="dxa"/>
            <w:vAlign w:val="bottom"/>
            <w:shd w:val="clear" w:color="auto" w:fill="D5DEE8"/>
          </w:tcPr>
          <w:p>
            <w:pPr>
              <w:ind w:left="60"/>
              <w:spacing w:after="0"/>
              <w:rPr>
                <w:sz w:val="20"/>
                <w:szCs w:val="20"/>
                <w:color w:val="auto"/>
              </w:rPr>
            </w:pPr>
            <w:r>
              <w:rPr>
                <w:rFonts w:ascii="Arial" w:cs="Arial" w:eastAsia="Arial" w:hAnsi="Arial"/>
                <w:sz w:val="13"/>
                <w:szCs w:val="13"/>
                <w:color w:val="auto"/>
              </w:rPr>
              <w:t>2000</w:t>
            </w:r>
          </w:p>
        </w:tc>
        <w:tc>
          <w:tcPr>
            <w:tcW w:w="20" w:type="dxa"/>
            <w:vAlign w:val="bottom"/>
            <w:shd w:val="clear" w:color="auto" w:fill="D5DEE8"/>
          </w:tcPr>
          <w:p>
            <w:pPr>
              <w:spacing w:after="0"/>
              <w:rPr>
                <w:sz w:val="15"/>
                <w:szCs w:val="15"/>
                <w:color w:val="auto"/>
              </w:rPr>
            </w:pPr>
          </w:p>
        </w:tc>
        <w:tc>
          <w:tcPr>
            <w:tcW w:w="960" w:type="dxa"/>
            <w:vAlign w:val="bottom"/>
            <w:shd w:val="clear" w:color="auto" w:fill="D5DEE8"/>
          </w:tcPr>
          <w:p>
            <w:pPr>
              <w:spacing w:after="0"/>
              <w:rPr>
                <w:sz w:val="15"/>
                <w:szCs w:val="15"/>
                <w:color w:val="auto"/>
              </w:rPr>
            </w:pPr>
          </w:p>
        </w:tc>
        <w:tc>
          <w:tcPr>
            <w:tcW w:w="20" w:type="dxa"/>
            <w:vAlign w:val="bottom"/>
            <w:shd w:val="clear" w:color="auto" w:fill="D5DEE8"/>
          </w:tcPr>
          <w:p>
            <w:pPr>
              <w:spacing w:after="0"/>
              <w:rPr>
                <w:sz w:val="15"/>
                <w:szCs w:val="15"/>
                <w:color w:val="auto"/>
              </w:rPr>
            </w:pPr>
          </w:p>
        </w:tc>
        <w:tc>
          <w:tcPr>
            <w:tcW w:w="1480" w:type="dxa"/>
            <w:vAlign w:val="bottom"/>
            <w:shd w:val="clear" w:color="auto" w:fill="D5DEE8"/>
          </w:tcPr>
          <w:p>
            <w:pPr>
              <w:ind w:left="60"/>
              <w:spacing w:after="0"/>
              <w:rPr>
                <w:sz w:val="20"/>
                <w:szCs w:val="20"/>
                <w:color w:val="auto"/>
              </w:rPr>
            </w:pPr>
            <w:r>
              <w:rPr>
                <w:rFonts w:ascii="Arial" w:cs="Arial" w:eastAsia="Arial" w:hAnsi="Arial"/>
                <w:sz w:val="13"/>
                <w:szCs w:val="13"/>
                <w:color w:val="auto"/>
              </w:rPr>
              <w:t>None</w:t>
            </w:r>
          </w:p>
        </w:tc>
        <w:tc>
          <w:tcPr>
            <w:tcW w:w="0" w:type="dxa"/>
            <w:vAlign w:val="bottom"/>
          </w:tcPr>
          <w:p>
            <w:pPr>
              <w:spacing w:after="0"/>
              <w:rPr>
                <w:sz w:val="1"/>
                <w:szCs w:val="1"/>
                <w:color w:val="auto"/>
              </w:rPr>
            </w:pPr>
          </w:p>
        </w:tc>
      </w:tr>
      <w:tr>
        <w:trPr>
          <w:trHeight w:val="364"/>
        </w:trPr>
        <w:tc>
          <w:tcPr>
            <w:tcW w:w="640" w:type="dxa"/>
            <w:vAlign w:val="bottom"/>
            <w:shd w:val="clear" w:color="auto" w:fill="D5DEE8"/>
          </w:tcPr>
          <w:p>
            <w:pPr>
              <w:spacing w:after="0"/>
              <w:rPr>
                <w:sz w:val="24"/>
                <w:szCs w:val="24"/>
                <w:color w:val="auto"/>
              </w:rPr>
            </w:pPr>
          </w:p>
        </w:tc>
        <w:tc>
          <w:tcPr>
            <w:tcW w:w="80" w:type="dxa"/>
            <w:vAlign w:val="bottom"/>
            <w:shd w:val="clear" w:color="auto" w:fill="D5DEE8"/>
          </w:tcPr>
          <w:p>
            <w:pPr>
              <w:spacing w:after="0"/>
              <w:rPr>
                <w:sz w:val="24"/>
                <w:szCs w:val="24"/>
                <w:color w:val="auto"/>
              </w:rPr>
            </w:pPr>
          </w:p>
        </w:tc>
        <w:tc>
          <w:tcPr>
            <w:tcW w:w="5600" w:type="dxa"/>
            <w:vAlign w:val="bottom"/>
            <w:gridSpan w:val="2"/>
            <w:shd w:val="clear" w:color="auto" w:fill="D5DEE8"/>
          </w:tcPr>
          <w:p>
            <w:pPr>
              <w:spacing w:after="0"/>
              <w:rPr>
                <w:sz w:val="20"/>
                <w:szCs w:val="20"/>
                <w:color w:val="auto"/>
              </w:rPr>
            </w:pPr>
            <w:r>
              <w:rPr>
                <w:rFonts w:ascii="Arial" w:cs="Arial" w:eastAsia="Arial" w:hAnsi="Arial"/>
                <w:sz w:val="13"/>
                <w:szCs w:val="13"/>
                <w:color w:val="auto"/>
              </w:rPr>
              <w:t>Former President and Chief Executive Officer of Western Digital Corporation</w:t>
            </w:r>
          </w:p>
        </w:tc>
        <w:tc>
          <w:tcPr>
            <w:tcW w:w="1360" w:type="dxa"/>
            <w:vAlign w:val="bottom"/>
            <w:tcBorders>
              <w:right w:val="single" w:sz="8" w:color="D5DEE8"/>
            </w:tcBorders>
            <w:shd w:val="clear" w:color="auto" w:fill="D5DEE8"/>
          </w:tcPr>
          <w:p>
            <w:pPr>
              <w:spacing w:after="0"/>
              <w:rPr>
                <w:sz w:val="24"/>
                <w:szCs w:val="24"/>
                <w:color w:val="auto"/>
              </w:rPr>
            </w:pPr>
          </w:p>
        </w:tc>
        <w:tc>
          <w:tcPr>
            <w:tcW w:w="420" w:type="dxa"/>
            <w:vAlign w:val="bottom"/>
            <w:tcBorders>
              <w:right w:val="single" w:sz="8" w:color="D5DEE8"/>
            </w:tcBorders>
            <w:shd w:val="clear" w:color="auto" w:fill="D5DEE8"/>
          </w:tcPr>
          <w:p>
            <w:pPr>
              <w:spacing w:after="0"/>
              <w:rPr>
                <w:sz w:val="24"/>
                <w:szCs w:val="24"/>
                <w:color w:val="auto"/>
              </w:rPr>
            </w:pPr>
          </w:p>
        </w:tc>
        <w:tc>
          <w:tcPr>
            <w:tcW w:w="660" w:type="dxa"/>
            <w:vAlign w:val="bottom"/>
            <w:shd w:val="clear" w:color="auto" w:fill="D5DEE8"/>
          </w:tcPr>
          <w:p>
            <w:pPr>
              <w:spacing w:after="0"/>
              <w:rPr>
                <w:sz w:val="24"/>
                <w:szCs w:val="24"/>
                <w:color w:val="auto"/>
              </w:rPr>
            </w:pPr>
          </w:p>
        </w:tc>
        <w:tc>
          <w:tcPr>
            <w:tcW w:w="20" w:type="dxa"/>
            <w:vAlign w:val="bottom"/>
            <w:shd w:val="clear" w:color="auto" w:fill="D5DEE8"/>
          </w:tcPr>
          <w:p>
            <w:pPr>
              <w:spacing w:after="0"/>
              <w:rPr>
                <w:sz w:val="24"/>
                <w:szCs w:val="24"/>
                <w:color w:val="auto"/>
              </w:rPr>
            </w:pPr>
          </w:p>
        </w:tc>
        <w:tc>
          <w:tcPr>
            <w:tcW w:w="960" w:type="dxa"/>
            <w:vAlign w:val="bottom"/>
            <w:shd w:val="clear" w:color="auto" w:fill="D5DEE8"/>
          </w:tcPr>
          <w:p>
            <w:pPr>
              <w:spacing w:after="0"/>
              <w:rPr>
                <w:sz w:val="24"/>
                <w:szCs w:val="24"/>
                <w:color w:val="auto"/>
              </w:rPr>
            </w:pPr>
          </w:p>
        </w:tc>
        <w:tc>
          <w:tcPr>
            <w:tcW w:w="20" w:type="dxa"/>
            <w:vAlign w:val="bottom"/>
            <w:shd w:val="clear" w:color="auto" w:fill="D5DEE8"/>
          </w:tcPr>
          <w:p>
            <w:pPr>
              <w:spacing w:after="0"/>
              <w:rPr>
                <w:sz w:val="24"/>
                <w:szCs w:val="24"/>
                <w:color w:val="auto"/>
              </w:rPr>
            </w:pPr>
          </w:p>
        </w:tc>
        <w:tc>
          <w:tcPr>
            <w:tcW w:w="1480" w:type="dxa"/>
            <w:vAlign w:val="bottom"/>
            <w:shd w:val="clear" w:color="auto" w:fill="D5DEE8"/>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40" w:type="dxa"/>
            <w:vAlign w:val="bottom"/>
            <w:shd w:val="clear" w:color="auto" w:fill="D5DEE8"/>
          </w:tcPr>
          <w:p>
            <w:pPr>
              <w:spacing w:after="0"/>
              <w:rPr>
                <w:sz w:val="12"/>
                <w:szCs w:val="12"/>
                <w:color w:val="auto"/>
              </w:rPr>
            </w:pPr>
          </w:p>
        </w:tc>
        <w:tc>
          <w:tcPr>
            <w:tcW w:w="80" w:type="dxa"/>
            <w:vAlign w:val="bottom"/>
            <w:tcBorders>
              <w:bottom w:val="single" w:sz="8" w:color="959595"/>
            </w:tcBorders>
            <w:shd w:val="clear" w:color="auto" w:fill="D5DEE8"/>
          </w:tcPr>
          <w:p>
            <w:pPr>
              <w:spacing w:after="0"/>
              <w:rPr>
                <w:sz w:val="12"/>
                <w:szCs w:val="12"/>
                <w:color w:val="auto"/>
              </w:rPr>
            </w:pPr>
          </w:p>
        </w:tc>
        <w:tc>
          <w:tcPr>
            <w:tcW w:w="4080" w:type="dxa"/>
            <w:vAlign w:val="bottom"/>
            <w:tcBorders>
              <w:bottom w:val="single" w:sz="8" w:color="959595"/>
            </w:tcBorders>
            <w:shd w:val="clear" w:color="auto" w:fill="D5DEE8"/>
          </w:tcPr>
          <w:p>
            <w:pPr>
              <w:spacing w:after="0"/>
              <w:rPr>
                <w:sz w:val="12"/>
                <w:szCs w:val="12"/>
                <w:color w:val="auto"/>
              </w:rPr>
            </w:pPr>
          </w:p>
        </w:tc>
        <w:tc>
          <w:tcPr>
            <w:tcW w:w="1520" w:type="dxa"/>
            <w:vAlign w:val="bottom"/>
            <w:tcBorders>
              <w:bottom w:val="single" w:sz="8" w:color="959595"/>
            </w:tcBorders>
            <w:shd w:val="clear" w:color="auto" w:fill="D5DEE8"/>
          </w:tcPr>
          <w:p>
            <w:pPr>
              <w:spacing w:after="0"/>
              <w:rPr>
                <w:sz w:val="12"/>
                <w:szCs w:val="12"/>
                <w:color w:val="auto"/>
              </w:rPr>
            </w:pPr>
          </w:p>
        </w:tc>
        <w:tc>
          <w:tcPr>
            <w:tcW w:w="1360" w:type="dxa"/>
            <w:vAlign w:val="bottom"/>
            <w:tcBorders>
              <w:bottom w:val="single" w:sz="8" w:color="959595"/>
              <w:right w:val="single" w:sz="8" w:color="D5DEE8"/>
            </w:tcBorders>
            <w:shd w:val="clear" w:color="auto" w:fill="D5DEE8"/>
          </w:tcPr>
          <w:p>
            <w:pPr>
              <w:spacing w:after="0"/>
              <w:rPr>
                <w:sz w:val="12"/>
                <w:szCs w:val="12"/>
                <w:color w:val="auto"/>
              </w:rPr>
            </w:pPr>
          </w:p>
        </w:tc>
        <w:tc>
          <w:tcPr>
            <w:tcW w:w="420" w:type="dxa"/>
            <w:vAlign w:val="bottom"/>
            <w:tcBorders>
              <w:bottom w:val="single" w:sz="8" w:color="959595"/>
              <w:right w:val="single" w:sz="8" w:color="D5DEE8"/>
            </w:tcBorders>
            <w:shd w:val="clear" w:color="auto" w:fill="D5DEE8"/>
          </w:tcPr>
          <w:p>
            <w:pPr>
              <w:spacing w:after="0"/>
              <w:rPr>
                <w:sz w:val="12"/>
                <w:szCs w:val="12"/>
                <w:color w:val="auto"/>
              </w:rPr>
            </w:pPr>
          </w:p>
        </w:tc>
        <w:tc>
          <w:tcPr>
            <w:tcW w:w="660" w:type="dxa"/>
            <w:vAlign w:val="bottom"/>
            <w:tcBorders>
              <w:bottom w:val="single" w:sz="8" w:color="959595"/>
            </w:tcBorders>
            <w:shd w:val="clear" w:color="auto" w:fill="D5DEE8"/>
          </w:tcPr>
          <w:p>
            <w:pPr>
              <w:spacing w:after="0"/>
              <w:rPr>
                <w:sz w:val="12"/>
                <w:szCs w:val="12"/>
                <w:color w:val="auto"/>
              </w:rPr>
            </w:pPr>
          </w:p>
        </w:tc>
        <w:tc>
          <w:tcPr>
            <w:tcW w:w="20" w:type="dxa"/>
            <w:vAlign w:val="bottom"/>
            <w:tcBorders>
              <w:bottom w:val="single" w:sz="8" w:color="959595"/>
            </w:tcBorders>
            <w:shd w:val="clear" w:color="auto" w:fill="D5DEE8"/>
          </w:tcPr>
          <w:p>
            <w:pPr>
              <w:spacing w:after="0"/>
              <w:rPr>
                <w:sz w:val="12"/>
                <w:szCs w:val="12"/>
                <w:color w:val="auto"/>
              </w:rPr>
            </w:pPr>
          </w:p>
        </w:tc>
        <w:tc>
          <w:tcPr>
            <w:tcW w:w="960" w:type="dxa"/>
            <w:vAlign w:val="bottom"/>
            <w:tcBorders>
              <w:bottom w:val="single" w:sz="8" w:color="959595"/>
            </w:tcBorders>
            <w:shd w:val="clear" w:color="auto" w:fill="D5DEE8"/>
          </w:tcPr>
          <w:p>
            <w:pPr>
              <w:spacing w:after="0"/>
              <w:rPr>
                <w:sz w:val="12"/>
                <w:szCs w:val="12"/>
                <w:color w:val="auto"/>
              </w:rPr>
            </w:pPr>
          </w:p>
        </w:tc>
        <w:tc>
          <w:tcPr>
            <w:tcW w:w="20" w:type="dxa"/>
            <w:vAlign w:val="bottom"/>
            <w:tcBorders>
              <w:bottom w:val="single" w:sz="8" w:color="959595"/>
            </w:tcBorders>
            <w:shd w:val="clear" w:color="auto" w:fill="D5DEE8"/>
          </w:tcPr>
          <w:p>
            <w:pPr>
              <w:spacing w:after="0"/>
              <w:rPr>
                <w:sz w:val="12"/>
                <w:szCs w:val="12"/>
                <w:color w:val="auto"/>
              </w:rPr>
            </w:pPr>
          </w:p>
        </w:tc>
        <w:tc>
          <w:tcPr>
            <w:tcW w:w="1480" w:type="dxa"/>
            <w:vAlign w:val="bottom"/>
            <w:tcBorders>
              <w:bottom w:val="single" w:sz="8" w:color="959595"/>
            </w:tcBorders>
            <w:shd w:val="clear" w:color="auto" w:fill="D5DEE8"/>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80" w:type="dxa"/>
            <w:vAlign w:val="bottom"/>
          </w:tcPr>
          <w:p>
            <w:pPr>
              <w:spacing w:after="0"/>
              <w:rPr>
                <w:sz w:val="20"/>
                <w:szCs w:val="20"/>
                <w:color w:val="auto"/>
              </w:rPr>
            </w:pPr>
            <w:r>
              <w:rPr>
                <w:rFonts w:ascii="Arial" w:cs="Arial" w:eastAsia="Arial" w:hAnsi="Arial"/>
                <w:sz w:val="13"/>
                <w:szCs w:val="13"/>
                <w:b w:val="1"/>
                <w:bCs w:val="1"/>
                <w:color w:val="23628F"/>
              </w:rPr>
              <w:t xml:space="preserve">PAULA A. PRICE </w:t>
            </w:r>
            <w:r>
              <w:rPr>
                <w:rFonts w:ascii="Arial" w:cs="Arial" w:eastAsia="Arial" w:hAnsi="Arial"/>
                <w:sz w:val="13"/>
                <w:szCs w:val="13"/>
                <w:b w:val="1"/>
                <w:bCs w:val="1"/>
                <w:color w:val="61C4AF"/>
              </w:rPr>
              <w:t>INDEPENDENT</w:t>
            </w:r>
          </w:p>
        </w:tc>
        <w:tc>
          <w:tcPr>
            <w:tcW w:w="1520" w:type="dxa"/>
            <w:vAlign w:val="bottom"/>
          </w:tcPr>
          <w:p>
            <w:pPr>
              <w:spacing w:after="0"/>
              <w:rPr>
                <w:sz w:val="15"/>
                <w:szCs w:val="15"/>
                <w:color w:val="auto"/>
              </w:rPr>
            </w:pPr>
          </w:p>
        </w:tc>
        <w:tc>
          <w:tcPr>
            <w:tcW w:w="1780" w:type="dxa"/>
            <w:vAlign w:val="bottom"/>
            <w:gridSpan w:val="2"/>
          </w:tcPr>
          <w:p>
            <w:pPr>
              <w:ind w:left="1420"/>
              <w:spacing w:after="0"/>
              <w:rPr>
                <w:sz w:val="20"/>
                <w:szCs w:val="20"/>
                <w:color w:val="auto"/>
              </w:rPr>
            </w:pPr>
            <w:r>
              <w:rPr>
                <w:rFonts w:ascii="Arial" w:cs="Arial" w:eastAsia="Arial" w:hAnsi="Arial"/>
                <w:sz w:val="13"/>
                <w:szCs w:val="13"/>
                <w:color w:val="auto"/>
              </w:rPr>
              <w:t>58</w:t>
            </w:r>
          </w:p>
        </w:tc>
        <w:tc>
          <w:tcPr>
            <w:tcW w:w="660" w:type="dxa"/>
            <w:vAlign w:val="bottom"/>
          </w:tcPr>
          <w:p>
            <w:pPr>
              <w:ind w:left="60"/>
              <w:spacing w:after="0"/>
              <w:rPr>
                <w:sz w:val="20"/>
                <w:szCs w:val="20"/>
                <w:color w:val="auto"/>
              </w:rPr>
            </w:pPr>
            <w:r>
              <w:rPr>
                <w:rFonts w:ascii="Arial" w:cs="Arial" w:eastAsia="Arial" w:hAnsi="Arial"/>
                <w:sz w:val="13"/>
                <w:szCs w:val="13"/>
                <w:color w:val="auto"/>
              </w:rPr>
              <w:t>2020</w:t>
            </w: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80" w:type="dxa"/>
            <w:vAlign w:val="bottom"/>
          </w:tcPr>
          <w:p>
            <w:pPr>
              <w:ind w:left="60"/>
              <w:spacing w:after="0"/>
              <w:rPr>
                <w:sz w:val="20"/>
                <w:szCs w:val="20"/>
                <w:color w:val="auto"/>
              </w:rPr>
            </w:pPr>
            <w:r>
              <w:rPr>
                <w:rFonts w:ascii="Arial" w:cs="Arial" w:eastAsia="Arial" w:hAnsi="Arial"/>
                <w:sz w:val="13"/>
                <w:szCs w:val="13"/>
                <w:color w:val="auto"/>
              </w:rPr>
              <w:t>Accenture plc</w:t>
            </w:r>
          </w:p>
        </w:tc>
        <w:tc>
          <w:tcPr>
            <w:tcW w:w="0" w:type="dxa"/>
            <w:vAlign w:val="bottom"/>
          </w:tcPr>
          <w:p>
            <w:pPr>
              <w:spacing w:after="0"/>
              <w:rPr>
                <w:sz w:val="1"/>
                <w:szCs w:val="1"/>
                <w:color w:val="auto"/>
              </w:rPr>
            </w:pPr>
          </w:p>
        </w:tc>
      </w:tr>
      <w:tr>
        <w:trPr>
          <w:trHeight w:val="351"/>
        </w:trPr>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3"/>
                <w:szCs w:val="13"/>
                <w:color w:val="auto"/>
              </w:rPr>
              <w:t>Former Executive Vice President and Chief Financial Officer of Macy’s, Inc.</w:t>
            </w:r>
          </w:p>
        </w:tc>
        <w:tc>
          <w:tcPr>
            <w:tcW w:w="1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ind w:left="60"/>
              <w:spacing w:after="0"/>
              <w:rPr>
                <w:sz w:val="20"/>
                <w:szCs w:val="20"/>
                <w:color w:val="auto"/>
              </w:rPr>
            </w:pPr>
            <w:r>
              <w:rPr>
                <w:rFonts w:ascii="Arial" w:cs="Arial" w:eastAsia="Arial" w:hAnsi="Arial"/>
                <w:sz w:val="13"/>
                <w:szCs w:val="13"/>
                <w:color w:val="auto"/>
              </w:rPr>
              <w:t>Bristol-Myers Squibb</w:t>
            </w: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tcPr>
          <w:p>
            <w:pPr>
              <w:ind w:left="60"/>
              <w:spacing w:after="0"/>
              <w:rPr>
                <w:sz w:val="20"/>
                <w:szCs w:val="20"/>
                <w:color w:val="auto"/>
              </w:rPr>
            </w:pPr>
            <w:r>
              <w:rPr>
                <w:rFonts w:ascii="Arial" w:cs="Arial" w:eastAsia="Arial" w:hAnsi="Arial"/>
                <w:sz w:val="13"/>
                <w:szCs w:val="13"/>
                <w:color w:val="auto"/>
              </w:rPr>
              <w:t>Company</w:t>
            </w:r>
          </w:p>
        </w:tc>
        <w:tc>
          <w:tcPr>
            <w:tcW w:w="0" w:type="dxa"/>
            <w:vAlign w:val="bottom"/>
          </w:tcPr>
          <w:p>
            <w:pPr>
              <w:spacing w:after="0"/>
              <w:rPr>
                <w:sz w:val="1"/>
                <w:szCs w:val="1"/>
                <w:color w:val="auto"/>
              </w:rPr>
            </w:pPr>
          </w:p>
        </w:tc>
      </w:tr>
      <w:tr>
        <w:trPr>
          <w:trHeight w:val="372"/>
        </w:trPr>
        <w:tc>
          <w:tcPr>
            <w:tcW w:w="640" w:type="dxa"/>
            <w:vAlign w:val="bottom"/>
          </w:tcPr>
          <w:p>
            <w:pPr>
              <w:spacing w:after="0"/>
              <w:rPr>
                <w:sz w:val="24"/>
                <w:szCs w:val="24"/>
                <w:color w:val="auto"/>
              </w:rPr>
            </w:pPr>
          </w:p>
        </w:tc>
        <w:tc>
          <w:tcPr>
            <w:tcW w:w="80" w:type="dxa"/>
            <w:vAlign w:val="bottom"/>
            <w:tcBorders>
              <w:bottom w:val="single" w:sz="8" w:color="959595"/>
            </w:tcBorders>
          </w:tcPr>
          <w:p>
            <w:pPr>
              <w:spacing w:after="0"/>
              <w:rPr>
                <w:sz w:val="24"/>
                <w:szCs w:val="24"/>
                <w:color w:val="auto"/>
              </w:rPr>
            </w:pPr>
          </w:p>
        </w:tc>
        <w:tc>
          <w:tcPr>
            <w:tcW w:w="4080" w:type="dxa"/>
            <w:vAlign w:val="bottom"/>
            <w:tcBorders>
              <w:bottom w:val="single" w:sz="8" w:color="959595"/>
            </w:tcBorders>
          </w:tcPr>
          <w:p>
            <w:pPr>
              <w:spacing w:after="0"/>
              <w:rPr>
                <w:sz w:val="24"/>
                <w:szCs w:val="24"/>
                <w:color w:val="auto"/>
              </w:rPr>
            </w:pPr>
          </w:p>
        </w:tc>
        <w:tc>
          <w:tcPr>
            <w:tcW w:w="1520" w:type="dxa"/>
            <w:vAlign w:val="bottom"/>
            <w:tcBorders>
              <w:bottom w:val="single" w:sz="8" w:color="959595"/>
            </w:tcBorders>
          </w:tcPr>
          <w:p>
            <w:pPr>
              <w:spacing w:after="0"/>
              <w:rPr>
                <w:sz w:val="24"/>
                <w:szCs w:val="24"/>
                <w:color w:val="auto"/>
              </w:rPr>
            </w:pPr>
          </w:p>
        </w:tc>
        <w:tc>
          <w:tcPr>
            <w:tcW w:w="1360" w:type="dxa"/>
            <w:vAlign w:val="bottom"/>
            <w:tcBorders>
              <w:bottom w:val="single" w:sz="8" w:color="959595"/>
            </w:tcBorders>
          </w:tcPr>
          <w:p>
            <w:pPr>
              <w:spacing w:after="0"/>
              <w:rPr>
                <w:sz w:val="24"/>
                <w:szCs w:val="24"/>
                <w:color w:val="auto"/>
              </w:rPr>
            </w:pPr>
          </w:p>
        </w:tc>
        <w:tc>
          <w:tcPr>
            <w:tcW w:w="420" w:type="dxa"/>
            <w:vAlign w:val="bottom"/>
            <w:tcBorders>
              <w:bottom w:val="single" w:sz="8" w:color="959595"/>
            </w:tcBorders>
          </w:tcPr>
          <w:p>
            <w:pPr>
              <w:spacing w:after="0"/>
              <w:rPr>
                <w:sz w:val="24"/>
                <w:szCs w:val="24"/>
                <w:color w:val="auto"/>
              </w:rPr>
            </w:pPr>
          </w:p>
        </w:tc>
        <w:tc>
          <w:tcPr>
            <w:tcW w:w="660" w:type="dxa"/>
            <w:vAlign w:val="bottom"/>
            <w:tcBorders>
              <w:bottom w:val="single" w:sz="8" w:color="959595"/>
            </w:tcBorders>
          </w:tcPr>
          <w:p>
            <w:pPr>
              <w:spacing w:after="0"/>
              <w:rPr>
                <w:sz w:val="24"/>
                <w:szCs w:val="24"/>
                <w:color w:val="auto"/>
              </w:rPr>
            </w:pPr>
          </w:p>
        </w:tc>
        <w:tc>
          <w:tcPr>
            <w:tcW w:w="20" w:type="dxa"/>
            <w:vAlign w:val="bottom"/>
            <w:tcBorders>
              <w:bottom w:val="single" w:sz="8" w:color="959595"/>
            </w:tcBorders>
          </w:tcPr>
          <w:p>
            <w:pPr>
              <w:spacing w:after="0"/>
              <w:rPr>
                <w:sz w:val="24"/>
                <w:szCs w:val="24"/>
                <w:color w:val="auto"/>
              </w:rPr>
            </w:pPr>
          </w:p>
        </w:tc>
        <w:tc>
          <w:tcPr>
            <w:tcW w:w="960" w:type="dxa"/>
            <w:vAlign w:val="bottom"/>
            <w:tcBorders>
              <w:bottom w:val="single" w:sz="8" w:color="959595"/>
            </w:tcBorders>
          </w:tcPr>
          <w:p>
            <w:pPr>
              <w:spacing w:after="0"/>
              <w:rPr>
                <w:sz w:val="24"/>
                <w:szCs w:val="24"/>
                <w:color w:val="auto"/>
              </w:rPr>
            </w:pPr>
          </w:p>
        </w:tc>
        <w:tc>
          <w:tcPr>
            <w:tcW w:w="20" w:type="dxa"/>
            <w:vAlign w:val="bottom"/>
            <w:tcBorders>
              <w:bottom w:val="single" w:sz="8" w:color="959595"/>
            </w:tcBorders>
          </w:tcPr>
          <w:p>
            <w:pPr>
              <w:spacing w:after="0"/>
              <w:rPr>
                <w:sz w:val="24"/>
                <w:szCs w:val="24"/>
                <w:color w:val="auto"/>
              </w:rPr>
            </w:pPr>
          </w:p>
        </w:tc>
        <w:tc>
          <w:tcPr>
            <w:tcW w:w="1480" w:type="dxa"/>
            <w:vAlign w:val="bottom"/>
            <w:tcBorders>
              <w:bottom w:val="single" w:sz="8" w:color="959595"/>
            </w:tcBorders>
          </w:tcPr>
          <w:p>
            <w:pPr>
              <w:ind w:left="60"/>
              <w:spacing w:after="0"/>
              <w:rPr>
                <w:sz w:val="20"/>
                <w:szCs w:val="20"/>
                <w:color w:val="auto"/>
              </w:rPr>
            </w:pPr>
            <w:r>
              <w:rPr>
                <w:rFonts w:ascii="Arial" w:cs="Arial" w:eastAsia="Arial" w:hAnsi="Arial"/>
                <w:sz w:val="13"/>
                <w:szCs w:val="13"/>
                <w:color w:val="auto"/>
              </w:rPr>
              <w:t>DaVita Inc.</w:t>
            </w:r>
          </w:p>
        </w:tc>
        <w:tc>
          <w:tcPr>
            <w:tcW w:w="0" w:type="dxa"/>
            <w:vAlign w:val="bottom"/>
          </w:tcPr>
          <w:p>
            <w:pPr>
              <w:spacing w:after="0"/>
              <w:rPr>
                <w:sz w:val="1"/>
                <w:szCs w:val="1"/>
                <w:color w:val="auto"/>
              </w:rPr>
            </w:pPr>
          </w:p>
        </w:tc>
      </w:tr>
      <w:tr>
        <w:trPr>
          <w:trHeight w:val="175"/>
        </w:trPr>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80" w:type="dxa"/>
            <w:vAlign w:val="bottom"/>
          </w:tcPr>
          <w:p>
            <w:pPr>
              <w:spacing w:after="0"/>
              <w:rPr>
                <w:sz w:val="20"/>
                <w:szCs w:val="20"/>
                <w:color w:val="auto"/>
              </w:rPr>
            </w:pPr>
            <w:r>
              <w:rPr>
                <w:rFonts w:ascii="Arial" w:cs="Arial" w:eastAsia="Arial" w:hAnsi="Arial"/>
                <w:sz w:val="13"/>
                <w:szCs w:val="13"/>
                <w:b w:val="1"/>
                <w:bCs w:val="1"/>
                <w:color w:val="23628F"/>
              </w:rPr>
              <w:t xml:space="preserve">STEPHANIE A. STREETER </w:t>
            </w:r>
            <w:r>
              <w:rPr>
                <w:rFonts w:ascii="Arial" w:cs="Arial" w:eastAsia="Arial" w:hAnsi="Arial"/>
                <w:sz w:val="13"/>
                <w:szCs w:val="13"/>
                <w:b w:val="1"/>
                <w:bCs w:val="1"/>
                <w:color w:val="61C4AF"/>
              </w:rPr>
              <w:t>INDEPENDENT</w:t>
            </w:r>
          </w:p>
        </w:tc>
        <w:tc>
          <w:tcPr>
            <w:tcW w:w="1520" w:type="dxa"/>
            <w:vAlign w:val="bottom"/>
          </w:tcPr>
          <w:p>
            <w:pPr>
              <w:spacing w:after="0"/>
              <w:rPr>
                <w:sz w:val="15"/>
                <w:szCs w:val="15"/>
                <w:color w:val="auto"/>
              </w:rPr>
            </w:pPr>
          </w:p>
        </w:tc>
        <w:tc>
          <w:tcPr>
            <w:tcW w:w="1780" w:type="dxa"/>
            <w:vAlign w:val="bottom"/>
            <w:gridSpan w:val="2"/>
          </w:tcPr>
          <w:p>
            <w:pPr>
              <w:ind w:left="1420"/>
              <w:spacing w:after="0"/>
              <w:rPr>
                <w:sz w:val="20"/>
                <w:szCs w:val="20"/>
                <w:color w:val="auto"/>
              </w:rPr>
            </w:pPr>
            <w:r>
              <w:rPr>
                <w:rFonts w:ascii="Arial" w:cs="Arial" w:eastAsia="Arial" w:hAnsi="Arial"/>
                <w:sz w:val="13"/>
                <w:szCs w:val="13"/>
                <w:color w:val="auto"/>
              </w:rPr>
              <w:t>63</w:t>
            </w:r>
          </w:p>
        </w:tc>
        <w:tc>
          <w:tcPr>
            <w:tcW w:w="660" w:type="dxa"/>
            <w:vAlign w:val="bottom"/>
          </w:tcPr>
          <w:p>
            <w:pPr>
              <w:ind w:left="60"/>
              <w:spacing w:after="0"/>
              <w:rPr>
                <w:sz w:val="20"/>
                <w:szCs w:val="20"/>
                <w:color w:val="auto"/>
              </w:rPr>
            </w:pPr>
            <w:r>
              <w:rPr>
                <w:rFonts w:ascii="Arial" w:cs="Arial" w:eastAsia="Arial" w:hAnsi="Arial"/>
                <w:sz w:val="13"/>
                <w:szCs w:val="13"/>
                <w:color w:val="auto"/>
              </w:rPr>
              <w:t>2018</w:t>
            </w: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80" w:type="dxa"/>
            <w:vAlign w:val="bottom"/>
          </w:tcPr>
          <w:p>
            <w:pPr>
              <w:ind w:left="60"/>
              <w:spacing w:after="0"/>
              <w:rPr>
                <w:sz w:val="20"/>
                <w:szCs w:val="20"/>
                <w:color w:val="auto"/>
              </w:rPr>
            </w:pPr>
            <w:r>
              <w:rPr>
                <w:rFonts w:ascii="Arial" w:cs="Arial" w:eastAsia="Arial" w:hAnsi="Arial"/>
                <w:sz w:val="13"/>
                <w:szCs w:val="13"/>
                <w:color w:val="auto"/>
              </w:rPr>
              <w:t>Goodyear Tire &amp;</w:t>
            </w: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tcPr>
          <w:p>
            <w:pPr>
              <w:ind w:left="60"/>
              <w:spacing w:after="0"/>
              <w:rPr>
                <w:sz w:val="20"/>
                <w:szCs w:val="20"/>
                <w:color w:val="auto"/>
              </w:rPr>
            </w:pPr>
            <w:r>
              <w:rPr>
                <w:rFonts w:ascii="Arial" w:cs="Arial" w:eastAsia="Arial" w:hAnsi="Arial"/>
                <w:sz w:val="13"/>
                <w:szCs w:val="13"/>
                <w:color w:val="auto"/>
              </w:rPr>
              <w:t>Rubber Company</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3"/>
                <w:szCs w:val="13"/>
                <w:color w:val="auto"/>
              </w:rPr>
              <w:t>Former Chief Executive Officer of Libbey Inc.</w:t>
            </w:r>
          </w:p>
        </w:tc>
        <w:tc>
          <w:tcPr>
            <w:tcW w:w="1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vMerge w:val="restart"/>
          </w:tcPr>
          <w:p>
            <w:pPr>
              <w:ind w:left="60"/>
              <w:spacing w:after="0"/>
              <w:rPr>
                <w:sz w:val="20"/>
                <w:szCs w:val="20"/>
                <w:color w:val="auto"/>
              </w:rPr>
            </w:pPr>
            <w:r>
              <w:rPr>
                <w:rFonts w:ascii="Arial" w:cs="Arial" w:eastAsia="Arial" w:hAnsi="Arial"/>
                <w:sz w:val="13"/>
                <w:szCs w:val="13"/>
                <w:color w:val="auto"/>
              </w:rPr>
              <w:t>Kohl’s Corporation</w:t>
            </w:r>
          </w:p>
        </w:tc>
        <w:tc>
          <w:tcPr>
            <w:tcW w:w="0" w:type="dxa"/>
            <w:vAlign w:val="bottom"/>
          </w:tcPr>
          <w:p>
            <w:pPr>
              <w:spacing w:after="0"/>
              <w:rPr>
                <w:sz w:val="1"/>
                <w:szCs w:val="1"/>
                <w:color w:val="auto"/>
              </w:rPr>
            </w:pPr>
          </w:p>
        </w:tc>
      </w:tr>
      <w:tr>
        <w:trPr>
          <w:trHeight w:val="149"/>
        </w:trPr>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640" w:type="dxa"/>
            <w:vAlign w:val="bottom"/>
          </w:tcPr>
          <w:p>
            <w:pPr>
              <w:spacing w:after="0"/>
              <w:rPr>
                <w:sz w:val="2"/>
                <w:szCs w:val="2"/>
                <w:color w:val="auto"/>
              </w:rPr>
            </w:pPr>
          </w:p>
        </w:tc>
        <w:tc>
          <w:tcPr>
            <w:tcW w:w="80" w:type="dxa"/>
            <w:vAlign w:val="bottom"/>
            <w:tcBorders>
              <w:bottom w:val="single" w:sz="8" w:color="959595"/>
            </w:tcBorders>
          </w:tcPr>
          <w:p>
            <w:pPr>
              <w:spacing w:after="0"/>
              <w:rPr>
                <w:sz w:val="2"/>
                <w:szCs w:val="2"/>
                <w:color w:val="auto"/>
              </w:rPr>
            </w:pPr>
          </w:p>
        </w:tc>
        <w:tc>
          <w:tcPr>
            <w:tcW w:w="4080" w:type="dxa"/>
            <w:vAlign w:val="bottom"/>
            <w:tcBorders>
              <w:bottom w:val="single" w:sz="8" w:color="959595"/>
            </w:tcBorders>
          </w:tcPr>
          <w:p>
            <w:pPr>
              <w:spacing w:after="0"/>
              <w:rPr>
                <w:sz w:val="2"/>
                <w:szCs w:val="2"/>
                <w:color w:val="auto"/>
              </w:rPr>
            </w:pPr>
          </w:p>
        </w:tc>
        <w:tc>
          <w:tcPr>
            <w:tcW w:w="1520" w:type="dxa"/>
            <w:vAlign w:val="bottom"/>
            <w:tcBorders>
              <w:bottom w:val="single" w:sz="8" w:color="959595"/>
            </w:tcBorders>
          </w:tcPr>
          <w:p>
            <w:pPr>
              <w:spacing w:after="0"/>
              <w:rPr>
                <w:sz w:val="2"/>
                <w:szCs w:val="2"/>
                <w:color w:val="auto"/>
              </w:rPr>
            </w:pPr>
          </w:p>
        </w:tc>
        <w:tc>
          <w:tcPr>
            <w:tcW w:w="1360" w:type="dxa"/>
            <w:vAlign w:val="bottom"/>
            <w:tcBorders>
              <w:bottom w:val="single" w:sz="8" w:color="959595"/>
            </w:tcBorders>
          </w:tcPr>
          <w:p>
            <w:pPr>
              <w:spacing w:after="0"/>
              <w:rPr>
                <w:sz w:val="2"/>
                <w:szCs w:val="2"/>
                <w:color w:val="auto"/>
              </w:rPr>
            </w:pPr>
          </w:p>
        </w:tc>
        <w:tc>
          <w:tcPr>
            <w:tcW w:w="420" w:type="dxa"/>
            <w:vAlign w:val="bottom"/>
            <w:tcBorders>
              <w:bottom w:val="single" w:sz="8" w:color="959595"/>
            </w:tcBorders>
          </w:tcPr>
          <w:p>
            <w:pPr>
              <w:spacing w:after="0"/>
              <w:rPr>
                <w:sz w:val="2"/>
                <w:szCs w:val="2"/>
                <w:color w:val="auto"/>
              </w:rPr>
            </w:pPr>
          </w:p>
        </w:tc>
        <w:tc>
          <w:tcPr>
            <w:tcW w:w="660" w:type="dxa"/>
            <w:vAlign w:val="bottom"/>
            <w:tcBorders>
              <w:bottom w:val="single" w:sz="8" w:color="959595"/>
            </w:tcBorders>
          </w:tcPr>
          <w:p>
            <w:pPr>
              <w:spacing w:after="0"/>
              <w:rPr>
                <w:sz w:val="2"/>
                <w:szCs w:val="2"/>
                <w:color w:val="auto"/>
              </w:rPr>
            </w:pPr>
          </w:p>
        </w:tc>
        <w:tc>
          <w:tcPr>
            <w:tcW w:w="20" w:type="dxa"/>
            <w:vAlign w:val="bottom"/>
            <w:tcBorders>
              <w:bottom w:val="single" w:sz="8" w:color="959595"/>
            </w:tcBorders>
          </w:tcPr>
          <w:p>
            <w:pPr>
              <w:spacing w:after="0"/>
              <w:rPr>
                <w:sz w:val="2"/>
                <w:szCs w:val="2"/>
                <w:color w:val="auto"/>
              </w:rPr>
            </w:pPr>
          </w:p>
        </w:tc>
        <w:tc>
          <w:tcPr>
            <w:tcW w:w="980" w:type="dxa"/>
            <w:vAlign w:val="bottom"/>
            <w:tcBorders>
              <w:bottom w:val="single" w:sz="8" w:color="959595"/>
            </w:tcBorders>
            <w:gridSpan w:val="2"/>
          </w:tcPr>
          <w:p>
            <w:pPr>
              <w:spacing w:after="0"/>
              <w:rPr>
                <w:sz w:val="2"/>
                <w:szCs w:val="2"/>
                <w:color w:val="auto"/>
              </w:rPr>
            </w:pPr>
          </w:p>
        </w:tc>
        <w:tc>
          <w:tcPr>
            <w:tcW w:w="1480" w:type="dxa"/>
            <w:vAlign w:val="bottom"/>
            <w:tcBorders>
              <w:bottom w:val="single" w:sz="8" w:color="959595"/>
            </w:tcBorders>
          </w:tcPr>
          <w:p>
            <w:pPr>
              <w:spacing w:after="0"/>
              <w:rPr>
                <w:sz w:val="2"/>
                <w:szCs w:val="2"/>
                <w:color w:val="auto"/>
              </w:rPr>
            </w:pPr>
          </w:p>
        </w:tc>
        <w:tc>
          <w:tcPr>
            <w:tcW w:w="0" w:type="dxa"/>
            <w:vAlign w:val="bottom"/>
          </w:tcPr>
          <w:p>
            <w:pPr>
              <w:spacing w:after="0"/>
              <w:rPr>
                <w:sz w:val="1"/>
                <w:szCs w:val="1"/>
                <w:color w:val="auto"/>
              </w:rPr>
            </w:pPr>
          </w:p>
        </w:tc>
      </w:tr>
      <w:tr>
        <w:trPr>
          <w:trHeight w:val="452"/>
        </w:trPr>
        <w:tc>
          <w:tcPr>
            <w:tcW w:w="720" w:type="dxa"/>
            <w:vAlign w:val="bottom"/>
            <w:gridSpan w:val="2"/>
          </w:tcPr>
          <w:p>
            <w:pPr>
              <w:ind w:left="400"/>
              <w:spacing w:after="0"/>
              <w:rPr>
                <w:sz w:val="20"/>
                <w:szCs w:val="20"/>
                <w:color w:val="auto"/>
              </w:rPr>
            </w:pPr>
            <w:r>
              <w:rPr>
                <w:rFonts w:ascii="Arial" w:cs="Arial" w:eastAsia="Arial" w:hAnsi="Arial"/>
                <w:sz w:val="13"/>
                <w:szCs w:val="13"/>
                <w:color w:val="auto"/>
              </w:rPr>
              <w:t>Audit</w:t>
            </w:r>
          </w:p>
        </w:tc>
        <w:tc>
          <w:tcPr>
            <w:tcW w:w="4080" w:type="dxa"/>
            <w:vAlign w:val="bottom"/>
          </w:tcPr>
          <w:p>
            <w:pPr>
              <w:ind w:left="1360"/>
              <w:spacing w:after="0"/>
              <w:rPr>
                <w:sz w:val="20"/>
                <w:szCs w:val="20"/>
                <w:color w:val="auto"/>
              </w:rPr>
            </w:pPr>
            <w:r>
              <w:rPr>
                <w:rFonts w:ascii="Arial" w:cs="Arial" w:eastAsia="Arial" w:hAnsi="Arial"/>
                <w:sz w:val="13"/>
                <w:szCs w:val="13"/>
                <w:color w:val="auto"/>
              </w:rPr>
              <w:t>Compensation and Talent</w:t>
            </w:r>
          </w:p>
        </w:tc>
        <w:tc>
          <w:tcPr>
            <w:tcW w:w="1520" w:type="dxa"/>
            <w:vAlign w:val="bottom"/>
          </w:tcPr>
          <w:p>
            <w:pPr>
              <w:ind w:left="120"/>
              <w:spacing w:after="0"/>
              <w:rPr>
                <w:sz w:val="20"/>
                <w:szCs w:val="20"/>
                <w:color w:val="auto"/>
              </w:rPr>
            </w:pPr>
            <w:r>
              <w:rPr>
                <w:rFonts w:ascii="Arial" w:cs="Arial" w:eastAsia="Arial" w:hAnsi="Arial"/>
                <w:sz w:val="13"/>
                <w:szCs w:val="13"/>
                <w:color w:val="auto"/>
              </w:rPr>
              <w:t>Executive</w:t>
            </w:r>
          </w:p>
        </w:tc>
        <w:tc>
          <w:tcPr>
            <w:tcW w:w="1780" w:type="dxa"/>
            <w:vAlign w:val="bottom"/>
            <w:gridSpan w:val="2"/>
          </w:tcPr>
          <w:p>
            <w:pPr>
              <w:ind w:left="800"/>
              <w:spacing w:after="0"/>
              <w:rPr>
                <w:sz w:val="20"/>
                <w:szCs w:val="20"/>
                <w:color w:val="auto"/>
              </w:rPr>
            </w:pPr>
            <w:r>
              <w:rPr>
                <w:rFonts w:ascii="Arial" w:cs="Arial" w:eastAsia="Arial" w:hAnsi="Arial"/>
                <w:sz w:val="13"/>
                <w:szCs w:val="13"/>
                <w:color w:val="auto"/>
              </w:rPr>
              <w:t>Governance</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60" w:type="dxa"/>
            <w:vAlign w:val="bottom"/>
            <w:gridSpan w:val="3"/>
          </w:tcPr>
          <w:p>
            <w:pPr>
              <w:ind w:left="580"/>
              <w:spacing w:after="0"/>
              <w:rPr>
                <w:sz w:val="20"/>
                <w:szCs w:val="20"/>
                <w:color w:val="auto"/>
              </w:rPr>
            </w:pPr>
            <w:r>
              <w:rPr>
                <w:rFonts w:ascii="Arial" w:cs="Arial" w:eastAsia="Arial" w:hAnsi="Arial"/>
                <w:sz w:val="13"/>
                <w:szCs w:val="13"/>
                <w:color w:val="auto"/>
              </w:rPr>
              <w:t>Committee Chair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1234440" cy="685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34440" cy="685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-4362450</wp:posOffset>
            </wp:positionV>
            <wp:extent cx="351155" cy="436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51155" cy="43688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-4354195</wp:posOffset>
            </wp:positionV>
            <wp:extent cx="522605" cy="1631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22605"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-3762375</wp:posOffset>
            </wp:positionV>
            <wp:extent cx="5949315" cy="37973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49315" cy="379730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BOARD NOMINEE HIGHLIGHTS</w:t>
      </w:r>
    </w:p>
    <w:p>
      <w:pPr>
        <w:spacing w:after="0" w:line="243" w:lineRule="exact"/>
        <w:rPr>
          <w:sz w:val="20"/>
          <w:szCs w:val="20"/>
          <w:color w:val="auto"/>
        </w:rPr>
      </w:pPr>
    </w:p>
    <w:p>
      <w:pPr>
        <w:spacing w:after="0"/>
        <w:rPr>
          <w:sz w:val="20"/>
          <w:szCs w:val="20"/>
          <w:color w:val="auto"/>
        </w:rPr>
      </w:pPr>
      <w:r>
        <w:rPr>
          <w:sz w:val="1"/>
          <w:szCs w:val="1"/>
          <w:color w:val="auto"/>
        </w:rPr>
        <w:drawing>
          <wp:inline distT="0" distB="0" distL="0" distR="0">
            <wp:extent cx="34290" cy="17145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171450"/>
                    </a:xfrm>
                    <a:prstGeom prst="rect">
                      <a:avLst/>
                    </a:prstGeom>
                    <a:noFill/>
                    <a:ln>
                      <a:noFill/>
                    </a:ln>
                  </pic:spPr>
                </pic:pic>
              </a:graphicData>
            </a:graphic>
          </wp:inline>
        </w:drawing>
      </w:r>
      <w:r>
        <w:rPr>
          <w:rFonts w:ascii="Arial" w:cs="Arial" w:eastAsia="Arial" w:hAnsi="Arial"/>
          <w:sz w:val="22"/>
          <w:szCs w:val="22"/>
          <w:b w:val="1"/>
          <w:bCs w:val="1"/>
          <w:color w:val="5FC4AF"/>
        </w:rPr>
        <w:t xml:space="preserve"> Board Snapshot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61C4AF"/>
        </w:rPr>
        <w:t xml:space="preserve">87.5% Independent </w:t>
      </w:r>
      <w:r>
        <w:rPr>
          <w:rFonts w:ascii="Arial" w:cs="Arial" w:eastAsia="Arial" w:hAnsi="Arial"/>
          <w:sz w:val="21"/>
          <w:szCs w:val="21"/>
          <w:b w:val="1"/>
          <w:bCs w:val="1"/>
          <w:color w:val="000000"/>
        </w:rPr>
        <w:t>|</w:t>
      </w:r>
      <w:r>
        <w:rPr>
          <w:rFonts w:ascii="Arial" w:cs="Arial" w:eastAsia="Arial" w:hAnsi="Arial"/>
          <w:sz w:val="18"/>
          <w:szCs w:val="18"/>
          <w:b w:val="1"/>
          <w:bCs w:val="1"/>
          <w:color w:val="61C4AF"/>
        </w:rPr>
        <w:t xml:space="preserve"> 50% Women </w:t>
      </w:r>
      <w:r>
        <w:rPr>
          <w:rFonts w:ascii="Arial" w:cs="Arial" w:eastAsia="Arial" w:hAnsi="Arial"/>
          <w:sz w:val="21"/>
          <w:szCs w:val="21"/>
          <w:b w:val="1"/>
          <w:bCs w:val="1"/>
          <w:color w:val="000000"/>
        </w:rPr>
        <w:t>|</w:t>
      </w:r>
      <w:r>
        <w:rPr>
          <w:rFonts w:ascii="Arial" w:cs="Arial" w:eastAsia="Arial" w:hAnsi="Arial"/>
          <w:sz w:val="18"/>
          <w:szCs w:val="18"/>
          <w:b w:val="1"/>
          <w:bCs w:val="1"/>
          <w:color w:val="61C4AF"/>
        </w:rPr>
        <w:t xml:space="preserve"> 7.2 Years Average Tenure</w:t>
      </w:r>
      <w:r>
        <w:rPr>
          <w:rFonts w:ascii="Arial" w:cs="Arial" w:eastAsia="Arial" w:hAnsi="Arial"/>
          <w:sz w:val="29"/>
          <w:szCs w:val="29"/>
          <w:b w:val="1"/>
          <w:bCs w:val="1"/>
          <w:color w:val="61C4AF"/>
          <w:vertAlign w:val="superscript"/>
        </w:rPr>
        <w:t>(1)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240" w:type="dxa"/>
            <w:vAlign w:val="bottom"/>
          </w:tcPr>
          <w:p>
            <w:pPr>
              <w:spacing w:after="0"/>
              <w:rPr>
                <w:sz w:val="20"/>
                <w:szCs w:val="20"/>
                <w:color w:val="auto"/>
              </w:rPr>
            </w:pPr>
            <w:r>
              <w:rPr>
                <w:rFonts w:ascii="Arial" w:cs="Arial" w:eastAsia="Arial" w:hAnsi="Arial"/>
                <w:sz w:val="13"/>
                <w:szCs w:val="13"/>
                <w:b w:val="1"/>
                <w:bCs w:val="1"/>
                <w:color w:val="616161"/>
              </w:rPr>
              <w:t>INDEPENDENCE</w:t>
            </w:r>
          </w:p>
        </w:tc>
        <w:tc>
          <w:tcPr>
            <w:tcW w:w="4500" w:type="dxa"/>
            <w:vAlign w:val="bottom"/>
          </w:tcPr>
          <w:p>
            <w:pPr>
              <w:ind w:left="1140"/>
              <w:spacing w:after="0"/>
              <w:rPr>
                <w:sz w:val="20"/>
                <w:szCs w:val="20"/>
                <w:color w:val="auto"/>
              </w:rPr>
            </w:pPr>
            <w:r>
              <w:rPr>
                <w:rFonts w:ascii="Arial" w:cs="Arial" w:eastAsia="Arial" w:hAnsi="Arial"/>
                <w:sz w:val="13"/>
                <w:szCs w:val="13"/>
                <w:b w:val="1"/>
                <w:bCs w:val="1"/>
                <w:color w:val="616161"/>
              </w:rPr>
              <w:t>GENDER</w:t>
            </w:r>
          </w:p>
        </w:tc>
      </w:tr>
      <w:tr>
        <w:trPr>
          <w:trHeight w:val="500"/>
        </w:trPr>
        <w:tc>
          <w:tcPr>
            <w:tcW w:w="2240" w:type="dxa"/>
            <w:vAlign w:val="bottom"/>
            <w:tcBorders>
              <w:bottom w:val="single" w:sz="8" w:color="959595"/>
            </w:tcBorders>
          </w:tcPr>
          <w:p>
            <w:pPr>
              <w:spacing w:after="0"/>
              <w:rPr>
                <w:sz w:val="24"/>
                <w:szCs w:val="24"/>
                <w:color w:val="auto"/>
              </w:rPr>
            </w:pPr>
          </w:p>
        </w:tc>
        <w:tc>
          <w:tcPr>
            <w:tcW w:w="4500" w:type="dxa"/>
            <w:vAlign w:val="bottom"/>
            <w:tcBorders>
              <w:bottom w:val="single" w:sz="8" w:color="959595"/>
            </w:tcBorders>
          </w:tcPr>
          <w:p>
            <w:pPr>
              <w:spacing w:after="0"/>
              <w:rPr>
                <w:sz w:val="24"/>
                <w:szCs w:val="24"/>
                <w:color w:val="auto"/>
              </w:rPr>
            </w:pPr>
          </w:p>
        </w:tc>
      </w:tr>
      <w:tr>
        <w:trPr>
          <w:trHeight w:val="394"/>
        </w:trPr>
        <w:tc>
          <w:tcPr>
            <w:tcW w:w="2240" w:type="dxa"/>
            <w:vAlign w:val="bottom"/>
          </w:tcPr>
          <w:p>
            <w:pPr>
              <w:spacing w:after="0"/>
              <w:rPr>
                <w:sz w:val="20"/>
                <w:szCs w:val="20"/>
                <w:color w:val="auto"/>
              </w:rPr>
            </w:pPr>
            <w:r>
              <w:rPr>
                <w:rFonts w:ascii="Arial" w:cs="Arial" w:eastAsia="Arial" w:hAnsi="Arial"/>
                <w:sz w:val="13"/>
                <w:szCs w:val="13"/>
                <w:b w:val="1"/>
                <w:bCs w:val="1"/>
                <w:color w:val="616161"/>
              </w:rPr>
              <w:t>AGE</w:t>
            </w:r>
          </w:p>
        </w:tc>
        <w:tc>
          <w:tcPr>
            <w:tcW w:w="4500" w:type="dxa"/>
            <w:vAlign w:val="bottom"/>
          </w:tcPr>
          <w:p>
            <w:pPr>
              <w:ind w:left="1140"/>
              <w:spacing w:after="0"/>
              <w:rPr>
                <w:sz w:val="20"/>
                <w:szCs w:val="20"/>
                <w:color w:val="auto"/>
              </w:rPr>
            </w:pPr>
            <w:r>
              <w:rPr>
                <w:rFonts w:ascii="Arial" w:cs="Arial" w:eastAsia="Arial" w:hAnsi="Arial"/>
                <w:sz w:val="13"/>
                <w:szCs w:val="13"/>
                <w:b w:val="1"/>
                <w:bCs w:val="1"/>
                <w:color w:val="616161"/>
              </w:rPr>
              <w:t>TENURE</w:t>
            </w:r>
            <w:r>
              <w:rPr>
                <w:rFonts w:ascii="Arial" w:cs="Arial" w:eastAsia="Arial" w:hAnsi="Arial"/>
                <w:sz w:val="22"/>
                <w:szCs w:val="22"/>
                <w:b w:val="1"/>
                <w:bCs w:val="1"/>
                <w:color w:val="616161"/>
                <w:vertAlign w:val="superscript"/>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-553720</wp:posOffset>
            </wp:positionV>
            <wp:extent cx="3060065" cy="2228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060065"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wp:posOffset>
            </wp:positionV>
            <wp:extent cx="1071245" cy="3257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71245" cy="3257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-31115</wp:posOffset>
            </wp:positionV>
            <wp:extent cx="1139825" cy="3257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39825" cy="32575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300" w:hanging="292"/>
        <w:spacing w:after="0"/>
        <w:tabs>
          <w:tab w:leader="none" w:pos="300" w:val="left"/>
        </w:tabs>
        <w:numPr>
          <w:ilvl w:val="0"/>
          <w:numId w:val="44"/>
        </w:numPr>
        <w:rPr>
          <w:rFonts w:ascii="Arial" w:cs="Arial" w:eastAsia="Arial" w:hAnsi="Arial"/>
          <w:sz w:val="11"/>
          <w:szCs w:val="11"/>
          <w:color w:val="auto"/>
        </w:rPr>
      </w:pPr>
      <w:r>
        <w:rPr>
          <w:rFonts w:ascii="Arial" w:cs="Arial" w:eastAsia="Arial" w:hAnsi="Arial"/>
          <w:sz w:val="13"/>
          <w:szCs w:val="13"/>
          <w:color w:val="auto"/>
        </w:rPr>
        <w:t>Calculation includes Ms. Price’s tenure as a director from July 2014 to February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5FC4AF"/>
        </w:rPr>
        <w:t>Strong Director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-156210</wp:posOffset>
            </wp:positionV>
            <wp:extent cx="3429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171450"/>
                    </a:xfrm>
                    <a:prstGeom prst="rect">
                      <a:avLst/>
                    </a:prstGeom>
                    <a:noFill/>
                  </pic:spPr>
                </pic:pic>
              </a:graphicData>
            </a:graphic>
          </wp:anchor>
        </w:drawing>
      </w:r>
    </w:p>
    <w:p>
      <w:pPr>
        <w:spacing w:after="0" w:line="218" w:lineRule="exact"/>
        <w:rPr>
          <w:sz w:val="20"/>
          <w:szCs w:val="20"/>
          <w:color w:val="auto"/>
        </w:rPr>
      </w:pPr>
    </w:p>
    <w:p>
      <w:pPr>
        <w:ind w:right="200"/>
        <w:spacing w:after="0" w:line="258" w:lineRule="auto"/>
        <w:rPr>
          <w:sz w:val="20"/>
          <w:szCs w:val="20"/>
          <w:color w:val="auto"/>
        </w:rPr>
      </w:pPr>
      <w:r>
        <w:rPr>
          <w:rFonts w:ascii="Arial" w:cs="Arial" w:eastAsia="Arial" w:hAnsi="Arial"/>
          <w:sz w:val="13"/>
          <w:szCs w:val="13"/>
          <w:color w:val="auto"/>
        </w:rPr>
        <w:t>Average director attendance at fiscal 2020 Board and committee meetings</w:t>
      </w:r>
    </w:p>
    <w:p>
      <w:pPr>
        <w:spacing w:after="0" w:line="282" w:lineRule="exact"/>
        <w:rPr>
          <w:sz w:val="20"/>
          <w:szCs w:val="20"/>
          <w:color w:val="auto"/>
        </w:rPr>
      </w:pPr>
    </w:p>
    <w:p>
      <w:pPr>
        <w:spacing w:after="0"/>
        <w:tabs>
          <w:tab w:leader="none" w:pos="2860" w:val="left"/>
        </w:tabs>
        <w:rPr>
          <w:sz w:val="20"/>
          <w:szCs w:val="20"/>
          <w:color w:val="auto"/>
        </w:rPr>
      </w:pPr>
      <w:r>
        <w:rPr>
          <w:rFonts w:ascii="Arial" w:cs="Arial" w:eastAsia="Arial" w:hAnsi="Arial"/>
          <w:sz w:val="13"/>
          <w:szCs w:val="13"/>
          <w:color w:val="616161"/>
        </w:rPr>
        <w:t>Board</w:t>
      </w:r>
      <w:r>
        <w:rPr>
          <w:sz w:val="20"/>
          <w:szCs w:val="20"/>
          <w:color w:val="auto"/>
        </w:rPr>
        <w:tab/>
      </w:r>
      <w:r>
        <w:rPr>
          <w:rFonts w:ascii="Arial" w:cs="Arial" w:eastAsia="Arial" w:hAnsi="Arial"/>
          <w:sz w:val="13"/>
          <w:szCs w:val="13"/>
          <w:color w:val="616161"/>
        </w:rPr>
        <w:t>Audit</w:t>
      </w:r>
    </w:p>
    <w:p>
      <w:pPr>
        <w:spacing w:after="0"/>
        <w:tabs>
          <w:tab w:leader="none" w:pos="2860" w:val="left"/>
        </w:tabs>
        <w:rPr>
          <w:sz w:val="20"/>
          <w:szCs w:val="20"/>
          <w:color w:val="auto"/>
        </w:rPr>
      </w:pPr>
      <w:r>
        <w:rPr>
          <w:rFonts w:ascii="Arial" w:cs="Arial" w:eastAsia="Arial" w:hAnsi="Arial"/>
          <w:sz w:val="20"/>
          <w:szCs w:val="20"/>
          <w:b w:val="1"/>
          <w:bCs w:val="1"/>
          <w:color w:val="61C4AF"/>
        </w:rPr>
        <w:t>96%</w:t>
      </w:r>
      <w:r>
        <w:rPr>
          <w:sz w:val="20"/>
          <w:szCs w:val="20"/>
          <w:color w:val="auto"/>
        </w:rPr>
        <w:tab/>
      </w:r>
      <w:r>
        <w:rPr>
          <w:rFonts w:ascii="Arial" w:cs="Arial" w:eastAsia="Arial" w:hAnsi="Arial"/>
          <w:sz w:val="20"/>
          <w:szCs w:val="20"/>
          <w:b w:val="1"/>
          <w:bCs w:val="1"/>
          <w:color w:val="61C4AF"/>
        </w:rPr>
        <w:t>97%</w:t>
      </w:r>
    </w:p>
    <w:p>
      <w:pPr>
        <w:spacing w:after="0" w:line="93" w:lineRule="exact"/>
        <w:rPr>
          <w:sz w:val="20"/>
          <w:szCs w:val="20"/>
          <w:color w:val="auto"/>
        </w:rPr>
      </w:pPr>
    </w:p>
    <w:p>
      <w:pPr>
        <w:spacing w:after="0"/>
        <w:tabs>
          <w:tab w:leader="none" w:pos="2860" w:val="left"/>
        </w:tabs>
        <w:rPr>
          <w:sz w:val="20"/>
          <w:szCs w:val="20"/>
          <w:color w:val="auto"/>
        </w:rPr>
      </w:pPr>
      <w:r>
        <w:rPr>
          <w:rFonts w:ascii="Arial" w:cs="Arial" w:eastAsia="Arial" w:hAnsi="Arial"/>
          <w:sz w:val="13"/>
          <w:szCs w:val="13"/>
          <w:color w:val="616161"/>
        </w:rPr>
        <w:t>Compensation and Talent</w:t>
      </w:r>
      <w:r>
        <w:rPr>
          <w:sz w:val="20"/>
          <w:szCs w:val="20"/>
          <w:color w:val="auto"/>
        </w:rPr>
        <w:tab/>
      </w:r>
      <w:r>
        <w:rPr>
          <w:rFonts w:ascii="Arial" w:cs="Arial" w:eastAsia="Arial" w:hAnsi="Arial"/>
          <w:sz w:val="13"/>
          <w:szCs w:val="13"/>
          <w:color w:val="616161"/>
        </w:rPr>
        <w:t>Governance</w:t>
      </w:r>
    </w:p>
    <w:p>
      <w:pPr>
        <w:spacing w:after="0"/>
        <w:tabs>
          <w:tab w:leader="none" w:pos="2860" w:val="left"/>
        </w:tabs>
        <w:rPr>
          <w:sz w:val="20"/>
          <w:szCs w:val="20"/>
          <w:color w:val="auto"/>
        </w:rPr>
      </w:pPr>
      <w:r>
        <w:rPr>
          <w:rFonts w:ascii="Arial" w:cs="Arial" w:eastAsia="Arial" w:hAnsi="Arial"/>
          <w:sz w:val="20"/>
          <w:szCs w:val="20"/>
          <w:b w:val="1"/>
          <w:bCs w:val="1"/>
          <w:color w:val="61C4AF"/>
        </w:rPr>
        <w:t>98%</w:t>
      </w:r>
      <w:r>
        <w:rPr>
          <w:sz w:val="20"/>
          <w:szCs w:val="20"/>
          <w:color w:val="auto"/>
        </w:rPr>
        <w:tab/>
      </w:r>
      <w:r>
        <w:rPr>
          <w:rFonts w:ascii="Arial" w:cs="Arial" w:eastAsia="Arial" w:hAnsi="Arial"/>
          <w:sz w:val="20"/>
          <w:szCs w:val="20"/>
          <w:b w:val="1"/>
          <w:bCs w:val="1"/>
          <w:color w:val="61C4AF"/>
        </w:rPr>
        <w:t>97%</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color w:val="616161"/>
        </w:rPr>
        <w:t>Executive</w:t>
      </w:r>
    </w:p>
    <w:p>
      <w:pPr>
        <w:spacing w:after="0"/>
        <w:rPr>
          <w:sz w:val="20"/>
          <w:szCs w:val="20"/>
          <w:color w:val="auto"/>
        </w:rPr>
      </w:pPr>
      <w:r>
        <w:rPr>
          <w:rFonts w:ascii="Arial" w:cs="Arial" w:eastAsia="Arial" w:hAnsi="Arial"/>
          <w:sz w:val="20"/>
          <w:szCs w:val="20"/>
          <w:b w:val="1"/>
          <w:bCs w:val="1"/>
          <w:color w:val="61C4AF"/>
        </w:rPr>
        <w:t>100%</w:t>
      </w:r>
    </w:p>
    <w:p>
      <w:pPr>
        <w:spacing w:after="0" w:line="205" w:lineRule="exact"/>
        <w:rPr>
          <w:sz w:val="20"/>
          <w:szCs w:val="20"/>
          <w:color w:val="auto"/>
        </w:rPr>
      </w:pPr>
    </w:p>
    <w:p>
      <w:pPr>
        <w:ind w:right="120"/>
        <w:spacing w:after="0" w:line="258" w:lineRule="auto"/>
        <w:rPr>
          <w:sz w:val="20"/>
          <w:szCs w:val="20"/>
          <w:color w:val="auto"/>
        </w:rPr>
      </w:pPr>
      <w:r>
        <w:rPr>
          <w:rFonts w:ascii="Arial" w:cs="Arial" w:eastAsia="Arial" w:hAnsi="Arial"/>
          <w:sz w:val="13"/>
          <w:szCs w:val="13"/>
          <w:color w:val="auto"/>
        </w:rPr>
        <w:t>Over 96% Board and committee meeting aggregate attendance in fiscal 2020.</w:t>
      </w:r>
    </w:p>
    <w:p>
      <w:pPr>
        <w:spacing w:after="0" w:line="183" w:lineRule="exact"/>
        <w:rPr>
          <w:sz w:val="20"/>
          <w:szCs w:val="20"/>
          <w:color w:val="auto"/>
        </w:rPr>
      </w:pPr>
    </w:p>
    <w:p>
      <w:pPr>
        <w:sectPr>
          <w:pgSz w:w="11900" w:h="16838" w:orient="portrait"/>
          <w:cols w:equalWidth="0" w:num="2">
            <w:col w:w="6740" w:space="460"/>
            <w:col w:w="4040"/>
          </w:cols>
          <w:pgMar w:left="320" w:top="121" w:right="339" w:bottom="1440" w:gutter="0" w:footer="0" w:header="0"/>
          <w:type w:val="continuous"/>
        </w:sectPr>
      </w:pPr>
    </w:p>
    <w:p>
      <w:pPr>
        <w:spacing w:after="0"/>
        <w:rPr>
          <w:sz w:val="20"/>
          <w:szCs w:val="20"/>
          <w:color w:val="auto"/>
        </w:rPr>
      </w:pPr>
      <w:r>
        <w:rPr>
          <w:sz w:val="1"/>
          <w:szCs w:val="1"/>
          <w:color w:val="auto"/>
        </w:rPr>
        <w:drawing>
          <wp:inline distT="0" distB="0" distL="0" distR="0">
            <wp:extent cx="34290" cy="17145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171450"/>
                    </a:xfrm>
                    <a:prstGeom prst="rect">
                      <a:avLst/>
                    </a:prstGeom>
                    <a:noFill/>
                    <a:ln>
                      <a:noFill/>
                    </a:ln>
                  </pic:spPr>
                </pic:pic>
              </a:graphicData>
            </a:graphic>
          </wp:inline>
        </w:drawing>
      </w:r>
      <w:r>
        <w:rPr>
          <w:rFonts w:ascii="Arial" w:cs="Arial" w:eastAsia="Arial" w:hAnsi="Arial"/>
          <w:sz w:val="22"/>
          <w:szCs w:val="22"/>
          <w:b w:val="1"/>
          <w:bCs w:val="1"/>
          <w:color w:val="5FC4AF"/>
        </w:rPr>
        <w:t xml:space="preserve"> Women in Board Leadership Roles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280" w:type="dxa"/>
            <w:vAlign w:val="bottom"/>
            <w:tcBorders>
              <w:right w:val="single" w:sz="8" w:color="auto"/>
            </w:tcBorders>
          </w:tcPr>
          <w:p>
            <w:pPr>
              <w:spacing w:after="0"/>
              <w:rPr>
                <w:sz w:val="20"/>
                <w:szCs w:val="20"/>
                <w:color w:val="auto"/>
              </w:rPr>
            </w:pPr>
            <w:r>
              <w:rPr>
                <w:rFonts w:ascii="Arial" w:cs="Arial" w:eastAsia="Arial" w:hAnsi="Arial"/>
                <w:sz w:val="13"/>
                <w:szCs w:val="13"/>
                <w:b w:val="1"/>
                <w:bCs w:val="1"/>
                <w:color w:val="61C4AF"/>
              </w:rPr>
              <w:t>Lead Independent Director</w:t>
            </w:r>
          </w:p>
        </w:tc>
        <w:tc>
          <w:tcPr>
            <w:tcW w:w="1600" w:type="dxa"/>
            <w:vAlign w:val="bottom"/>
          </w:tcPr>
          <w:p>
            <w:pPr>
              <w:ind w:left="140"/>
              <w:spacing w:after="0"/>
              <w:rPr>
                <w:sz w:val="20"/>
                <w:szCs w:val="20"/>
                <w:color w:val="auto"/>
              </w:rPr>
            </w:pPr>
            <w:r>
              <w:rPr>
                <w:rFonts w:ascii="Arial" w:cs="Arial" w:eastAsia="Arial" w:hAnsi="Arial"/>
                <w:sz w:val="13"/>
                <w:szCs w:val="13"/>
                <w:b w:val="1"/>
                <w:bCs w:val="1"/>
                <w:color w:val="61C4AF"/>
              </w:rPr>
              <w:t>Audit Committee Chair</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3"/>
          <w:szCs w:val="13"/>
          <w:b w:val="1"/>
          <w:bCs w:val="1"/>
          <w:color w:val="61C4AF"/>
        </w:rPr>
        <w:t>Governance 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-83820</wp:posOffset>
            </wp:positionV>
            <wp:extent cx="8890" cy="946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890" cy="94615"/>
                    </a:xfrm>
                    <a:prstGeom prst="rect">
                      <a:avLst/>
                    </a:prstGeom>
                    <a:noFill/>
                  </pic:spPr>
                </pic:pic>
              </a:graphicData>
            </a:graphic>
          </wp:anchor>
        </w:drawing>
      </w:r>
    </w:p>
    <w:p>
      <w:pPr>
        <w:spacing w:after="0" w:line="193" w:lineRule="exact"/>
        <w:rPr>
          <w:sz w:val="20"/>
          <w:szCs w:val="20"/>
          <w:color w:val="auto"/>
        </w:rPr>
      </w:pPr>
    </w:p>
    <w:p>
      <w:pPr>
        <w:jc w:val="right"/>
        <w:spacing w:after="0"/>
        <w:tabs>
          <w:tab w:leader="none" w:pos="80" w:val="left"/>
        </w:tabs>
        <w:rPr>
          <w:sz w:val="20"/>
          <w:szCs w:val="20"/>
          <w:color w:val="auto"/>
        </w:rPr>
      </w:pPr>
      <w:r>
        <w:rPr>
          <w:rFonts w:ascii="Arial" w:cs="Arial" w:eastAsia="Arial" w:hAnsi="Arial"/>
          <w:sz w:val="13"/>
          <w:szCs w:val="13"/>
          <w:color w:val="23628F"/>
        </w:rPr>
        <w:t>2020 PROXY STATEMENT</w:t>
      </w:r>
      <w:r>
        <w:rPr>
          <w:sz w:val="20"/>
          <w:szCs w:val="20"/>
          <w:color w:val="auto"/>
        </w:rPr>
        <w:tab/>
      </w:r>
      <w:r>
        <w:rPr>
          <w:rFonts w:ascii="Arial" w:cs="Arial" w:eastAsia="Arial" w:hAnsi="Arial"/>
          <w:sz w:val="16"/>
          <w:szCs w:val="16"/>
          <w:b w:val="1"/>
          <w:bCs w:val="1"/>
          <w:color w:val="23628F"/>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158750</wp:posOffset>
            </wp:positionV>
            <wp:extent cx="715327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2">
            <w:col w:w="3940" w:space="720"/>
            <w:col w:w="6580"/>
          </w:cols>
          <w:pgMar w:left="320" w:top="121" w:right="3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23628F"/>
        </w:rPr>
        <w:t>PROXY SUMMARY</w:t>
      </w:r>
    </w:p>
    <w:p>
      <w:pPr>
        <w:spacing w:after="0" w:line="179" w:lineRule="exact"/>
        <w:rPr>
          <w:sz w:val="20"/>
          <w:szCs w:val="20"/>
          <w:color w:val="auto"/>
        </w:rPr>
      </w:pPr>
    </w:p>
    <w:p>
      <w:pPr>
        <w:spacing w:after="0"/>
        <w:rPr>
          <w:sz w:val="20"/>
          <w:szCs w:val="20"/>
          <w:color w:val="auto"/>
        </w:rPr>
      </w:pPr>
      <w:r>
        <w:rPr>
          <w:sz w:val="1"/>
          <w:szCs w:val="1"/>
          <w:color w:val="auto"/>
        </w:rPr>
        <w:drawing>
          <wp:inline distT="0" distB="0" distL="0" distR="0">
            <wp:extent cx="34290" cy="17145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171450"/>
                    </a:xfrm>
                    <a:prstGeom prst="rect">
                      <a:avLst/>
                    </a:prstGeom>
                    <a:noFill/>
                    <a:ln>
                      <a:noFill/>
                    </a:ln>
                  </pic:spPr>
                </pic:pic>
              </a:graphicData>
            </a:graphic>
          </wp:inline>
        </w:drawing>
      </w:r>
      <w:r>
        <w:rPr>
          <w:rFonts w:ascii="Arial" w:cs="Arial" w:eastAsia="Arial" w:hAnsi="Arial"/>
          <w:sz w:val="22"/>
          <w:szCs w:val="22"/>
          <w:b w:val="1"/>
          <w:bCs w:val="1"/>
          <w:color w:val="5FC4AF"/>
        </w:rPr>
        <w:t xml:space="preserve"> Director Nominee Skills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4972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4972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23628F"/>
        </w:rPr>
        <w:t>EXECUTIVE EXPERIENCE</w:t>
      </w:r>
    </w:p>
    <w:p>
      <w:pPr>
        <w:spacing w:after="0" w:line="15" w:lineRule="exact"/>
        <w:rPr>
          <w:sz w:val="20"/>
          <w:szCs w:val="20"/>
          <w:color w:val="auto"/>
        </w:rPr>
      </w:pPr>
    </w:p>
    <w:p>
      <w:pPr>
        <w:ind w:left="640" w:right="3200"/>
        <w:spacing w:after="0" w:line="258" w:lineRule="auto"/>
        <w:rPr>
          <w:sz w:val="20"/>
          <w:szCs w:val="20"/>
          <w:color w:val="auto"/>
        </w:rPr>
      </w:pPr>
      <w:r>
        <w:rPr>
          <w:rFonts w:ascii="Arial" w:cs="Arial" w:eastAsia="Arial" w:hAnsi="Arial"/>
          <w:sz w:val="13"/>
          <w:szCs w:val="13"/>
          <w:color w:val="auto"/>
        </w:rPr>
        <w:t>Experience in executive-level positions is important to gain a practical understanding of complex organizations, corporate governance, operations, talent development, strategic planning and risk management</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23628F"/>
        </w:rPr>
        <w:t>SEMICONDUCTOR EXPERIENCE</w:t>
      </w:r>
    </w:p>
    <w:p>
      <w:pPr>
        <w:spacing w:after="0" w:line="15" w:lineRule="exact"/>
        <w:rPr>
          <w:sz w:val="20"/>
          <w:szCs w:val="20"/>
          <w:color w:val="auto"/>
        </w:rPr>
      </w:pPr>
    </w:p>
    <w:p>
      <w:pPr>
        <w:ind w:left="640" w:right="3180"/>
        <w:spacing w:after="0" w:line="258" w:lineRule="auto"/>
        <w:rPr>
          <w:sz w:val="20"/>
          <w:szCs w:val="20"/>
          <w:color w:val="auto"/>
        </w:rPr>
      </w:pPr>
      <w:r>
        <w:rPr>
          <w:rFonts w:ascii="Arial" w:cs="Arial" w:eastAsia="Arial" w:hAnsi="Arial"/>
          <w:sz w:val="13"/>
          <w:szCs w:val="13"/>
          <w:color w:val="auto"/>
        </w:rPr>
        <w:t>Experience in the semiconductor industry is important in understanding our technology, products and operations, which is critical for our future growth</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23628F"/>
        </w:rPr>
        <w:t>DATA INFRASTRUCTURE EXPERIENCE</w:t>
      </w:r>
    </w:p>
    <w:p>
      <w:pPr>
        <w:spacing w:after="0" w:line="15" w:lineRule="exact"/>
        <w:rPr>
          <w:sz w:val="20"/>
          <w:szCs w:val="20"/>
          <w:color w:val="auto"/>
        </w:rPr>
      </w:pPr>
    </w:p>
    <w:p>
      <w:pPr>
        <w:ind w:left="640" w:right="3720"/>
        <w:spacing w:after="0" w:line="258" w:lineRule="auto"/>
        <w:rPr>
          <w:sz w:val="20"/>
          <w:szCs w:val="20"/>
          <w:color w:val="auto"/>
        </w:rPr>
      </w:pPr>
      <w:r>
        <w:rPr>
          <w:rFonts w:ascii="Arial" w:cs="Arial" w:eastAsia="Arial" w:hAnsi="Arial"/>
          <w:sz w:val="13"/>
          <w:szCs w:val="13"/>
          <w:color w:val="auto"/>
        </w:rPr>
        <w:t>Experience in data infrastructure, including related software, hardware and data centers, storage, protection and management is important to understanding the issues and opportunities facing our business</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23628F"/>
        </w:rPr>
        <w:t>MANUFACTURING</w:t>
      </w:r>
    </w:p>
    <w:p>
      <w:pPr>
        <w:spacing w:after="0" w:line="15" w:lineRule="exact"/>
        <w:rPr>
          <w:sz w:val="20"/>
          <w:szCs w:val="20"/>
          <w:color w:val="auto"/>
        </w:rPr>
      </w:pPr>
    </w:p>
    <w:p>
      <w:pPr>
        <w:ind w:left="640" w:right="3240"/>
        <w:spacing w:after="0" w:line="258" w:lineRule="auto"/>
        <w:rPr>
          <w:sz w:val="20"/>
          <w:szCs w:val="20"/>
          <w:color w:val="auto"/>
        </w:rPr>
      </w:pPr>
      <w:r>
        <w:rPr>
          <w:rFonts w:ascii="Arial" w:cs="Arial" w:eastAsia="Arial" w:hAnsi="Arial"/>
          <w:sz w:val="13"/>
          <w:szCs w:val="13"/>
          <w:color w:val="auto"/>
        </w:rPr>
        <w:t>Experience with sophisticated, large-scale manufacturing increases our Board’s understanding of our distribution, supply chain and manufacturing facilities</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23628F"/>
        </w:rPr>
        <w:t>OPERATIONS AND INFRASTRUCTURE</w:t>
      </w:r>
    </w:p>
    <w:p>
      <w:pPr>
        <w:spacing w:after="0" w:line="15" w:lineRule="exact"/>
        <w:rPr>
          <w:sz w:val="20"/>
          <w:szCs w:val="20"/>
          <w:color w:val="auto"/>
        </w:rPr>
      </w:pPr>
    </w:p>
    <w:p>
      <w:pPr>
        <w:ind w:left="640" w:right="3460"/>
        <w:spacing w:after="0" w:line="258" w:lineRule="auto"/>
        <w:rPr>
          <w:sz w:val="20"/>
          <w:szCs w:val="20"/>
          <w:color w:val="auto"/>
        </w:rPr>
      </w:pPr>
      <w:r>
        <w:rPr>
          <w:rFonts w:ascii="Arial" w:cs="Arial" w:eastAsia="Arial" w:hAnsi="Arial"/>
          <w:sz w:val="13"/>
          <w:szCs w:val="13"/>
          <w:color w:val="auto"/>
        </w:rPr>
        <w:t>Experience with complex, global operations assists our Board in fostering our operational excellence and adapting to evolving market conditions</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23628F"/>
        </w:rPr>
        <w:t>TECHNOLOGY/INNOVATION</w:t>
      </w:r>
    </w:p>
    <w:p>
      <w:pPr>
        <w:spacing w:after="0" w:line="15" w:lineRule="exact"/>
        <w:rPr>
          <w:sz w:val="20"/>
          <w:szCs w:val="20"/>
          <w:color w:val="auto"/>
        </w:rPr>
      </w:pPr>
    </w:p>
    <w:p>
      <w:pPr>
        <w:ind w:left="640" w:right="3440"/>
        <w:spacing w:after="0" w:line="258" w:lineRule="auto"/>
        <w:rPr>
          <w:sz w:val="20"/>
          <w:szCs w:val="20"/>
          <w:color w:val="auto"/>
        </w:rPr>
      </w:pPr>
      <w:r>
        <w:rPr>
          <w:rFonts w:ascii="Arial" w:cs="Arial" w:eastAsia="Arial" w:hAnsi="Arial"/>
          <w:sz w:val="13"/>
          <w:szCs w:val="13"/>
          <w:color w:val="auto"/>
        </w:rPr>
        <w:t>Experience in researching, developing or designing leading-edge technologies is critical for the continued growth and innovation of our business</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23628F"/>
        </w:rPr>
        <w:t>GLOBAL EXPERIENCE</w:t>
      </w:r>
    </w:p>
    <w:p>
      <w:pPr>
        <w:spacing w:after="0" w:line="15" w:lineRule="exact"/>
        <w:rPr>
          <w:sz w:val="20"/>
          <w:szCs w:val="20"/>
          <w:color w:val="auto"/>
        </w:rPr>
      </w:pPr>
    </w:p>
    <w:p>
      <w:pPr>
        <w:ind w:left="640" w:right="3120"/>
        <w:spacing w:after="0" w:line="258" w:lineRule="auto"/>
        <w:rPr>
          <w:sz w:val="20"/>
          <w:szCs w:val="20"/>
          <w:color w:val="auto"/>
        </w:rPr>
      </w:pPr>
      <w:r>
        <w:rPr>
          <w:rFonts w:ascii="Arial" w:cs="Arial" w:eastAsia="Arial" w:hAnsi="Arial"/>
          <w:sz w:val="13"/>
          <w:szCs w:val="13"/>
          <w:color w:val="auto"/>
        </w:rPr>
        <w:t>Experience with businesses with substantial international operations provides critical business and cultural perspectives to our Board and is important in understanding the strategic opportunities and risks relating to our business</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23628F"/>
        </w:rPr>
        <w:t>SALES/MARKETING</w:t>
      </w:r>
    </w:p>
    <w:p>
      <w:pPr>
        <w:spacing w:after="0" w:line="15" w:lineRule="exact"/>
        <w:rPr>
          <w:sz w:val="20"/>
          <w:szCs w:val="20"/>
          <w:color w:val="auto"/>
        </w:rPr>
      </w:pPr>
    </w:p>
    <w:p>
      <w:pPr>
        <w:ind w:left="640" w:right="3680"/>
        <w:spacing w:after="0" w:line="258" w:lineRule="auto"/>
        <w:rPr>
          <w:sz w:val="20"/>
          <w:szCs w:val="20"/>
          <w:color w:val="auto"/>
        </w:rPr>
      </w:pPr>
      <w:r>
        <w:rPr>
          <w:rFonts w:ascii="Arial" w:cs="Arial" w:eastAsia="Arial" w:hAnsi="Arial"/>
          <w:sz w:val="13"/>
          <w:szCs w:val="13"/>
          <w:color w:val="auto"/>
        </w:rPr>
        <w:t>Experience developing and executing on strategies to grow sales and market share assists our Board in advising management as we seek to develop new products and new markets for our products</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23628F"/>
        </w:rPr>
        <w:t>FINANCE AND ACCOUNTING</w:t>
      </w:r>
    </w:p>
    <w:p>
      <w:pPr>
        <w:spacing w:after="0" w:line="15" w:lineRule="exact"/>
        <w:rPr>
          <w:sz w:val="20"/>
          <w:szCs w:val="20"/>
          <w:color w:val="auto"/>
        </w:rPr>
      </w:pPr>
    </w:p>
    <w:p>
      <w:pPr>
        <w:ind w:left="640" w:right="3140"/>
        <w:spacing w:after="0" w:line="258" w:lineRule="auto"/>
        <w:rPr>
          <w:sz w:val="20"/>
          <w:szCs w:val="20"/>
          <w:color w:val="auto"/>
        </w:rPr>
      </w:pPr>
      <w:r>
        <w:rPr>
          <w:rFonts w:ascii="Arial" w:cs="Arial" w:eastAsia="Arial" w:hAnsi="Arial"/>
          <w:sz w:val="13"/>
          <w:szCs w:val="13"/>
          <w:color w:val="auto"/>
        </w:rPr>
        <w:t>Experience overseeing accounting and financial reporting is key to our Board’s oversight of our financial reporting process and internal controls</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23628F"/>
        </w:rPr>
        <w:t>CYBERSECURITY</w:t>
      </w:r>
    </w:p>
    <w:p>
      <w:pPr>
        <w:spacing w:after="0" w:line="15" w:lineRule="exact"/>
        <w:rPr>
          <w:sz w:val="20"/>
          <w:szCs w:val="20"/>
          <w:color w:val="auto"/>
        </w:rPr>
      </w:pPr>
    </w:p>
    <w:p>
      <w:pPr>
        <w:ind w:left="640" w:right="3380"/>
        <w:spacing w:after="0" w:line="258" w:lineRule="auto"/>
        <w:rPr>
          <w:sz w:val="20"/>
          <w:szCs w:val="20"/>
          <w:color w:val="auto"/>
        </w:rPr>
      </w:pPr>
      <w:r>
        <w:rPr>
          <w:rFonts w:ascii="Arial" w:cs="Arial" w:eastAsia="Arial" w:hAnsi="Arial"/>
          <w:sz w:val="13"/>
          <w:szCs w:val="13"/>
          <w:color w:val="auto"/>
        </w:rPr>
        <w:t>Experience understanding and managing information technology and cybersecurity threats is increasingly important to mitigate risks to our business</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23628F"/>
        </w:rPr>
        <w:t>RISK MANAGEMENT</w:t>
      </w:r>
    </w:p>
    <w:p>
      <w:pPr>
        <w:spacing w:after="0" w:line="15" w:lineRule="exact"/>
        <w:rPr>
          <w:sz w:val="20"/>
          <w:szCs w:val="20"/>
          <w:color w:val="auto"/>
        </w:rPr>
      </w:pPr>
    </w:p>
    <w:p>
      <w:pPr>
        <w:ind w:left="640" w:right="3460"/>
        <w:spacing w:after="0" w:line="258" w:lineRule="auto"/>
        <w:rPr>
          <w:sz w:val="20"/>
          <w:szCs w:val="20"/>
          <w:color w:val="auto"/>
        </w:rPr>
      </w:pPr>
      <w:r>
        <w:rPr>
          <w:rFonts w:ascii="Arial" w:cs="Arial" w:eastAsia="Arial" w:hAnsi="Arial"/>
          <w:sz w:val="13"/>
          <w:szCs w:val="13"/>
          <w:color w:val="auto"/>
        </w:rPr>
        <w:t>Experience in assessing and managing enterprise risks is critical to our Board’s role in overseeing our enterprise risk management program</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23628F"/>
        </w:rPr>
        <w:t>CORPORATE SUSTAINABILITY AND RESPONSIBILITY</w:t>
      </w:r>
    </w:p>
    <w:p>
      <w:pPr>
        <w:spacing w:after="0" w:line="15" w:lineRule="exact"/>
        <w:rPr>
          <w:sz w:val="20"/>
          <w:szCs w:val="20"/>
          <w:color w:val="auto"/>
        </w:rPr>
      </w:pPr>
    </w:p>
    <w:p>
      <w:pPr>
        <w:ind w:left="640" w:right="3180"/>
        <w:spacing w:after="0" w:line="258" w:lineRule="auto"/>
        <w:rPr>
          <w:sz w:val="20"/>
          <w:szCs w:val="20"/>
          <w:color w:val="auto"/>
        </w:rPr>
      </w:pPr>
      <w:r>
        <w:rPr>
          <w:rFonts w:ascii="Arial" w:cs="Arial" w:eastAsia="Arial" w:hAnsi="Arial"/>
          <w:sz w:val="13"/>
          <w:szCs w:val="13"/>
          <w:color w:val="auto"/>
        </w:rPr>
        <w:t>Experience in assessing corporate social responsibility initiatives is critical to our Board’s role in overseeing our corporate responsibility and sustainability policies and programs</w:t>
      </w:r>
    </w:p>
    <w:p>
      <w:pPr>
        <w:spacing w:after="0" w:line="81"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23628F"/>
        </w:rPr>
        <w:t>STRATEGY PLANNING</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13"/>
          <w:szCs w:val="13"/>
          <w:color w:val="auto"/>
        </w:rPr>
        <w:t>Experience setting and executing long-term corporate strategy is critical as we continue to grow our business</w:t>
      </w:r>
    </w:p>
    <w:p>
      <w:pPr>
        <w:spacing w:after="0" w:line="105"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23628F"/>
        </w:rPr>
        <w:t>HUMAN CAPITAL MANAGEMENT</w:t>
      </w:r>
    </w:p>
    <w:p>
      <w:pPr>
        <w:spacing w:after="0" w:line="15" w:lineRule="exact"/>
        <w:rPr>
          <w:sz w:val="20"/>
          <w:szCs w:val="20"/>
          <w:color w:val="auto"/>
        </w:rPr>
      </w:pPr>
    </w:p>
    <w:p>
      <w:pPr>
        <w:ind w:left="640" w:right="3360"/>
        <w:spacing w:after="0" w:line="258" w:lineRule="auto"/>
        <w:rPr>
          <w:sz w:val="20"/>
          <w:szCs w:val="20"/>
          <w:color w:val="auto"/>
        </w:rPr>
      </w:pPr>
      <w:r>
        <w:rPr>
          <w:rFonts w:ascii="Arial" w:cs="Arial" w:eastAsia="Arial" w:hAnsi="Arial"/>
          <w:sz w:val="13"/>
          <w:szCs w:val="13"/>
          <w:color w:val="auto"/>
        </w:rPr>
        <w:t>Experience in human capital management in large organizations assists our Board in overseeing succession planning, talent development and our executive compensation program</w:t>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3"/>
          <w:szCs w:val="13"/>
          <w:color w:val="auto"/>
        </w:rPr>
        <w:t>indicates “Technical or Managerial Expertise” (expertise derived from direct and hands-on experience or direct managerial experience with the subject matter during his/her career)</w:t>
      </w:r>
    </w:p>
    <w:p>
      <w:pPr>
        <w:spacing w:after="0" w:line="107" w:lineRule="exact"/>
        <w:rPr>
          <w:sz w:val="20"/>
          <w:szCs w:val="20"/>
          <w:color w:val="auto"/>
        </w:rPr>
      </w:pPr>
    </w:p>
    <w:p>
      <w:pPr>
        <w:ind w:left="380" w:right="160"/>
        <w:spacing w:after="0" w:line="258" w:lineRule="auto"/>
        <w:rPr>
          <w:sz w:val="20"/>
          <w:szCs w:val="20"/>
          <w:color w:val="auto"/>
        </w:rPr>
      </w:pPr>
      <w:r>
        <w:rPr>
          <w:rFonts w:ascii="Arial" w:cs="Arial" w:eastAsia="Arial" w:hAnsi="Arial"/>
          <w:sz w:val="13"/>
          <w:szCs w:val="13"/>
          <w:color w:val="auto"/>
        </w:rPr>
        <w:t>indicates “Working Knowledge” (experience derived through: (i) board or relevant committee membership at our company or another public company; (ii) executive leadership or board membership of a public company in the relevant industry; or (iii) consulting, investment banking, private equity investing or legal experience)</w:t>
      </w:r>
    </w:p>
    <w:p>
      <w:pPr>
        <w:spacing w:after="0" w:line="187" w:lineRule="exact"/>
        <w:rPr>
          <w:sz w:val="20"/>
          <w:szCs w:val="20"/>
          <w:color w:val="auto"/>
        </w:rPr>
      </w:pPr>
    </w:p>
    <w:p>
      <w:pPr>
        <w:ind w:left="440" w:hanging="432"/>
        <w:spacing w:after="0"/>
        <w:tabs>
          <w:tab w:leader="none" w:pos="440" w:val="left"/>
        </w:tabs>
        <w:numPr>
          <w:ilvl w:val="0"/>
          <w:numId w:val="45"/>
        </w:numPr>
        <w:rPr>
          <w:rFonts w:ascii="Arial" w:cs="Arial" w:eastAsia="Arial" w:hAnsi="Arial"/>
          <w:sz w:val="18"/>
          <w:szCs w:val="18"/>
          <w:b w:val="1"/>
          <w:bCs w:val="1"/>
          <w:color w:val="23628F"/>
        </w:rPr>
      </w:pPr>
      <w:r>
        <w:rPr>
          <w:rFonts w:ascii="Arial" w:cs="Arial" w:eastAsia="Arial" w:hAnsi="Arial"/>
          <w:sz w:val="13"/>
          <w:szCs w:val="13"/>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15327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right"/>
        <w:spacing w:after="0"/>
        <w:rPr>
          <w:sz w:val="20"/>
          <w:szCs w:val="20"/>
          <w:color w:val="auto"/>
        </w:rPr>
      </w:pPr>
      <w:r>
        <w:rPr>
          <w:rFonts w:ascii="Arial" w:cs="Arial" w:eastAsia="Arial" w:hAnsi="Arial"/>
          <w:sz w:val="13"/>
          <w:szCs w:val="13"/>
          <w:color w:val="23628F"/>
        </w:rPr>
        <w:t>PROXY SUMMARY</w:t>
      </w:r>
    </w:p>
    <w:p>
      <w:pPr>
        <w:spacing w:after="0" w:line="184" w:lineRule="exact"/>
        <w:rPr>
          <w:sz w:val="20"/>
          <w:szCs w:val="20"/>
          <w:color w:val="auto"/>
        </w:rPr>
      </w:pPr>
    </w:p>
    <w:p>
      <w:pPr>
        <w:spacing w:after="0"/>
        <w:rPr>
          <w:sz w:val="20"/>
          <w:szCs w:val="20"/>
          <w:color w:val="auto"/>
        </w:rPr>
      </w:pPr>
      <w:r>
        <w:rPr>
          <w:rFonts w:ascii="Arial" w:cs="Arial" w:eastAsia="Arial" w:hAnsi="Arial"/>
          <w:sz w:val="31"/>
          <w:szCs w:val="31"/>
          <w:b w:val="1"/>
          <w:bCs w:val="1"/>
          <w:color w:val="819DBB"/>
        </w:rPr>
        <w:t>CORPORATE GOVERNANCE HIGHLIGHTS</w:t>
      </w:r>
    </w:p>
    <w:p>
      <w:pPr>
        <w:spacing w:after="0" w:line="255" w:lineRule="exact"/>
        <w:rPr>
          <w:sz w:val="20"/>
          <w:szCs w:val="20"/>
          <w:color w:val="auto"/>
        </w:rPr>
      </w:pPr>
    </w:p>
    <w:p>
      <w:pPr>
        <w:ind w:right="400"/>
        <w:spacing w:after="0" w:line="258" w:lineRule="auto"/>
        <w:rPr>
          <w:sz w:val="20"/>
          <w:szCs w:val="20"/>
          <w:color w:val="auto"/>
        </w:rPr>
      </w:pPr>
      <w:r>
        <w:rPr>
          <w:rFonts w:ascii="Arial" w:cs="Arial" w:eastAsia="Arial" w:hAnsi="Arial"/>
          <w:sz w:val="13"/>
          <w:szCs w:val="13"/>
          <w:color w:val="auto"/>
        </w:rPr>
        <w:t>Our Board of Directors is committed to maintaining the highest standards of corporate governance. We believe our strong corporate governance practices help promote the long-term interests of our stockholders and build public trust in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234440" cy="685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34440" cy="68580"/>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CORPORATE GOVERNANCE CHANGES</w:t>
      </w:r>
    </w:p>
    <w:p>
      <w:pPr>
        <w:spacing w:after="0" w:line="252" w:lineRule="exact"/>
        <w:rPr>
          <w:sz w:val="20"/>
          <w:szCs w:val="20"/>
          <w:color w:val="auto"/>
        </w:rPr>
      </w:pPr>
    </w:p>
    <w:p>
      <w:pPr>
        <w:spacing w:after="0"/>
        <w:rPr>
          <w:sz w:val="20"/>
          <w:szCs w:val="20"/>
          <w:color w:val="auto"/>
        </w:rPr>
      </w:pPr>
      <w:r>
        <w:rPr>
          <w:rFonts w:ascii="Arial" w:cs="Arial" w:eastAsia="Arial" w:hAnsi="Arial"/>
          <w:sz w:val="13"/>
          <w:szCs w:val="13"/>
          <w:color w:val="auto"/>
        </w:rPr>
        <w:t>Below is a description of some recent key changes to our corporate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26320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26320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0" w:lineRule="exact"/>
        <w:rPr>
          <w:sz w:val="20"/>
          <w:szCs w:val="20"/>
          <w:color w:val="auto"/>
        </w:rPr>
      </w:pPr>
    </w:p>
    <w:p>
      <w:pPr>
        <w:ind w:left="500" w:right="1240"/>
        <w:spacing w:after="0" w:line="253" w:lineRule="auto"/>
        <w:rPr>
          <w:sz w:val="20"/>
          <w:szCs w:val="20"/>
          <w:color w:val="auto"/>
        </w:rPr>
      </w:pPr>
      <w:r>
        <w:rPr>
          <w:rFonts w:ascii="Arial" w:cs="Arial" w:eastAsia="Arial" w:hAnsi="Arial"/>
          <w:sz w:val="13"/>
          <w:szCs w:val="13"/>
          <w:b w:val="1"/>
          <w:bCs w:val="1"/>
          <w:color w:val="61C4AF"/>
        </w:rPr>
        <w:t>Expanded Responsibilities of Compensation and Talent Committee to Include Human Capital Management</w:t>
      </w:r>
    </w:p>
    <w:p>
      <w:pPr>
        <w:spacing w:after="0" w:line="47" w:lineRule="exact"/>
        <w:rPr>
          <w:sz w:val="20"/>
          <w:szCs w:val="20"/>
          <w:color w:val="auto"/>
        </w:rPr>
      </w:pPr>
    </w:p>
    <w:p>
      <w:pPr>
        <w:ind w:left="360" w:hanging="244"/>
        <w:spacing w:after="0" w:line="243" w:lineRule="auto"/>
        <w:tabs>
          <w:tab w:leader="none" w:pos="337" w:val="left"/>
        </w:tabs>
        <w:numPr>
          <w:ilvl w:val="0"/>
          <w:numId w:val="46"/>
        </w:numPr>
        <w:rPr>
          <w:rFonts w:ascii="Arial" w:cs="Arial" w:eastAsia="Arial" w:hAnsi="Arial"/>
          <w:sz w:val="13"/>
          <w:szCs w:val="13"/>
          <w:color w:val="61C4AF"/>
        </w:rPr>
      </w:pPr>
      <w:r>
        <w:rPr>
          <w:rFonts w:ascii="Arial" w:cs="Arial" w:eastAsia="Arial" w:hAnsi="Arial"/>
          <w:sz w:val="13"/>
          <w:szCs w:val="13"/>
          <w:color w:val="auto"/>
        </w:rPr>
        <w:t>In March 2020, we expanded the responsibilities of the Compensation and Talent Committee to include oversight of human capital issues that impact our ability to attract and retain top talent and initiatives to help minimize talent-related risks</w:t>
      </w:r>
    </w:p>
    <w:p>
      <w:pPr>
        <w:spacing w:after="0" w:line="53" w:lineRule="exact"/>
        <w:rPr>
          <w:rFonts w:ascii="Arial" w:cs="Arial" w:eastAsia="Arial" w:hAnsi="Arial"/>
          <w:sz w:val="13"/>
          <w:szCs w:val="13"/>
          <w:color w:val="61C4AF"/>
        </w:rPr>
      </w:pPr>
    </w:p>
    <w:p>
      <w:pPr>
        <w:ind w:left="360" w:right="120" w:hanging="244"/>
        <w:spacing w:after="0" w:line="243" w:lineRule="auto"/>
        <w:tabs>
          <w:tab w:leader="none" w:pos="337" w:val="left"/>
        </w:tabs>
        <w:numPr>
          <w:ilvl w:val="0"/>
          <w:numId w:val="46"/>
        </w:numPr>
        <w:rPr>
          <w:rFonts w:ascii="Arial" w:cs="Arial" w:eastAsia="Arial" w:hAnsi="Arial"/>
          <w:sz w:val="13"/>
          <w:szCs w:val="13"/>
          <w:color w:val="61C4AF"/>
        </w:rPr>
      </w:pPr>
      <w:r>
        <w:rPr>
          <w:rFonts w:ascii="Arial" w:cs="Arial" w:eastAsia="Arial" w:hAnsi="Arial"/>
          <w:sz w:val="13"/>
          <w:szCs w:val="13"/>
          <w:color w:val="auto"/>
        </w:rPr>
        <w:t>In connection with this expanded oversight responsibility, the committee periodically reviews our human capital management policies, programs and initiatives, such as those focusing on culture, talent development, retention and diversity and inclusion</w:t>
      </w:r>
    </w:p>
    <w:p>
      <w:pPr>
        <w:spacing w:after="0" w:line="66" w:lineRule="exact"/>
        <w:rPr>
          <w:rFonts w:ascii="Arial" w:cs="Arial" w:eastAsia="Arial" w:hAnsi="Arial"/>
          <w:sz w:val="13"/>
          <w:szCs w:val="13"/>
          <w:color w:val="61C4AF"/>
        </w:rPr>
      </w:pPr>
    </w:p>
    <w:p>
      <w:pPr>
        <w:ind w:left="360" w:right="200" w:hanging="244"/>
        <w:spacing w:after="0" w:line="248" w:lineRule="auto"/>
        <w:tabs>
          <w:tab w:leader="none" w:pos="337" w:val="left"/>
        </w:tabs>
        <w:numPr>
          <w:ilvl w:val="0"/>
          <w:numId w:val="46"/>
        </w:numPr>
        <w:rPr>
          <w:rFonts w:ascii="Arial" w:cs="Arial" w:eastAsia="Arial" w:hAnsi="Arial"/>
          <w:sz w:val="13"/>
          <w:szCs w:val="13"/>
          <w:color w:val="61C4AF"/>
        </w:rPr>
      </w:pPr>
      <w:r>
        <w:rPr>
          <w:rFonts w:ascii="Arial" w:cs="Arial" w:eastAsia="Arial" w:hAnsi="Arial"/>
          <w:sz w:val="13"/>
          <w:szCs w:val="13"/>
          <w:color w:val="auto"/>
        </w:rPr>
        <w:t>Our Chief Human Resources Officer also provides periodic talent-related updates to the committee for review and input</w:t>
      </w:r>
    </w:p>
    <w:p>
      <w:pPr>
        <w:spacing w:after="0" w:line="49" w:lineRule="exact"/>
        <w:rPr>
          <w:rFonts w:ascii="Arial" w:cs="Arial" w:eastAsia="Arial" w:hAnsi="Arial"/>
          <w:sz w:val="13"/>
          <w:szCs w:val="13"/>
          <w:color w:val="61C4AF"/>
        </w:rPr>
      </w:pPr>
    </w:p>
    <w:p>
      <w:pPr>
        <w:ind w:left="360" w:right="300" w:hanging="244"/>
        <w:spacing w:after="0" w:line="248" w:lineRule="auto"/>
        <w:tabs>
          <w:tab w:leader="none" w:pos="337" w:val="left"/>
        </w:tabs>
        <w:numPr>
          <w:ilvl w:val="0"/>
          <w:numId w:val="46"/>
        </w:numPr>
        <w:rPr>
          <w:rFonts w:ascii="Arial" w:cs="Arial" w:eastAsia="Arial" w:hAnsi="Arial"/>
          <w:sz w:val="13"/>
          <w:szCs w:val="13"/>
          <w:color w:val="61C4AF"/>
        </w:rPr>
      </w:pPr>
      <w:r>
        <w:rPr>
          <w:rFonts w:ascii="Arial" w:cs="Arial" w:eastAsia="Arial" w:hAnsi="Arial"/>
          <w:sz w:val="13"/>
          <w:szCs w:val="13"/>
          <w:color w:val="auto"/>
        </w:rPr>
        <w:t>Accordingly, we also renamed the committee the Compensation and Talent Committee to reflect its expanded area of responsibility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0" w:lineRule="exact"/>
        <w:rPr>
          <w:sz w:val="20"/>
          <w:szCs w:val="20"/>
          <w:color w:val="auto"/>
        </w:rPr>
      </w:pPr>
    </w:p>
    <w:p>
      <w:pPr>
        <w:ind w:left="412"/>
        <w:spacing w:after="0"/>
        <w:rPr>
          <w:sz w:val="20"/>
          <w:szCs w:val="20"/>
          <w:color w:val="auto"/>
        </w:rPr>
      </w:pPr>
      <w:r>
        <w:rPr>
          <w:rFonts w:ascii="Arial" w:cs="Arial" w:eastAsia="Arial" w:hAnsi="Arial"/>
          <w:sz w:val="13"/>
          <w:szCs w:val="13"/>
          <w:b w:val="1"/>
          <w:bCs w:val="1"/>
          <w:color w:val="61C4AF"/>
        </w:rPr>
        <w:t>Board Composition and</w:t>
      </w:r>
    </w:p>
    <w:p>
      <w:pPr>
        <w:spacing w:after="0" w:line="15" w:lineRule="exact"/>
        <w:rPr>
          <w:sz w:val="20"/>
          <w:szCs w:val="20"/>
          <w:color w:val="auto"/>
        </w:rPr>
      </w:pPr>
    </w:p>
    <w:p>
      <w:pPr>
        <w:ind w:left="412"/>
        <w:spacing w:after="0"/>
        <w:rPr>
          <w:sz w:val="20"/>
          <w:szCs w:val="20"/>
          <w:color w:val="auto"/>
        </w:rPr>
      </w:pPr>
      <w:r>
        <w:rPr>
          <w:rFonts w:ascii="Arial" w:cs="Arial" w:eastAsia="Arial" w:hAnsi="Arial"/>
          <w:sz w:val="13"/>
          <w:szCs w:val="13"/>
          <w:b w:val="1"/>
          <w:bCs w:val="1"/>
          <w:color w:val="61C4AF"/>
        </w:rPr>
        <w:t>Leadership Transitions</w:t>
      </w:r>
    </w:p>
    <w:p>
      <w:pPr>
        <w:spacing w:after="0" w:line="364" w:lineRule="exact"/>
        <w:rPr>
          <w:sz w:val="20"/>
          <w:szCs w:val="20"/>
          <w:color w:val="auto"/>
        </w:rPr>
      </w:pPr>
    </w:p>
    <w:p>
      <w:pPr>
        <w:ind w:left="232" w:right="320" w:hanging="232"/>
        <w:spacing w:after="0" w:line="248" w:lineRule="auto"/>
        <w:tabs>
          <w:tab w:leader="none" w:pos="209" w:val="left"/>
        </w:tabs>
        <w:numPr>
          <w:ilvl w:val="0"/>
          <w:numId w:val="47"/>
        </w:numPr>
        <w:rPr>
          <w:rFonts w:ascii="Arial" w:cs="Arial" w:eastAsia="Arial" w:hAnsi="Arial"/>
          <w:sz w:val="13"/>
          <w:szCs w:val="13"/>
          <w:color w:val="61C4AF"/>
        </w:rPr>
      </w:pPr>
      <w:r>
        <w:rPr>
          <w:rFonts w:ascii="Arial" w:cs="Arial" w:eastAsia="Arial" w:hAnsi="Arial"/>
          <w:sz w:val="13"/>
          <w:szCs w:val="13"/>
          <w:color w:val="auto"/>
        </w:rPr>
        <w:t>In November 2019, Henry DeNero and Michael D. Lambert retired from our Board of Directors in accordance with our retirement policy</w:t>
      </w:r>
    </w:p>
    <w:p>
      <w:pPr>
        <w:spacing w:after="0" w:line="49" w:lineRule="exact"/>
        <w:rPr>
          <w:rFonts w:ascii="Arial" w:cs="Arial" w:eastAsia="Arial" w:hAnsi="Arial"/>
          <w:sz w:val="13"/>
          <w:szCs w:val="13"/>
          <w:color w:val="61C4AF"/>
        </w:rPr>
      </w:pPr>
    </w:p>
    <w:p>
      <w:pPr>
        <w:ind w:left="232" w:hanging="232"/>
        <w:spacing w:after="0" w:line="238" w:lineRule="auto"/>
        <w:tabs>
          <w:tab w:leader="none" w:pos="209" w:val="left"/>
        </w:tabs>
        <w:numPr>
          <w:ilvl w:val="0"/>
          <w:numId w:val="47"/>
        </w:numPr>
        <w:rPr>
          <w:rFonts w:ascii="Arial" w:cs="Arial" w:eastAsia="Arial" w:hAnsi="Arial"/>
          <w:sz w:val="13"/>
          <w:szCs w:val="13"/>
          <w:color w:val="61C4AF"/>
        </w:rPr>
      </w:pPr>
      <w:r>
        <w:rPr>
          <w:rFonts w:ascii="Arial" w:cs="Arial" w:eastAsia="Arial" w:hAnsi="Arial"/>
          <w:sz w:val="13"/>
          <w:szCs w:val="13"/>
          <w:color w:val="auto"/>
        </w:rPr>
        <w:t>Following the unexpected passing of Mr. Lauer in April 2020, our Board acted quickly to designate appropriate successors for his Board leadership roles, with Ms.</w:t>
      </w:r>
    </w:p>
    <w:p>
      <w:pPr>
        <w:ind w:left="232"/>
        <w:spacing w:after="0" w:line="245" w:lineRule="auto"/>
        <w:rPr>
          <w:rFonts w:ascii="Arial" w:cs="Arial" w:eastAsia="Arial" w:hAnsi="Arial"/>
          <w:sz w:val="13"/>
          <w:szCs w:val="13"/>
          <w:color w:val="61C4AF"/>
        </w:rPr>
      </w:pPr>
      <w:r>
        <w:rPr>
          <w:rFonts w:ascii="Arial" w:cs="Arial" w:eastAsia="Arial" w:hAnsi="Arial"/>
          <w:sz w:val="13"/>
          <w:szCs w:val="13"/>
          <w:color w:val="auto"/>
        </w:rPr>
        <w:t>Cote, Mr. Cole and Ms. Streeter moving into leadership roles as our Lead Independent Director, Chair of the Compensation and Talent Committee and Chair of the Governance Committee, respectively</w:t>
      </w:r>
    </w:p>
    <w:p>
      <w:pPr>
        <w:spacing w:after="0" w:line="64" w:lineRule="exact"/>
        <w:rPr>
          <w:rFonts w:ascii="Arial" w:cs="Arial" w:eastAsia="Arial" w:hAnsi="Arial"/>
          <w:sz w:val="13"/>
          <w:szCs w:val="13"/>
          <w:color w:val="61C4AF"/>
        </w:rPr>
      </w:pPr>
    </w:p>
    <w:p>
      <w:pPr>
        <w:ind w:left="232" w:right="220" w:hanging="232"/>
        <w:spacing w:after="0" w:line="245" w:lineRule="auto"/>
        <w:tabs>
          <w:tab w:leader="none" w:pos="209" w:val="left"/>
        </w:tabs>
        <w:numPr>
          <w:ilvl w:val="0"/>
          <w:numId w:val="47"/>
        </w:numPr>
        <w:rPr>
          <w:rFonts w:ascii="Arial" w:cs="Arial" w:eastAsia="Arial" w:hAnsi="Arial"/>
          <w:sz w:val="13"/>
          <w:szCs w:val="13"/>
          <w:color w:val="61C4AF"/>
        </w:rPr>
      </w:pPr>
      <w:r>
        <w:rPr>
          <w:rFonts w:ascii="Arial" w:cs="Arial" w:eastAsia="Arial" w:hAnsi="Arial"/>
          <w:sz w:val="13"/>
          <w:szCs w:val="13"/>
          <w:color w:val="auto"/>
        </w:rPr>
        <w:t>In June 2020, Paula A. Price, former chief financial officer at Macy’s, Inc. who previously served on our Board from July 2014 to February 2019, was re-appointed and serves on the Audit Committee</w:t>
      </w:r>
    </w:p>
    <w:p>
      <w:pPr>
        <w:spacing w:after="0" w:line="51" w:lineRule="exact"/>
        <w:rPr>
          <w:rFonts w:ascii="Arial" w:cs="Arial" w:eastAsia="Arial" w:hAnsi="Arial"/>
          <w:sz w:val="13"/>
          <w:szCs w:val="13"/>
          <w:color w:val="61C4AF"/>
        </w:rPr>
      </w:pPr>
    </w:p>
    <w:p>
      <w:pPr>
        <w:jc w:val="both"/>
        <w:ind w:left="232" w:right="240" w:hanging="232"/>
        <w:spacing w:after="0" w:line="248" w:lineRule="auto"/>
        <w:tabs>
          <w:tab w:leader="none" w:pos="209" w:val="left"/>
        </w:tabs>
        <w:numPr>
          <w:ilvl w:val="0"/>
          <w:numId w:val="47"/>
        </w:numPr>
        <w:rPr>
          <w:rFonts w:ascii="Arial" w:cs="Arial" w:eastAsia="Arial" w:hAnsi="Arial"/>
          <w:sz w:val="13"/>
          <w:szCs w:val="13"/>
          <w:color w:val="61C4AF"/>
        </w:rPr>
      </w:pPr>
      <w:r>
        <w:rPr>
          <w:rFonts w:ascii="Arial" w:cs="Arial" w:eastAsia="Arial" w:hAnsi="Arial"/>
          <w:sz w:val="13"/>
          <w:szCs w:val="13"/>
          <w:color w:val="auto"/>
        </w:rPr>
        <w:t>Our Board is now comprised of an equal number of female and male directors, with three of our female directors serving in Board leadership roles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0" w:lineRule="exact"/>
        <w:rPr>
          <w:sz w:val="20"/>
          <w:szCs w:val="20"/>
          <w:color w:val="auto"/>
        </w:rPr>
      </w:pPr>
    </w:p>
    <w:p>
      <w:pPr>
        <w:ind w:left="371" w:right="1300"/>
        <w:spacing w:after="0" w:line="261" w:lineRule="auto"/>
        <w:rPr>
          <w:sz w:val="20"/>
          <w:szCs w:val="20"/>
          <w:color w:val="auto"/>
        </w:rPr>
      </w:pPr>
      <w:r>
        <w:rPr>
          <w:rFonts w:ascii="Arial" w:cs="Arial" w:eastAsia="Arial" w:hAnsi="Arial"/>
          <w:sz w:val="13"/>
          <w:szCs w:val="13"/>
          <w:b w:val="1"/>
          <w:bCs w:val="1"/>
          <w:color w:val="61C4AF"/>
        </w:rPr>
        <w:t>New Stockholder Engagement Cycle Regarding Sustainability Topics</w:t>
      </w:r>
    </w:p>
    <w:p>
      <w:pPr>
        <w:spacing w:after="0" w:line="190" w:lineRule="exact"/>
        <w:rPr>
          <w:sz w:val="20"/>
          <w:szCs w:val="20"/>
          <w:color w:val="auto"/>
        </w:rPr>
      </w:pPr>
    </w:p>
    <w:p>
      <w:pPr>
        <w:ind w:left="231" w:right="100" w:hanging="231"/>
        <w:spacing w:after="0" w:line="243" w:lineRule="auto"/>
        <w:tabs>
          <w:tab w:leader="none" w:pos="208" w:val="left"/>
        </w:tabs>
        <w:numPr>
          <w:ilvl w:val="0"/>
          <w:numId w:val="48"/>
        </w:numPr>
        <w:rPr>
          <w:rFonts w:ascii="Arial" w:cs="Arial" w:eastAsia="Arial" w:hAnsi="Arial"/>
          <w:sz w:val="13"/>
          <w:szCs w:val="13"/>
          <w:color w:val="61C4AF"/>
        </w:rPr>
      </w:pPr>
      <w:r>
        <w:rPr>
          <w:rFonts w:ascii="Arial" w:cs="Arial" w:eastAsia="Arial" w:hAnsi="Arial"/>
          <w:sz w:val="13"/>
          <w:szCs w:val="13"/>
          <w:color w:val="auto"/>
        </w:rPr>
        <w:t>In early 2020, we supplemented our robust stockholder engagement program with a new cycle of stockholder engagement specifically focused on sustainability topics to open a dialogue on stockholder priorities and concerns relating to sustainability</w:t>
      </w:r>
    </w:p>
    <w:p>
      <w:pPr>
        <w:spacing w:after="0" w:line="53" w:lineRule="exact"/>
        <w:rPr>
          <w:rFonts w:ascii="Arial" w:cs="Arial" w:eastAsia="Arial" w:hAnsi="Arial"/>
          <w:sz w:val="13"/>
          <w:szCs w:val="13"/>
          <w:color w:val="61C4AF"/>
        </w:rPr>
      </w:pPr>
    </w:p>
    <w:p>
      <w:pPr>
        <w:ind w:left="231" w:right="360" w:hanging="231"/>
        <w:spacing w:after="0" w:line="242" w:lineRule="auto"/>
        <w:tabs>
          <w:tab w:leader="none" w:pos="208" w:val="left"/>
        </w:tabs>
        <w:numPr>
          <w:ilvl w:val="0"/>
          <w:numId w:val="48"/>
        </w:numPr>
        <w:rPr>
          <w:rFonts w:ascii="Arial" w:cs="Arial" w:eastAsia="Arial" w:hAnsi="Arial"/>
          <w:sz w:val="13"/>
          <w:szCs w:val="13"/>
          <w:color w:val="61C4AF"/>
        </w:rPr>
      </w:pPr>
      <w:r>
        <w:rPr>
          <w:rFonts w:ascii="Arial" w:cs="Arial" w:eastAsia="Arial" w:hAnsi="Arial"/>
          <w:sz w:val="13"/>
          <w:szCs w:val="13"/>
          <w:color w:val="auto"/>
        </w:rPr>
        <w:t>We reached out to stockholders who expressed an interest in sustainability topics based on prior conversations, representing 37% of our shares outstanding, and conducted calls with investors representing approximately 19% of our shares outstanding</w:t>
      </w:r>
    </w:p>
    <w:p>
      <w:pPr>
        <w:spacing w:after="0" w:line="67" w:lineRule="exact"/>
        <w:rPr>
          <w:rFonts w:ascii="Arial" w:cs="Arial" w:eastAsia="Arial" w:hAnsi="Arial"/>
          <w:sz w:val="13"/>
          <w:szCs w:val="13"/>
          <w:color w:val="61C4AF"/>
        </w:rPr>
      </w:pPr>
    </w:p>
    <w:p>
      <w:pPr>
        <w:ind w:left="231" w:right="220" w:hanging="231"/>
        <w:spacing w:after="0" w:line="245" w:lineRule="auto"/>
        <w:tabs>
          <w:tab w:leader="none" w:pos="208" w:val="left"/>
        </w:tabs>
        <w:numPr>
          <w:ilvl w:val="0"/>
          <w:numId w:val="48"/>
        </w:numPr>
        <w:rPr>
          <w:rFonts w:ascii="Arial" w:cs="Arial" w:eastAsia="Arial" w:hAnsi="Arial"/>
          <w:sz w:val="13"/>
          <w:szCs w:val="13"/>
          <w:color w:val="61C4AF"/>
        </w:rPr>
      </w:pPr>
      <w:r>
        <w:rPr>
          <w:rFonts w:ascii="Arial" w:cs="Arial" w:eastAsia="Arial" w:hAnsi="Arial"/>
          <w:sz w:val="13"/>
          <w:szCs w:val="13"/>
          <w:color w:val="auto"/>
        </w:rPr>
        <w:t>These engagements reflect the deep commitment of our Board and executive leadership team to creating long-term stockholder value through active management of prioritized sustainability issues</w:t>
      </w:r>
    </w:p>
    <w:p>
      <w:pPr>
        <w:spacing w:after="0" w:line="51" w:lineRule="exact"/>
        <w:rPr>
          <w:rFonts w:ascii="Arial" w:cs="Arial" w:eastAsia="Arial" w:hAnsi="Arial"/>
          <w:sz w:val="13"/>
          <w:szCs w:val="13"/>
          <w:color w:val="61C4AF"/>
        </w:rPr>
      </w:pPr>
    </w:p>
    <w:p>
      <w:pPr>
        <w:ind w:left="231" w:right="120" w:hanging="231"/>
        <w:spacing w:after="0" w:line="245" w:lineRule="auto"/>
        <w:tabs>
          <w:tab w:leader="none" w:pos="208" w:val="left"/>
        </w:tabs>
        <w:numPr>
          <w:ilvl w:val="0"/>
          <w:numId w:val="48"/>
        </w:numPr>
        <w:rPr>
          <w:rFonts w:ascii="Arial" w:cs="Arial" w:eastAsia="Arial" w:hAnsi="Arial"/>
          <w:sz w:val="13"/>
          <w:szCs w:val="13"/>
          <w:color w:val="61C4AF"/>
        </w:rPr>
      </w:pPr>
      <w:r>
        <w:rPr>
          <w:rFonts w:ascii="Arial" w:cs="Arial" w:eastAsia="Arial" w:hAnsi="Arial"/>
          <w:sz w:val="13"/>
          <w:szCs w:val="13"/>
          <w:color w:val="auto"/>
        </w:rPr>
        <w:t>We published our 2020 Sustainability Report that aligns with both Sustainability Accounting Standards Board (“SASB”) and Global Reporting Initiative (“GRI”) standards</w:t>
      </w:r>
    </w:p>
    <w:p>
      <w:pPr>
        <w:spacing w:after="0" w:line="200" w:lineRule="exact"/>
        <w:rPr>
          <w:sz w:val="20"/>
          <w:szCs w:val="20"/>
          <w:color w:val="auto"/>
        </w:rPr>
      </w:pPr>
    </w:p>
    <w:p>
      <w:pPr>
        <w:sectPr>
          <w:pgSz w:w="11900" w:h="16838" w:orient="portrait"/>
          <w:cols w:equalWidth="0" w:num="3">
            <w:col w:w="3600" w:space="228"/>
            <w:col w:w="3512" w:space="309"/>
            <w:col w:w="3591"/>
          </w:cols>
          <w:pgMar w:left="320" w:top="121" w:right="339" w:bottom="1440" w:gutter="0" w:footer="0" w:header="0"/>
          <w:type w:val="continuous"/>
        </w:sectPr>
      </w:pPr>
    </w:p>
    <w:p>
      <w:pPr>
        <w:spacing w:after="0" w:line="319" w:lineRule="exact"/>
        <w:rPr>
          <w:sz w:val="20"/>
          <w:szCs w:val="20"/>
          <w:color w:val="auto"/>
        </w:rPr>
      </w:pPr>
    </w:p>
    <w:p>
      <w:pPr>
        <w:ind w:left="9220"/>
        <w:spacing w:after="0"/>
        <w:tabs>
          <w:tab w:leader="none" w:pos="11020" w:val="left"/>
        </w:tabs>
        <w:rPr>
          <w:sz w:val="20"/>
          <w:szCs w:val="20"/>
          <w:color w:val="auto"/>
        </w:rPr>
      </w:pPr>
      <w:r>
        <w:rPr>
          <w:rFonts w:ascii="Arial" w:cs="Arial" w:eastAsia="Arial" w:hAnsi="Arial"/>
          <w:sz w:val="13"/>
          <w:szCs w:val="13"/>
          <w:color w:val="23628F"/>
        </w:rPr>
        <w:t>2020 PROXY STATEMENT</w:t>
      </w:r>
      <w:r>
        <w:rPr>
          <w:sz w:val="20"/>
          <w:szCs w:val="20"/>
          <w:color w:val="auto"/>
        </w:rPr>
        <w:tab/>
      </w:r>
      <w:r>
        <w:rPr>
          <w:rFonts w:ascii="Arial" w:cs="Arial" w:eastAsia="Arial" w:hAnsi="Arial"/>
          <w:sz w:val="16"/>
          <w:szCs w:val="16"/>
          <w:b w:val="1"/>
          <w:bCs w:val="1"/>
          <w:color w:val="23628F"/>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15327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23628F"/>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234440" cy="685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34440" cy="68580"/>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CORPORATE GOVERNANCE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23831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2383155"/>
                    </a:xfrm>
                    <a:prstGeom prst="rect">
                      <a:avLst/>
                    </a:prstGeom>
                    <a:noFill/>
                  </pic:spPr>
                </pic:pic>
              </a:graphicData>
            </a:graphic>
          </wp:anchor>
        </w:drawing>
      </w:r>
    </w:p>
    <w:p>
      <w:pPr>
        <w:spacing w:after="0" w:line="340" w:lineRule="exact"/>
        <w:rPr>
          <w:sz w:val="20"/>
          <w:szCs w:val="20"/>
          <w:color w:val="auto"/>
        </w:rPr>
      </w:pPr>
    </w:p>
    <w:p>
      <w:pPr>
        <w:ind w:left="200"/>
        <w:spacing w:after="0"/>
        <w:rPr>
          <w:sz w:val="20"/>
          <w:szCs w:val="20"/>
          <w:color w:val="auto"/>
        </w:rPr>
      </w:pPr>
      <w:r>
        <w:rPr>
          <w:sz w:val="1"/>
          <w:szCs w:val="1"/>
          <w:color w:val="auto"/>
        </w:rPr>
        <w:drawing>
          <wp:inline distT="0" distB="0" distL="0" distR="0">
            <wp:extent cx="128270" cy="128905"/>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Arial" w:cs="Arial" w:eastAsia="Arial" w:hAnsi="Arial"/>
          <w:sz w:val="13"/>
          <w:szCs w:val="13"/>
          <w:color w:val="auto"/>
        </w:rPr>
        <w:t xml:space="preserve"> Robust year-round Board-led stockholder engagement program that informs Board decisions</w:t>
      </w:r>
    </w:p>
    <w:p>
      <w:pPr>
        <w:spacing w:after="0" w:line="26" w:lineRule="exact"/>
        <w:rPr>
          <w:sz w:val="20"/>
          <w:szCs w:val="20"/>
          <w:color w:val="auto"/>
        </w:rPr>
      </w:pPr>
    </w:p>
    <w:p>
      <w:pPr>
        <w:ind w:left="200"/>
        <w:spacing w:after="0"/>
        <w:rPr>
          <w:sz w:val="20"/>
          <w:szCs w:val="20"/>
          <w:color w:val="auto"/>
        </w:rPr>
      </w:pPr>
      <w:r>
        <w:rPr>
          <w:sz w:val="1"/>
          <w:szCs w:val="1"/>
          <w:color w:val="auto"/>
        </w:rPr>
        <w:drawing>
          <wp:inline distT="0" distB="0" distL="0" distR="0">
            <wp:extent cx="128270" cy="12827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r>
      <w:r>
        <w:rPr>
          <w:rFonts w:ascii="Arial" w:cs="Arial" w:eastAsia="Arial" w:hAnsi="Arial"/>
          <w:sz w:val="13"/>
          <w:szCs w:val="13"/>
          <w:color w:val="auto"/>
        </w:rPr>
        <w:t xml:space="preserve"> Independent Board leadership, including a Lead Independent Director with clearly defined roles and responsibilities</w:t>
      </w:r>
    </w:p>
    <w:p>
      <w:pPr>
        <w:spacing w:after="0" w:line="26" w:lineRule="exact"/>
        <w:rPr>
          <w:sz w:val="20"/>
          <w:szCs w:val="20"/>
          <w:color w:val="auto"/>
        </w:rPr>
      </w:pPr>
    </w:p>
    <w:p>
      <w:pPr>
        <w:ind w:left="200"/>
        <w:spacing w:after="0"/>
        <w:rPr>
          <w:sz w:val="20"/>
          <w:szCs w:val="20"/>
          <w:color w:val="auto"/>
        </w:rPr>
      </w:pPr>
      <w:r>
        <w:rPr>
          <w:sz w:val="1"/>
          <w:szCs w:val="1"/>
          <w:color w:val="auto"/>
        </w:rPr>
        <w:drawing>
          <wp:inline distT="0" distB="0" distL="0" distR="0">
            <wp:extent cx="128270" cy="128905"/>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Arial" w:cs="Arial" w:eastAsia="Arial" w:hAnsi="Arial"/>
          <w:sz w:val="13"/>
          <w:szCs w:val="13"/>
          <w:color w:val="auto"/>
        </w:rPr>
        <w:t xml:space="preserve"> Commitment to Board diversity, achieving 50% female representation on our Board in fiscal 2020</w:t>
      </w:r>
    </w:p>
    <w:p>
      <w:pPr>
        <w:spacing w:after="0" w:line="26" w:lineRule="exact"/>
        <w:rPr>
          <w:sz w:val="20"/>
          <w:szCs w:val="20"/>
          <w:color w:val="auto"/>
        </w:rPr>
      </w:pPr>
    </w:p>
    <w:p>
      <w:pPr>
        <w:ind w:left="200"/>
        <w:spacing w:after="0"/>
        <w:rPr>
          <w:sz w:val="20"/>
          <w:szCs w:val="20"/>
          <w:color w:val="auto"/>
        </w:rPr>
      </w:pPr>
      <w:r>
        <w:rPr>
          <w:sz w:val="1"/>
          <w:szCs w:val="1"/>
          <w:color w:val="auto"/>
        </w:rPr>
        <w:drawing>
          <wp:inline distT="0" distB="0" distL="0" distR="0">
            <wp:extent cx="128270" cy="128905"/>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Arial" w:cs="Arial" w:eastAsia="Arial" w:hAnsi="Arial"/>
          <w:sz w:val="13"/>
          <w:szCs w:val="13"/>
          <w:color w:val="auto"/>
        </w:rPr>
        <w:t xml:space="preserve"> All directors elected annually by a simple majority of votes cast</w:t>
      </w:r>
    </w:p>
    <w:p>
      <w:pPr>
        <w:spacing w:after="0" w:line="26" w:lineRule="exact"/>
        <w:rPr>
          <w:sz w:val="20"/>
          <w:szCs w:val="20"/>
          <w:color w:val="auto"/>
        </w:rPr>
      </w:pPr>
    </w:p>
    <w:p>
      <w:pPr>
        <w:ind w:left="200"/>
        <w:spacing w:after="0"/>
        <w:rPr>
          <w:sz w:val="20"/>
          <w:szCs w:val="20"/>
          <w:color w:val="auto"/>
        </w:rPr>
      </w:pPr>
      <w:r>
        <w:rPr>
          <w:sz w:val="1"/>
          <w:szCs w:val="1"/>
          <w:color w:val="auto"/>
        </w:rPr>
        <w:drawing>
          <wp:inline distT="0" distB="0" distL="0" distR="0">
            <wp:extent cx="128270" cy="12890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Arial" w:cs="Arial" w:eastAsia="Arial" w:hAnsi="Arial"/>
          <w:sz w:val="13"/>
          <w:szCs w:val="13"/>
          <w:color w:val="auto"/>
        </w:rPr>
        <w:t xml:space="preserve"> Seven of eight director nominees are independent</w:t>
      </w:r>
    </w:p>
    <w:p>
      <w:pPr>
        <w:spacing w:after="0" w:line="26" w:lineRule="exact"/>
        <w:rPr>
          <w:sz w:val="20"/>
          <w:szCs w:val="20"/>
          <w:color w:val="auto"/>
        </w:rPr>
      </w:pPr>
    </w:p>
    <w:p>
      <w:pPr>
        <w:ind w:left="200"/>
        <w:spacing w:after="0"/>
        <w:rPr>
          <w:sz w:val="20"/>
          <w:szCs w:val="20"/>
          <w:color w:val="auto"/>
        </w:rPr>
      </w:pPr>
      <w:r>
        <w:rPr>
          <w:sz w:val="1"/>
          <w:szCs w:val="1"/>
          <w:color w:val="auto"/>
        </w:rPr>
        <w:drawing>
          <wp:inline distT="0" distB="0" distL="0" distR="0">
            <wp:extent cx="128270" cy="128905"/>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Arial" w:cs="Arial" w:eastAsia="Arial" w:hAnsi="Arial"/>
          <w:sz w:val="13"/>
          <w:szCs w:val="13"/>
          <w:color w:val="auto"/>
        </w:rPr>
        <w:t xml:space="preserve"> Director retirement policy</w:t>
      </w:r>
    </w:p>
    <w:p>
      <w:pPr>
        <w:spacing w:after="0" w:line="26" w:lineRule="exact"/>
        <w:rPr>
          <w:sz w:val="20"/>
          <w:szCs w:val="20"/>
          <w:color w:val="auto"/>
        </w:rPr>
      </w:pPr>
    </w:p>
    <w:p>
      <w:pPr>
        <w:ind w:left="200"/>
        <w:spacing w:after="0"/>
        <w:rPr>
          <w:sz w:val="20"/>
          <w:szCs w:val="20"/>
          <w:color w:val="auto"/>
        </w:rPr>
      </w:pPr>
      <w:r>
        <w:rPr>
          <w:sz w:val="1"/>
          <w:szCs w:val="1"/>
          <w:color w:val="auto"/>
        </w:rPr>
        <w:drawing>
          <wp:inline distT="0" distB="0" distL="0" distR="0">
            <wp:extent cx="128270" cy="12890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Arial" w:cs="Arial" w:eastAsia="Arial" w:hAnsi="Arial"/>
          <w:sz w:val="13"/>
          <w:szCs w:val="13"/>
          <w:color w:val="auto"/>
        </w:rPr>
        <w:t xml:space="preserve"> Active Board oversight of strategic planning and risk management</w:t>
      </w:r>
    </w:p>
    <w:p>
      <w:pPr>
        <w:spacing w:after="0" w:line="26" w:lineRule="exact"/>
        <w:rPr>
          <w:sz w:val="20"/>
          <w:szCs w:val="20"/>
          <w:color w:val="auto"/>
        </w:rPr>
      </w:pPr>
    </w:p>
    <w:p>
      <w:pPr>
        <w:ind w:left="200"/>
        <w:spacing w:after="0"/>
        <w:rPr>
          <w:sz w:val="20"/>
          <w:szCs w:val="20"/>
          <w:color w:val="auto"/>
        </w:rPr>
      </w:pPr>
      <w:r>
        <w:rPr>
          <w:sz w:val="1"/>
          <w:szCs w:val="1"/>
          <w:color w:val="auto"/>
        </w:rPr>
        <w:drawing>
          <wp:inline distT="0" distB="0" distL="0" distR="0">
            <wp:extent cx="128270" cy="128905"/>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Arial" w:cs="Arial" w:eastAsia="Arial" w:hAnsi="Arial"/>
          <w:sz w:val="13"/>
          <w:szCs w:val="13"/>
          <w:color w:val="auto"/>
        </w:rPr>
        <w:t xml:space="preserve"> Board-level oversight of corporate responsibility, sustainability and human capital management</w:t>
      </w:r>
    </w:p>
    <w:p>
      <w:pPr>
        <w:spacing w:after="0" w:line="26" w:lineRule="exact"/>
        <w:rPr>
          <w:sz w:val="20"/>
          <w:szCs w:val="20"/>
          <w:color w:val="auto"/>
        </w:rPr>
      </w:pPr>
    </w:p>
    <w:p>
      <w:pPr>
        <w:ind w:left="200"/>
        <w:spacing w:after="0"/>
        <w:rPr>
          <w:sz w:val="20"/>
          <w:szCs w:val="20"/>
          <w:color w:val="auto"/>
        </w:rPr>
      </w:pPr>
      <w:r>
        <w:rPr>
          <w:sz w:val="1"/>
          <w:szCs w:val="1"/>
          <w:color w:val="auto"/>
        </w:rPr>
        <w:drawing>
          <wp:inline distT="0" distB="0" distL="0" distR="0">
            <wp:extent cx="128270" cy="128905"/>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Arial" w:cs="Arial" w:eastAsia="Arial" w:hAnsi="Arial"/>
          <w:sz w:val="13"/>
          <w:szCs w:val="13"/>
          <w:color w:val="auto"/>
        </w:rPr>
        <w:t xml:space="preserve"> Succession planning for directors, our Chief Executive Officer and other key officers</w:t>
      </w:r>
    </w:p>
    <w:p>
      <w:pPr>
        <w:spacing w:after="0" w:line="26" w:lineRule="exact"/>
        <w:rPr>
          <w:sz w:val="20"/>
          <w:szCs w:val="20"/>
          <w:color w:val="auto"/>
        </w:rPr>
      </w:pPr>
    </w:p>
    <w:p>
      <w:pPr>
        <w:ind w:left="200"/>
        <w:spacing w:after="0"/>
        <w:rPr>
          <w:sz w:val="20"/>
          <w:szCs w:val="20"/>
          <w:color w:val="auto"/>
        </w:rPr>
      </w:pPr>
      <w:r>
        <w:rPr>
          <w:sz w:val="1"/>
          <w:szCs w:val="1"/>
          <w:color w:val="auto"/>
        </w:rPr>
        <w:drawing>
          <wp:inline distT="0" distB="0" distL="0" distR="0">
            <wp:extent cx="128270" cy="128905"/>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Arial" w:cs="Arial" w:eastAsia="Arial" w:hAnsi="Arial"/>
          <w:sz w:val="13"/>
          <w:szCs w:val="13"/>
          <w:color w:val="auto"/>
        </w:rPr>
        <w:t xml:space="preserve"> Annual third-party facilitated Board and committee self-evaluations</w:t>
      </w:r>
    </w:p>
    <w:p>
      <w:pPr>
        <w:spacing w:after="0" w:line="26" w:lineRule="exact"/>
        <w:rPr>
          <w:sz w:val="20"/>
          <w:szCs w:val="20"/>
          <w:color w:val="auto"/>
        </w:rPr>
      </w:pPr>
    </w:p>
    <w:p>
      <w:pPr>
        <w:ind w:left="200"/>
        <w:spacing w:after="0"/>
        <w:rPr>
          <w:sz w:val="20"/>
          <w:szCs w:val="20"/>
          <w:color w:val="auto"/>
        </w:rPr>
      </w:pPr>
      <w:r>
        <w:rPr>
          <w:sz w:val="1"/>
          <w:szCs w:val="1"/>
          <w:color w:val="auto"/>
        </w:rPr>
        <w:drawing>
          <wp:inline distT="0" distB="0" distL="0" distR="0">
            <wp:extent cx="128270" cy="128905"/>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Arial" w:cs="Arial" w:eastAsia="Arial" w:hAnsi="Arial"/>
          <w:sz w:val="13"/>
          <w:szCs w:val="13"/>
          <w:color w:val="auto"/>
        </w:rPr>
        <w:t xml:space="preserve"> Individual assessments of directors</w:t>
      </w:r>
    </w:p>
    <w:p>
      <w:pPr>
        <w:spacing w:after="0" w:line="26" w:lineRule="exact"/>
        <w:rPr>
          <w:sz w:val="20"/>
          <w:szCs w:val="20"/>
          <w:color w:val="auto"/>
        </w:rPr>
      </w:pPr>
    </w:p>
    <w:p>
      <w:pPr>
        <w:ind w:left="200"/>
        <w:spacing w:after="0"/>
        <w:rPr>
          <w:sz w:val="20"/>
          <w:szCs w:val="20"/>
          <w:color w:val="auto"/>
        </w:rPr>
      </w:pPr>
      <w:r>
        <w:rPr>
          <w:sz w:val="1"/>
          <w:szCs w:val="1"/>
          <w:color w:val="auto"/>
        </w:rPr>
        <w:drawing>
          <wp:inline distT="0" distB="0" distL="0" distR="0">
            <wp:extent cx="128270" cy="128905"/>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Arial" w:cs="Arial" w:eastAsia="Arial" w:hAnsi="Arial"/>
          <w:sz w:val="13"/>
          <w:szCs w:val="13"/>
          <w:color w:val="auto"/>
        </w:rPr>
        <w:t xml:space="preserve"> Code of conduct for directors, officers and employees</w:t>
      </w:r>
    </w:p>
    <w:p>
      <w:pPr>
        <w:spacing w:after="0" w:line="26" w:lineRule="exact"/>
        <w:rPr>
          <w:sz w:val="20"/>
          <w:szCs w:val="20"/>
          <w:color w:val="auto"/>
        </w:rPr>
      </w:pPr>
    </w:p>
    <w:p>
      <w:pPr>
        <w:ind w:left="200"/>
        <w:spacing w:after="0"/>
        <w:rPr>
          <w:sz w:val="20"/>
          <w:szCs w:val="20"/>
          <w:color w:val="auto"/>
        </w:rPr>
      </w:pPr>
      <w:r>
        <w:rPr>
          <w:sz w:val="1"/>
          <w:szCs w:val="1"/>
          <w:color w:val="auto"/>
        </w:rPr>
        <w:drawing>
          <wp:inline distT="0" distB="0" distL="0" distR="0">
            <wp:extent cx="128270" cy="128905"/>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Arial" w:cs="Arial" w:eastAsia="Arial" w:hAnsi="Arial"/>
          <w:sz w:val="13"/>
          <w:szCs w:val="13"/>
          <w:color w:val="auto"/>
        </w:rPr>
        <w:t xml:space="preserve"> All non-employee directors are subject to stock ownership requirements</w:t>
      </w:r>
    </w:p>
    <w:p>
      <w:pPr>
        <w:spacing w:after="0" w:line="26" w:lineRule="exact"/>
        <w:rPr>
          <w:sz w:val="20"/>
          <w:szCs w:val="20"/>
          <w:color w:val="auto"/>
        </w:rPr>
      </w:pPr>
    </w:p>
    <w:p>
      <w:pPr>
        <w:ind w:left="200"/>
        <w:spacing w:after="0"/>
        <w:rPr>
          <w:sz w:val="20"/>
          <w:szCs w:val="20"/>
          <w:color w:val="auto"/>
        </w:rPr>
      </w:pPr>
      <w:r>
        <w:rPr>
          <w:sz w:val="1"/>
          <w:szCs w:val="1"/>
          <w:color w:val="auto"/>
        </w:rPr>
        <w:drawing>
          <wp:inline distT="0" distB="0" distL="0" distR="0">
            <wp:extent cx="128270" cy="12890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Arial" w:cs="Arial" w:eastAsia="Arial" w:hAnsi="Arial"/>
          <w:sz w:val="13"/>
          <w:szCs w:val="13"/>
          <w:color w:val="auto"/>
        </w:rPr>
        <w:t xml:space="preserve"> All executive officers achieved stock ownership requirements pursuant to our guidelines</w:t>
      </w:r>
    </w:p>
    <w:p>
      <w:pPr>
        <w:spacing w:after="0" w:line="293" w:lineRule="exact"/>
        <w:rPr>
          <w:sz w:val="20"/>
          <w:szCs w:val="20"/>
          <w:color w:val="auto"/>
        </w:rPr>
      </w:pPr>
    </w:p>
    <w:p>
      <w:pPr>
        <w:spacing w:after="0"/>
        <w:rPr>
          <w:sz w:val="20"/>
          <w:szCs w:val="20"/>
          <w:color w:val="auto"/>
        </w:rPr>
      </w:pPr>
      <w:r>
        <w:rPr>
          <w:rFonts w:ascii="Arial" w:cs="Arial" w:eastAsia="Arial" w:hAnsi="Arial"/>
          <w:sz w:val="31"/>
          <w:szCs w:val="31"/>
          <w:b w:val="1"/>
          <w:bCs w:val="1"/>
          <w:color w:val="819DBB"/>
        </w:rPr>
        <w:t>FISCAL 2020 EXECUTIVE 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1234440" cy="685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34440" cy="68580"/>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FISCAL 2020 PAY ALIGNED WITH PERFORMANCE</w:t>
      </w:r>
    </w:p>
    <w:p>
      <w:pPr>
        <w:spacing w:after="0" w:line="238" w:lineRule="exact"/>
        <w:rPr>
          <w:sz w:val="20"/>
          <w:szCs w:val="20"/>
          <w:color w:val="auto"/>
        </w:rPr>
      </w:pPr>
    </w:p>
    <w:p>
      <w:pPr>
        <w:spacing w:after="0" w:line="281" w:lineRule="auto"/>
        <w:rPr>
          <w:sz w:val="20"/>
          <w:szCs w:val="20"/>
          <w:color w:val="auto"/>
        </w:rPr>
      </w:pPr>
      <w:r>
        <w:rPr>
          <w:rFonts w:ascii="Arial" w:cs="Arial" w:eastAsia="Arial" w:hAnsi="Arial"/>
          <w:sz w:val="13"/>
          <w:szCs w:val="13"/>
          <w:i w:val="1"/>
          <w:iCs w:val="1"/>
          <w:color w:val="auto"/>
        </w:rPr>
        <w:t xml:space="preserve">Our overriding executive compensation philosophy is clear and consistent — we pay for performance. </w:t>
      </w:r>
      <w:r>
        <w:rPr>
          <w:rFonts w:ascii="Arial" w:cs="Arial" w:eastAsia="Arial" w:hAnsi="Arial"/>
          <w:sz w:val="13"/>
          <w:szCs w:val="13"/>
          <w:color w:val="auto"/>
        </w:rPr>
        <w:t>Our executives are accountable for our performance and the operations they manage</w:t>
      </w:r>
      <w:r>
        <w:rPr>
          <w:rFonts w:ascii="Arial" w:cs="Arial" w:eastAsia="Arial" w:hAnsi="Arial"/>
          <w:sz w:val="13"/>
          <w:szCs w:val="13"/>
          <w:i w:val="1"/>
          <w:iCs w:val="1"/>
          <w:color w:val="auto"/>
        </w:rPr>
        <w:t xml:space="preserve"> </w:t>
      </w:r>
      <w:r>
        <w:rPr>
          <w:rFonts w:ascii="Arial" w:cs="Arial" w:eastAsia="Arial" w:hAnsi="Arial"/>
          <w:sz w:val="13"/>
          <w:szCs w:val="13"/>
          <w:color w:val="auto"/>
        </w:rPr>
        <w:t>and are compensated primarily based on that performance.</w:t>
      </w:r>
    </w:p>
    <w:p>
      <w:pPr>
        <w:spacing w:after="0" w:line="144"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Pay for Performance Design</w:t>
      </w:r>
    </w:p>
    <w:p>
      <w:pPr>
        <w:spacing w:after="0" w:line="257" w:lineRule="exact"/>
        <w:rPr>
          <w:sz w:val="20"/>
          <w:szCs w:val="20"/>
          <w:color w:val="auto"/>
        </w:rPr>
      </w:pPr>
    </w:p>
    <w:p>
      <w:pPr>
        <w:ind w:right="40"/>
        <w:spacing w:after="0" w:line="242" w:lineRule="auto"/>
        <w:rPr>
          <w:sz w:val="20"/>
          <w:szCs w:val="20"/>
          <w:color w:val="auto"/>
        </w:rPr>
      </w:pPr>
      <w:r>
        <w:rPr>
          <w:rFonts w:ascii="Arial" w:cs="Arial" w:eastAsia="Arial" w:hAnsi="Arial"/>
          <w:sz w:val="13"/>
          <w:szCs w:val="13"/>
          <w:color w:val="auto"/>
        </w:rPr>
        <w:t>The charts below illustrate the mix of fiscal 2020 fixed pay (annualized base salary as in effect at the end of fiscal 2020) and variable or performance-based pay (annual Short-Term Incentive (“STI”) target and annual Long-Term Incentive (“LTI”) awards based on the target award value approved by the Compensation and Talent Committee) for our former Chief Executive Officer, Stephen D. Milligan, and our other named executive officers (on average). Our current Chief Executive Officer, Mr. Goeckeler, received transition awards in fiscal 2020 in connection with his appointment as our Chief Executive Officer in March 2020, and his annual STI target was prorated for fiscal 2020. Therefore, his compensation arrangements for fiscal 2020 were not comparable to our other named executive officers and are not included in the charts below. For a summary of Mr. Goeckeler’s fiscal 2020 compensation, please refer to our discussion on pages 52 to 55 in the section entitled “Executive Compensation—Compensation Discussion and Analysis—Chief Executive Officer Transition.”</w:t>
      </w:r>
    </w:p>
    <w:p>
      <w:pPr>
        <w:sectPr>
          <w:pgSz w:w="11900" w:h="16838" w:orient="portrait"/>
          <w:cols w:equalWidth="0" w:num="1">
            <w:col w:w="11200"/>
          </w:cols>
          <w:pgMar w:left="320" w:top="121" w:right="379" w:bottom="1440" w:gutter="0" w:footer="0" w:header="0"/>
        </w:sectPr>
      </w:pPr>
    </w:p>
    <w:p>
      <w:pPr>
        <w:spacing w:after="0" w:line="171"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61C4AF"/>
        </w:rPr>
        <w:t>Chief Executive Officer Pay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-132080</wp:posOffset>
            </wp:positionV>
            <wp:extent cx="34290" cy="4629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629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61C4AF"/>
        </w:rPr>
        <w:t>Named Executive Officer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-139065</wp:posOffset>
            </wp:positionV>
            <wp:extent cx="34290" cy="4629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62915"/>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b w:val="1"/>
          <w:bCs w:val="1"/>
          <w:color w:val="61C4AF"/>
        </w:rPr>
        <w:t>Pay Mix (other than Chief Executive</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b w:val="1"/>
          <w:bCs w:val="1"/>
          <w:color w:val="61C4A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-2656840</wp:posOffset>
            </wp:positionH>
            <wp:positionV relativeFrom="paragraph">
              <wp:posOffset>66675</wp:posOffset>
            </wp:positionV>
            <wp:extent cx="4354830" cy="10287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354830" cy="10287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60" w:space="720"/>
            <w:col w:w="4820"/>
          </w:cols>
          <w:pgMar w:left="320" w:top="121"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40" w:hanging="432"/>
        <w:spacing w:after="0"/>
        <w:tabs>
          <w:tab w:leader="none" w:pos="440" w:val="left"/>
        </w:tabs>
        <w:numPr>
          <w:ilvl w:val="0"/>
          <w:numId w:val="49"/>
        </w:numPr>
        <w:rPr>
          <w:rFonts w:ascii="Arial" w:cs="Arial" w:eastAsia="Arial" w:hAnsi="Arial"/>
          <w:sz w:val="18"/>
          <w:szCs w:val="18"/>
          <w:b w:val="1"/>
          <w:bCs w:val="1"/>
          <w:color w:val="23628F"/>
        </w:rPr>
      </w:pPr>
      <w:r>
        <w:rPr>
          <w:rFonts w:ascii="Arial" w:cs="Arial" w:eastAsia="Arial" w:hAnsi="Arial"/>
          <w:sz w:val="13"/>
          <w:szCs w:val="13"/>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153275"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right"/>
        <w:spacing w:after="0"/>
        <w:rPr>
          <w:sz w:val="20"/>
          <w:szCs w:val="20"/>
          <w:color w:val="auto"/>
        </w:rPr>
      </w:pPr>
      <w:r>
        <w:rPr>
          <w:rFonts w:ascii="Arial" w:cs="Arial" w:eastAsia="Arial" w:hAnsi="Arial"/>
          <w:sz w:val="13"/>
          <w:szCs w:val="13"/>
          <w:color w:val="23628F"/>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234440" cy="685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34440" cy="68580"/>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2020 STOCKHOLDER ENGAGEMENT</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634"/>
        </w:trPr>
        <w:tc>
          <w:tcPr>
            <w:tcW w:w="2700" w:type="dxa"/>
            <w:vAlign w:val="bottom"/>
            <w:shd w:val="clear" w:color="auto" w:fill="53778D"/>
          </w:tcPr>
          <w:p>
            <w:pPr>
              <w:ind w:left="1240"/>
              <w:spacing w:after="0"/>
              <w:rPr>
                <w:sz w:val="20"/>
                <w:szCs w:val="20"/>
                <w:color w:val="auto"/>
              </w:rPr>
            </w:pPr>
            <w:r>
              <w:rPr>
                <w:rFonts w:ascii="Arial" w:cs="Arial" w:eastAsia="Arial" w:hAnsi="Arial"/>
                <w:sz w:val="13"/>
                <w:szCs w:val="13"/>
                <w:b w:val="1"/>
                <w:bCs w:val="1"/>
                <w:color w:val="FFFFFF"/>
              </w:rPr>
              <w:t>Fall</w:t>
            </w:r>
          </w:p>
        </w:tc>
        <w:tc>
          <w:tcPr>
            <w:tcW w:w="260" w:type="dxa"/>
            <w:vAlign w:val="bottom"/>
          </w:tcPr>
          <w:p>
            <w:pPr>
              <w:spacing w:after="0"/>
              <w:rPr>
                <w:sz w:val="24"/>
                <w:szCs w:val="24"/>
                <w:color w:val="auto"/>
              </w:rPr>
            </w:pPr>
          </w:p>
        </w:tc>
        <w:tc>
          <w:tcPr>
            <w:tcW w:w="2580" w:type="dxa"/>
            <w:vAlign w:val="bottom"/>
            <w:shd w:val="clear" w:color="auto" w:fill="6EAFA7"/>
          </w:tcPr>
          <w:p>
            <w:pPr>
              <w:ind w:left="1080"/>
              <w:spacing w:after="0"/>
              <w:rPr>
                <w:sz w:val="20"/>
                <w:szCs w:val="20"/>
                <w:color w:val="auto"/>
              </w:rPr>
            </w:pPr>
            <w:r>
              <w:rPr>
                <w:rFonts w:ascii="Arial" w:cs="Arial" w:eastAsia="Arial" w:hAnsi="Arial"/>
                <w:sz w:val="13"/>
                <w:szCs w:val="13"/>
                <w:b w:val="1"/>
                <w:bCs w:val="1"/>
                <w:color w:val="FFFFFF"/>
              </w:rPr>
              <w:t>Winter</w:t>
            </w:r>
          </w:p>
        </w:tc>
        <w:tc>
          <w:tcPr>
            <w:tcW w:w="220" w:type="dxa"/>
            <w:vAlign w:val="bottom"/>
          </w:tcPr>
          <w:p>
            <w:pPr>
              <w:spacing w:after="0"/>
              <w:rPr>
                <w:sz w:val="24"/>
                <w:szCs w:val="24"/>
                <w:color w:val="auto"/>
              </w:rPr>
            </w:pPr>
          </w:p>
        </w:tc>
        <w:tc>
          <w:tcPr>
            <w:tcW w:w="2580" w:type="dxa"/>
            <w:vAlign w:val="bottom"/>
            <w:shd w:val="clear" w:color="auto" w:fill="64C2AF"/>
          </w:tcPr>
          <w:p>
            <w:pPr>
              <w:ind w:left="1080"/>
              <w:spacing w:after="0"/>
              <w:rPr>
                <w:sz w:val="20"/>
                <w:szCs w:val="20"/>
                <w:color w:val="auto"/>
              </w:rPr>
            </w:pPr>
            <w:r>
              <w:rPr>
                <w:rFonts w:ascii="Arial" w:cs="Arial" w:eastAsia="Arial" w:hAnsi="Arial"/>
                <w:sz w:val="13"/>
                <w:szCs w:val="13"/>
                <w:b w:val="1"/>
                <w:bCs w:val="1"/>
                <w:color w:val="FFFFFF"/>
              </w:rPr>
              <w:t>Spring</w:t>
            </w:r>
          </w:p>
        </w:tc>
        <w:tc>
          <w:tcPr>
            <w:tcW w:w="220" w:type="dxa"/>
            <w:vAlign w:val="bottom"/>
          </w:tcPr>
          <w:p>
            <w:pPr>
              <w:spacing w:after="0"/>
              <w:rPr>
                <w:sz w:val="24"/>
                <w:szCs w:val="24"/>
                <w:color w:val="auto"/>
              </w:rPr>
            </w:pPr>
          </w:p>
        </w:tc>
        <w:tc>
          <w:tcPr>
            <w:tcW w:w="2680" w:type="dxa"/>
            <w:vAlign w:val="bottom"/>
            <w:shd w:val="clear" w:color="auto" w:fill="61C4AF"/>
          </w:tcPr>
          <w:p>
            <w:pPr>
              <w:ind w:left="1060"/>
              <w:spacing w:after="0"/>
              <w:rPr>
                <w:sz w:val="20"/>
                <w:szCs w:val="20"/>
                <w:color w:val="auto"/>
              </w:rPr>
            </w:pPr>
            <w:r>
              <w:rPr>
                <w:rFonts w:ascii="Arial" w:cs="Arial" w:eastAsia="Arial" w:hAnsi="Arial"/>
                <w:sz w:val="13"/>
                <w:szCs w:val="13"/>
                <w:b w:val="1"/>
                <w:bCs w:val="1"/>
                <w:color w:val="FFFFFF"/>
              </w:rPr>
              <w:t>Summer</w:t>
            </w:r>
          </w:p>
        </w:tc>
      </w:tr>
      <w:tr>
        <w:trPr>
          <w:trHeight w:val="55"/>
        </w:trPr>
        <w:tc>
          <w:tcPr>
            <w:tcW w:w="2700" w:type="dxa"/>
            <w:vAlign w:val="bottom"/>
            <w:shd w:val="clear" w:color="auto" w:fill="53778D"/>
          </w:tcPr>
          <w:p>
            <w:pPr>
              <w:spacing w:after="0"/>
              <w:rPr>
                <w:sz w:val="4"/>
                <w:szCs w:val="4"/>
                <w:color w:val="auto"/>
              </w:rPr>
            </w:pPr>
          </w:p>
        </w:tc>
        <w:tc>
          <w:tcPr>
            <w:tcW w:w="260" w:type="dxa"/>
            <w:vAlign w:val="bottom"/>
          </w:tcPr>
          <w:p>
            <w:pPr>
              <w:spacing w:after="0"/>
              <w:rPr>
                <w:sz w:val="4"/>
                <w:szCs w:val="4"/>
                <w:color w:val="auto"/>
              </w:rPr>
            </w:pPr>
          </w:p>
        </w:tc>
        <w:tc>
          <w:tcPr>
            <w:tcW w:w="2580" w:type="dxa"/>
            <w:vAlign w:val="bottom"/>
            <w:shd w:val="clear" w:color="auto" w:fill="6EAFA7"/>
          </w:tcPr>
          <w:p>
            <w:pPr>
              <w:spacing w:after="0"/>
              <w:rPr>
                <w:sz w:val="4"/>
                <w:szCs w:val="4"/>
                <w:color w:val="auto"/>
              </w:rPr>
            </w:pPr>
          </w:p>
        </w:tc>
        <w:tc>
          <w:tcPr>
            <w:tcW w:w="220" w:type="dxa"/>
            <w:vAlign w:val="bottom"/>
          </w:tcPr>
          <w:p>
            <w:pPr>
              <w:spacing w:after="0"/>
              <w:rPr>
                <w:sz w:val="4"/>
                <w:szCs w:val="4"/>
                <w:color w:val="auto"/>
              </w:rPr>
            </w:pPr>
          </w:p>
        </w:tc>
        <w:tc>
          <w:tcPr>
            <w:tcW w:w="2580" w:type="dxa"/>
            <w:vAlign w:val="bottom"/>
            <w:shd w:val="clear" w:color="auto" w:fill="64C2AF"/>
          </w:tcPr>
          <w:p>
            <w:pPr>
              <w:spacing w:after="0"/>
              <w:rPr>
                <w:sz w:val="4"/>
                <w:szCs w:val="4"/>
                <w:color w:val="auto"/>
              </w:rPr>
            </w:pPr>
          </w:p>
        </w:tc>
        <w:tc>
          <w:tcPr>
            <w:tcW w:w="220" w:type="dxa"/>
            <w:vAlign w:val="bottom"/>
          </w:tcPr>
          <w:p>
            <w:pPr>
              <w:spacing w:after="0"/>
              <w:rPr>
                <w:sz w:val="4"/>
                <w:szCs w:val="4"/>
                <w:color w:val="auto"/>
              </w:rPr>
            </w:pPr>
          </w:p>
        </w:tc>
        <w:tc>
          <w:tcPr>
            <w:tcW w:w="2680" w:type="dxa"/>
            <w:vAlign w:val="bottom"/>
            <w:shd w:val="clear" w:color="auto" w:fill="61C4A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0</wp:posOffset>
            </wp:positionV>
            <wp:extent cx="8255" cy="16630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255" cy="166306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0</wp:posOffset>
            </wp:positionV>
            <wp:extent cx="8890" cy="16630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890" cy="1663065"/>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0</wp:posOffset>
            </wp:positionV>
            <wp:extent cx="8890" cy="16630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890" cy="1663065"/>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-385445</wp:posOffset>
            </wp:positionV>
            <wp:extent cx="231140" cy="1885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31140" cy="18859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-393700</wp:posOffset>
            </wp:positionV>
            <wp:extent cx="214630" cy="2146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-393700</wp:posOffset>
            </wp:positionV>
            <wp:extent cx="214630" cy="2146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-393700</wp:posOffset>
            </wp:positionV>
            <wp:extent cx="197485" cy="2146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97485" cy="21463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91" w:lineRule="exact"/>
        <w:rPr>
          <w:sz w:val="20"/>
          <w:szCs w:val="20"/>
          <w:color w:val="auto"/>
        </w:rPr>
      </w:pPr>
    </w:p>
    <w:p>
      <w:pPr>
        <w:ind w:left="280" w:hanging="236"/>
        <w:spacing w:after="0" w:line="244" w:lineRule="auto"/>
        <w:tabs>
          <w:tab w:leader="none" w:pos="257" w:val="left"/>
        </w:tabs>
        <w:numPr>
          <w:ilvl w:val="0"/>
          <w:numId w:val="50"/>
        </w:numPr>
        <w:rPr>
          <w:rFonts w:ascii="Arial" w:cs="Arial" w:eastAsia="Arial" w:hAnsi="Arial"/>
          <w:sz w:val="13"/>
          <w:szCs w:val="13"/>
          <w:color w:val="61C4AF"/>
        </w:rPr>
      </w:pPr>
      <w:r>
        <w:rPr>
          <w:rFonts w:ascii="Arial" w:cs="Arial" w:eastAsia="Arial" w:hAnsi="Arial"/>
          <w:sz w:val="13"/>
          <w:szCs w:val="13"/>
          <w:b w:val="1"/>
          <w:bCs w:val="1"/>
          <w:color w:val="auto"/>
        </w:rPr>
        <w:t>October 2019</w:t>
      </w:r>
      <w:r>
        <w:rPr>
          <w:rFonts w:ascii="Arial" w:cs="Arial" w:eastAsia="Arial" w:hAnsi="Arial"/>
          <w:sz w:val="13"/>
          <w:szCs w:val="13"/>
          <w:color w:val="auto"/>
        </w:rPr>
        <w:t>: Active Board-led</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engagement with over </w:t>
      </w:r>
      <w:r>
        <w:rPr>
          <w:rFonts w:ascii="Arial" w:cs="Arial" w:eastAsia="Arial" w:hAnsi="Arial"/>
          <w:sz w:val="13"/>
          <w:szCs w:val="13"/>
          <w:b w:val="1"/>
          <w:bCs w:val="1"/>
          <w:color w:val="auto"/>
        </w:rPr>
        <w:t>20%</w:t>
      </w:r>
      <w:r>
        <w:rPr>
          <w:rFonts w:ascii="Arial" w:cs="Arial" w:eastAsia="Arial" w:hAnsi="Arial"/>
          <w:sz w:val="13"/>
          <w:szCs w:val="13"/>
          <w:color w:val="auto"/>
        </w:rPr>
        <w:t xml:space="preserve"> of our stockholders to discuss the executive compensation and governance items to be considered at our 2019 annual meeting of stockholders, in addition to sustainability and other areas of investor focus</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233" w:hanging="233"/>
        <w:spacing w:after="0" w:line="244" w:lineRule="auto"/>
        <w:tabs>
          <w:tab w:leader="none" w:pos="210" w:val="left"/>
        </w:tabs>
        <w:numPr>
          <w:ilvl w:val="0"/>
          <w:numId w:val="51"/>
        </w:numPr>
        <w:rPr>
          <w:rFonts w:ascii="Arial" w:cs="Arial" w:eastAsia="Arial" w:hAnsi="Arial"/>
          <w:sz w:val="13"/>
          <w:szCs w:val="13"/>
          <w:color w:val="61C4AF"/>
        </w:rPr>
      </w:pPr>
      <w:r>
        <w:rPr>
          <w:rFonts w:ascii="Arial" w:cs="Arial" w:eastAsia="Arial" w:hAnsi="Arial"/>
          <w:sz w:val="13"/>
          <w:szCs w:val="13"/>
          <w:b w:val="1"/>
          <w:bCs w:val="1"/>
          <w:color w:val="auto"/>
        </w:rPr>
        <w:t>January/February 2020</w:t>
      </w:r>
      <w:r>
        <w:rPr>
          <w:rFonts w:ascii="Arial" w:cs="Arial" w:eastAsia="Arial" w:hAnsi="Arial"/>
          <w:sz w:val="13"/>
          <w:szCs w:val="13"/>
          <w:color w:val="auto"/>
        </w:rPr>
        <w:t>: Reached</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out to investors representing </w:t>
      </w:r>
      <w:r>
        <w:rPr>
          <w:rFonts w:ascii="Arial" w:cs="Arial" w:eastAsia="Arial" w:hAnsi="Arial"/>
          <w:sz w:val="13"/>
          <w:szCs w:val="13"/>
          <w:b w:val="1"/>
          <w:bCs w:val="1"/>
          <w:color w:val="auto"/>
        </w:rPr>
        <w:t>37%</w:t>
      </w:r>
      <w:r>
        <w:rPr>
          <w:rFonts w:ascii="Arial" w:cs="Arial" w:eastAsia="Arial" w:hAnsi="Arial"/>
          <w:sz w:val="13"/>
          <w:szCs w:val="13"/>
          <w:color w:val="auto"/>
        </w:rPr>
        <w:t xml:space="preserve"> of shares outstanding and conducted engagements with stockholders representing </w:t>
      </w:r>
      <w:r>
        <w:rPr>
          <w:rFonts w:ascii="Arial" w:cs="Arial" w:eastAsia="Arial" w:hAnsi="Arial"/>
          <w:sz w:val="13"/>
          <w:szCs w:val="13"/>
          <w:b w:val="1"/>
          <w:bCs w:val="1"/>
          <w:color w:val="auto"/>
        </w:rPr>
        <w:t>19%</w:t>
      </w:r>
      <w:r>
        <w:rPr>
          <w:rFonts w:ascii="Arial" w:cs="Arial" w:eastAsia="Arial" w:hAnsi="Arial"/>
          <w:sz w:val="13"/>
          <w:szCs w:val="13"/>
          <w:color w:val="auto"/>
        </w:rPr>
        <w:t xml:space="preserve"> of shares outstanding to specifically discuss sustainability-related focus areas and help inform our go-forward practices</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225" w:right="60" w:hanging="225"/>
        <w:spacing w:after="0" w:line="246" w:lineRule="auto"/>
        <w:tabs>
          <w:tab w:leader="none" w:pos="202" w:val="left"/>
        </w:tabs>
        <w:numPr>
          <w:ilvl w:val="0"/>
          <w:numId w:val="52"/>
        </w:numPr>
        <w:rPr>
          <w:rFonts w:ascii="Arial" w:cs="Arial" w:eastAsia="Arial" w:hAnsi="Arial"/>
          <w:sz w:val="13"/>
          <w:szCs w:val="13"/>
          <w:color w:val="61C4AF"/>
        </w:rPr>
      </w:pPr>
      <w:r>
        <w:rPr>
          <w:rFonts w:ascii="Arial" w:cs="Arial" w:eastAsia="Arial" w:hAnsi="Arial"/>
          <w:sz w:val="13"/>
          <w:szCs w:val="13"/>
          <w:b w:val="1"/>
          <w:bCs w:val="1"/>
          <w:color w:val="auto"/>
        </w:rPr>
        <w:t>March 2020</w:t>
      </w:r>
      <w:r>
        <w:rPr>
          <w:rFonts w:ascii="Arial" w:cs="Arial" w:eastAsia="Arial" w:hAnsi="Arial"/>
          <w:sz w:val="13"/>
          <w:szCs w:val="13"/>
          <w:color w:val="auto"/>
        </w:rPr>
        <w:t>: Reviewed feedback</w:t>
      </w:r>
      <w:r>
        <w:rPr>
          <w:rFonts w:ascii="Arial" w:cs="Arial" w:eastAsia="Arial" w:hAnsi="Arial"/>
          <w:sz w:val="13"/>
          <w:szCs w:val="13"/>
          <w:b w:val="1"/>
          <w:bCs w:val="1"/>
          <w:color w:val="auto"/>
        </w:rPr>
        <w:t xml:space="preserve"> </w:t>
      </w:r>
      <w:r>
        <w:rPr>
          <w:rFonts w:ascii="Arial" w:cs="Arial" w:eastAsia="Arial" w:hAnsi="Arial"/>
          <w:sz w:val="13"/>
          <w:szCs w:val="13"/>
          <w:color w:val="auto"/>
        </w:rPr>
        <w:t>and vote results from 2019 annual meeting and stockholder feedback from January and February 2020 and discussed possible changes to governance, compensation and sustainability practices</w:t>
      </w:r>
    </w:p>
    <w:p>
      <w:pPr>
        <w:spacing w:after="0" w:line="34" w:lineRule="exact"/>
        <w:rPr>
          <w:rFonts w:ascii="Arial" w:cs="Arial" w:eastAsia="Arial" w:hAnsi="Arial"/>
          <w:sz w:val="13"/>
          <w:szCs w:val="13"/>
          <w:color w:val="61C4AF"/>
        </w:rPr>
      </w:pPr>
    </w:p>
    <w:p>
      <w:pPr>
        <w:ind w:left="225" w:hanging="225"/>
        <w:spacing w:after="0" w:line="244" w:lineRule="auto"/>
        <w:tabs>
          <w:tab w:leader="none" w:pos="202" w:val="left"/>
        </w:tabs>
        <w:numPr>
          <w:ilvl w:val="0"/>
          <w:numId w:val="52"/>
        </w:numPr>
        <w:rPr>
          <w:rFonts w:ascii="Arial" w:cs="Arial" w:eastAsia="Arial" w:hAnsi="Arial"/>
          <w:sz w:val="13"/>
          <w:szCs w:val="13"/>
          <w:color w:val="61C4AF"/>
        </w:rPr>
      </w:pPr>
      <w:r>
        <w:rPr>
          <w:rFonts w:ascii="Arial" w:cs="Arial" w:eastAsia="Arial" w:hAnsi="Arial"/>
          <w:sz w:val="13"/>
          <w:szCs w:val="13"/>
          <w:b w:val="1"/>
          <w:bCs w:val="1"/>
          <w:color w:val="auto"/>
        </w:rPr>
        <w:t>May 2020</w:t>
      </w:r>
      <w:r>
        <w:rPr>
          <w:rFonts w:ascii="Arial" w:cs="Arial" w:eastAsia="Arial" w:hAnsi="Arial"/>
          <w:sz w:val="13"/>
          <w:szCs w:val="13"/>
          <w:color w:val="auto"/>
        </w:rPr>
        <w:t>: Reached out to investors</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representing </w:t>
      </w:r>
      <w:r>
        <w:rPr>
          <w:rFonts w:ascii="Arial" w:cs="Arial" w:eastAsia="Arial" w:hAnsi="Arial"/>
          <w:sz w:val="13"/>
          <w:szCs w:val="13"/>
          <w:b w:val="1"/>
          <w:bCs w:val="1"/>
          <w:color w:val="auto"/>
        </w:rPr>
        <w:t>60%</w:t>
      </w:r>
      <w:r>
        <w:rPr>
          <w:rFonts w:ascii="Arial" w:cs="Arial" w:eastAsia="Arial" w:hAnsi="Arial"/>
          <w:sz w:val="13"/>
          <w:szCs w:val="13"/>
          <w:color w:val="auto"/>
        </w:rPr>
        <w:t xml:space="preserve"> of shares outstanding to schedule calls to solicit feedback on our sustainability initiatives and potential executive compensation changes to our fiscal 2021 program being considered by the Compensation and Talent Committee</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230" w:right="140" w:hanging="230"/>
        <w:spacing w:after="0" w:line="242" w:lineRule="auto"/>
        <w:tabs>
          <w:tab w:leader="none" w:pos="208" w:val="left"/>
        </w:tabs>
        <w:numPr>
          <w:ilvl w:val="0"/>
          <w:numId w:val="53"/>
        </w:numPr>
        <w:rPr>
          <w:rFonts w:ascii="Arial" w:cs="Arial" w:eastAsia="Arial" w:hAnsi="Arial"/>
          <w:sz w:val="13"/>
          <w:szCs w:val="13"/>
          <w:color w:val="61C4AF"/>
        </w:rPr>
      </w:pPr>
      <w:r>
        <w:rPr>
          <w:rFonts w:ascii="Arial" w:cs="Arial" w:eastAsia="Arial" w:hAnsi="Arial"/>
          <w:sz w:val="13"/>
          <w:szCs w:val="13"/>
          <w:b w:val="1"/>
          <w:bCs w:val="1"/>
          <w:color w:val="auto"/>
        </w:rPr>
        <w:t>July/August 2020</w:t>
      </w:r>
      <w:r>
        <w:rPr>
          <w:rFonts w:ascii="Arial" w:cs="Arial" w:eastAsia="Arial" w:hAnsi="Arial"/>
          <w:sz w:val="13"/>
          <w:szCs w:val="13"/>
          <w:color w:val="auto"/>
        </w:rPr>
        <w:t>: Conducted</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meetings with </w:t>
      </w:r>
      <w:r>
        <w:rPr>
          <w:rFonts w:ascii="Arial" w:cs="Arial" w:eastAsia="Arial" w:hAnsi="Arial"/>
          <w:sz w:val="13"/>
          <w:szCs w:val="13"/>
          <w:b w:val="1"/>
          <w:bCs w:val="1"/>
          <w:color w:val="auto"/>
        </w:rPr>
        <w:t>14 of our top 25</w:t>
      </w:r>
      <w:r>
        <w:rPr>
          <w:rFonts w:ascii="Arial" w:cs="Arial" w:eastAsia="Arial" w:hAnsi="Arial"/>
          <w:sz w:val="13"/>
          <w:szCs w:val="13"/>
          <w:color w:val="auto"/>
        </w:rPr>
        <w:t xml:space="preserve"> </w:t>
      </w:r>
      <w:r>
        <w:rPr>
          <w:rFonts w:ascii="Arial" w:cs="Arial" w:eastAsia="Arial" w:hAnsi="Arial"/>
          <w:sz w:val="13"/>
          <w:szCs w:val="13"/>
          <w:b w:val="1"/>
          <w:bCs w:val="1"/>
          <w:color w:val="auto"/>
        </w:rPr>
        <w:t>holders</w:t>
      </w:r>
      <w:r>
        <w:rPr>
          <w:rFonts w:ascii="Arial" w:cs="Arial" w:eastAsia="Arial" w:hAnsi="Arial"/>
          <w:sz w:val="13"/>
          <w:szCs w:val="13"/>
          <w:color w:val="auto"/>
        </w:rPr>
        <w:t>, as well as several other</w:t>
      </w:r>
      <w:r>
        <w:rPr>
          <w:rFonts w:ascii="Arial" w:cs="Arial" w:eastAsia="Arial" w:hAnsi="Arial"/>
          <w:sz w:val="13"/>
          <w:szCs w:val="13"/>
          <w:b w:val="1"/>
          <w:bCs w:val="1"/>
          <w:color w:val="auto"/>
        </w:rPr>
        <w:t xml:space="preserve"> </w:t>
      </w:r>
      <w:r>
        <w:rPr>
          <w:rFonts w:ascii="Arial" w:cs="Arial" w:eastAsia="Arial" w:hAnsi="Arial"/>
          <w:sz w:val="13"/>
          <w:szCs w:val="13"/>
          <w:color w:val="auto"/>
        </w:rPr>
        <w:t>holders composed of investors with a variety of investment styles and geographic locations. Our Chair of the Compensation and Talent Committee, an independent director, led several meetings with stockholders, and shared stockholder feedback with the Compensation and Talent and Governance Committees, as well as our Board</w:t>
      </w:r>
    </w:p>
    <w:p>
      <w:pPr>
        <w:spacing w:after="0" w:line="715" w:lineRule="exact"/>
        <w:rPr>
          <w:sz w:val="20"/>
          <w:szCs w:val="20"/>
          <w:color w:val="auto"/>
        </w:rPr>
      </w:pPr>
    </w:p>
    <w:p>
      <w:pPr>
        <w:sectPr>
          <w:pgSz w:w="11900" w:h="16838" w:orient="portrait"/>
          <w:cols w:equalWidth="0" w:num="4">
            <w:col w:w="2540" w:space="447"/>
            <w:col w:w="2393" w:space="415"/>
            <w:col w:w="2385" w:space="410"/>
            <w:col w:w="2650"/>
          </w:cols>
          <w:pgMar w:left="320" w:top="121" w:right="339" w:bottom="1440" w:gutter="0" w:footer="0" w:header="0"/>
          <w:type w:val="continuous"/>
        </w:sectPr>
      </w:pPr>
    </w:p>
    <w:p>
      <w:pPr>
        <w:spacing w:after="0" w:line="52" w:lineRule="exact"/>
        <w:rPr>
          <w:sz w:val="20"/>
          <w:szCs w:val="20"/>
          <w:color w:val="auto"/>
        </w:rPr>
      </w:pPr>
    </w:p>
    <w:p>
      <w:pPr>
        <w:spacing w:after="0" w:line="247" w:lineRule="auto"/>
        <w:rPr>
          <w:sz w:val="20"/>
          <w:szCs w:val="20"/>
          <w:color w:val="auto"/>
        </w:rPr>
      </w:pPr>
      <w:r>
        <w:rPr>
          <w:rFonts w:ascii="Arial" w:cs="Arial" w:eastAsia="Arial" w:hAnsi="Arial"/>
          <w:sz w:val="13"/>
          <w:szCs w:val="13"/>
          <w:color w:val="auto"/>
        </w:rPr>
        <w:t xml:space="preserve">As a continuation of our robust Board-driven stockholder engagement program, over the past year, we reached out to over 30 of our stockholders representing approximately </w:t>
      </w:r>
      <w:r>
        <w:rPr>
          <w:rFonts w:ascii="Arial" w:cs="Arial" w:eastAsia="Arial" w:hAnsi="Arial"/>
          <w:sz w:val="13"/>
          <w:szCs w:val="13"/>
          <w:b w:val="1"/>
          <w:bCs w:val="1"/>
          <w:color w:val="auto"/>
        </w:rPr>
        <w:t>60%</w:t>
      </w:r>
      <w:r>
        <w:rPr>
          <w:rFonts w:ascii="Arial" w:cs="Arial" w:eastAsia="Arial" w:hAnsi="Arial"/>
          <w:sz w:val="13"/>
          <w:szCs w:val="13"/>
          <w:color w:val="auto"/>
        </w:rPr>
        <w:t xml:space="preserve"> of shares outstanding. Our engagement team conducted calls with </w:t>
      </w:r>
      <w:r>
        <w:rPr>
          <w:rFonts w:ascii="Arial" w:cs="Arial" w:eastAsia="Arial" w:hAnsi="Arial"/>
          <w:sz w:val="13"/>
          <w:szCs w:val="13"/>
          <w:b w:val="1"/>
          <w:bCs w:val="1"/>
          <w:color w:val="auto"/>
        </w:rPr>
        <w:t>14 of our top 25 holders</w:t>
      </w:r>
      <w:r>
        <w:rPr>
          <w:rFonts w:ascii="Arial" w:cs="Arial" w:eastAsia="Arial" w:hAnsi="Arial"/>
          <w:sz w:val="13"/>
          <w:szCs w:val="13"/>
          <w:color w:val="auto"/>
        </w:rPr>
        <w:t xml:space="preserve">, as well as several other holders, composed of investors with a variety of investment styles and geographic locations. The remainder of the stockholders we contacted confirmed that a follow-up discussion was not necessary at that time or did not respond. Our Chair of the Compensation and Talent Committee, an independent director, led several of these stockholder calls. In addition, we added a new cycle of stockholder engagement this year specifically focused on sustainability topics, reaching out to stockholders representing approximately </w:t>
      </w:r>
      <w:r>
        <w:rPr>
          <w:rFonts w:ascii="Arial" w:cs="Arial" w:eastAsia="Arial" w:hAnsi="Arial"/>
          <w:sz w:val="13"/>
          <w:szCs w:val="13"/>
          <w:b w:val="1"/>
          <w:bCs w:val="1"/>
          <w:color w:val="auto"/>
        </w:rPr>
        <w:t>37%</w:t>
      </w:r>
      <w:r>
        <w:rPr>
          <w:rFonts w:ascii="Arial" w:cs="Arial" w:eastAsia="Arial" w:hAnsi="Arial"/>
          <w:sz w:val="13"/>
          <w:szCs w:val="13"/>
          <w:color w:val="auto"/>
        </w:rPr>
        <w:t xml:space="preserve"> of shares outstanding and conducting calls with investors representing approximately </w:t>
      </w:r>
      <w:r>
        <w:rPr>
          <w:rFonts w:ascii="Arial" w:cs="Arial" w:eastAsia="Arial" w:hAnsi="Arial"/>
          <w:sz w:val="13"/>
          <w:szCs w:val="13"/>
          <w:b w:val="1"/>
          <w:bCs w:val="1"/>
          <w:color w:val="auto"/>
        </w:rPr>
        <w:t>19%</w:t>
      </w:r>
      <w:r>
        <w:rPr>
          <w:rFonts w:ascii="Arial" w:cs="Arial" w:eastAsia="Arial" w:hAnsi="Arial"/>
          <w:sz w:val="13"/>
          <w:szCs w:val="13"/>
          <w:color w:val="auto"/>
        </w:rPr>
        <w:t xml:space="preserve"> of shares outstanding.</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23628F"/>
        </w:rPr>
        <w:t>BY THE NUMBERS: SUMMER 2020 STOCKHOLDER ENGAGEMENT EFFORT</w:t>
      </w:r>
    </w:p>
    <w:p>
      <w:pPr>
        <w:spacing w:after="0" w:line="212" w:lineRule="exact"/>
        <w:rPr>
          <w:sz w:val="20"/>
          <w:szCs w:val="20"/>
          <w:color w:val="auto"/>
        </w:rPr>
      </w:pPr>
    </w:p>
    <w:p>
      <w:pPr>
        <w:ind w:left="2900"/>
        <w:spacing w:after="0"/>
        <w:tabs>
          <w:tab w:leader="none" w:pos="7040" w:val="left"/>
        </w:tabs>
        <w:rPr>
          <w:sz w:val="20"/>
          <w:szCs w:val="20"/>
          <w:color w:val="auto"/>
        </w:rPr>
      </w:pPr>
      <w:r>
        <w:rPr>
          <w:rFonts w:ascii="Arial" w:cs="Arial" w:eastAsia="Arial" w:hAnsi="Arial"/>
          <w:sz w:val="18"/>
          <w:szCs w:val="18"/>
          <w:b w:val="1"/>
          <w:bCs w:val="1"/>
          <w:color w:val="auto"/>
        </w:rPr>
        <w:t>We reached out</w:t>
      </w:r>
      <w:r>
        <w:rPr>
          <w:sz w:val="20"/>
          <w:szCs w:val="20"/>
          <w:color w:val="auto"/>
        </w:rPr>
        <w:tab/>
      </w:r>
      <w:r>
        <w:rPr>
          <w:rFonts w:ascii="Arial" w:cs="Arial" w:eastAsia="Arial" w:hAnsi="Arial"/>
          <w:sz w:val="16"/>
          <w:szCs w:val="16"/>
          <w:b w:val="1"/>
          <w:bCs w:val="1"/>
          <w:color w:val="auto"/>
        </w:rPr>
        <w:t>Our engagement</w:t>
      </w:r>
    </w:p>
    <w:p>
      <w:pPr>
        <w:spacing w:after="0" w:line="13" w:lineRule="exact"/>
        <w:rPr>
          <w:sz w:val="20"/>
          <w:szCs w:val="20"/>
          <w:color w:val="auto"/>
        </w:rPr>
      </w:pPr>
    </w:p>
    <w:p>
      <w:pPr>
        <w:ind w:left="2900"/>
        <w:spacing w:after="0"/>
        <w:tabs>
          <w:tab w:leader="none" w:pos="7380" w:val="left"/>
        </w:tabs>
        <w:rPr>
          <w:sz w:val="20"/>
          <w:szCs w:val="20"/>
          <w:color w:val="auto"/>
        </w:rPr>
      </w:pPr>
      <w:r>
        <w:rPr>
          <w:rFonts w:ascii="Arial" w:cs="Arial" w:eastAsia="Arial" w:hAnsi="Arial"/>
          <w:sz w:val="18"/>
          <w:szCs w:val="18"/>
          <w:b w:val="1"/>
          <w:bCs w:val="1"/>
          <w:color w:val="auto"/>
        </w:rPr>
        <w:t>to stockholders</w:t>
      </w:r>
      <w:r>
        <w:rPr>
          <w:sz w:val="20"/>
          <w:szCs w:val="20"/>
          <w:color w:val="auto"/>
        </w:rPr>
        <w:tab/>
      </w:r>
      <w:r>
        <w:rPr>
          <w:rFonts w:ascii="Arial" w:cs="Arial" w:eastAsia="Arial" w:hAnsi="Arial"/>
          <w:sz w:val="16"/>
          <w:szCs w:val="16"/>
          <w:b w:val="1"/>
          <w:bCs w:val="1"/>
          <w:color w:val="auto"/>
        </w:rPr>
        <w:t>included:</w:t>
      </w:r>
    </w:p>
    <w:p>
      <w:pPr>
        <w:ind w:left="2800"/>
        <w:spacing w:after="0"/>
        <w:rPr>
          <w:sz w:val="20"/>
          <w:szCs w:val="20"/>
          <w:color w:val="auto"/>
        </w:rPr>
      </w:pPr>
      <w:r>
        <w:rPr>
          <w:rFonts w:ascii="Arial" w:cs="Arial" w:eastAsia="Arial" w:hAnsi="Arial"/>
          <w:sz w:val="18"/>
          <w:szCs w:val="18"/>
          <w:b w:val="1"/>
          <w:bCs w:val="1"/>
          <w:color w:val="auto"/>
        </w:rPr>
        <w:t>representing 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63500</wp:posOffset>
            </wp:positionV>
            <wp:extent cx="1105535" cy="11226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105535" cy="112268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63500</wp:posOffset>
            </wp:positionV>
            <wp:extent cx="1105535" cy="11055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105535" cy="110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23628F"/>
        </w:rPr>
        <w:t>2020 PROXY STATEMENT</w:t>
      </w:r>
      <w:r>
        <w:rPr>
          <w:sz w:val="20"/>
          <w:szCs w:val="20"/>
          <w:color w:val="auto"/>
        </w:rPr>
        <w:tab/>
      </w:r>
      <w:r>
        <w:rPr>
          <w:rFonts w:ascii="Arial" w:cs="Arial" w:eastAsia="Arial" w:hAnsi="Arial"/>
          <w:sz w:val="16"/>
          <w:szCs w:val="16"/>
          <w:b w:val="1"/>
          <w:bCs w:val="1"/>
          <w:color w:val="23628F"/>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153275"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23628F"/>
        </w:rPr>
        <w:t>PROXY SUMMARY</w:t>
      </w:r>
    </w:p>
    <w:p>
      <w:pPr>
        <w:spacing w:after="0" w:line="215" w:lineRule="exact"/>
        <w:rPr>
          <w:sz w:val="20"/>
          <w:szCs w:val="20"/>
          <w:color w:val="auto"/>
        </w:rPr>
      </w:pPr>
    </w:p>
    <w:p>
      <w:pPr>
        <w:spacing w:after="0"/>
        <w:rPr>
          <w:sz w:val="20"/>
          <w:szCs w:val="20"/>
          <w:color w:val="auto"/>
        </w:rPr>
      </w:pPr>
      <w:r>
        <w:rPr>
          <w:rFonts w:ascii="Arial" w:cs="Arial" w:eastAsia="Arial" w:hAnsi="Arial"/>
          <w:sz w:val="13"/>
          <w:szCs w:val="13"/>
          <w:color w:val="auto"/>
        </w:rPr>
        <w:t>While our discussions with investors covered a variety of topics, there were a few key areas of focus in our conversations:</w:t>
      </w:r>
    </w:p>
    <w:p>
      <w:pPr>
        <w:spacing w:after="0" w:line="215" w:lineRule="exact"/>
        <w:rPr>
          <w:sz w:val="20"/>
          <w:szCs w:val="20"/>
          <w:color w:val="auto"/>
        </w:rPr>
      </w:pPr>
    </w:p>
    <w:p>
      <w:pPr>
        <w:ind w:left="240" w:hanging="232"/>
        <w:spacing w:after="0"/>
        <w:tabs>
          <w:tab w:leader="none" w:pos="240" w:val="left"/>
        </w:tabs>
        <w:numPr>
          <w:ilvl w:val="0"/>
          <w:numId w:val="54"/>
        </w:numPr>
        <w:rPr>
          <w:rFonts w:ascii="Arial" w:cs="Arial" w:eastAsia="Arial" w:hAnsi="Arial"/>
          <w:sz w:val="13"/>
          <w:szCs w:val="13"/>
          <w:color w:val="63C4AF"/>
        </w:rPr>
      </w:pPr>
      <w:r>
        <w:rPr>
          <w:rFonts w:ascii="Arial" w:cs="Arial" w:eastAsia="Arial" w:hAnsi="Arial"/>
          <w:sz w:val="13"/>
          <w:szCs w:val="13"/>
          <w:color w:val="auto"/>
        </w:rPr>
        <w:t>updates to Board composition and Board and committee leadership roles, as well as Board succession;</w:t>
      </w:r>
    </w:p>
    <w:p>
      <w:pPr>
        <w:spacing w:after="0" w:line="66" w:lineRule="exact"/>
        <w:rPr>
          <w:rFonts w:ascii="Arial" w:cs="Arial" w:eastAsia="Arial" w:hAnsi="Arial"/>
          <w:sz w:val="13"/>
          <w:szCs w:val="13"/>
          <w:color w:val="63C4AF"/>
        </w:rPr>
      </w:pPr>
    </w:p>
    <w:p>
      <w:pPr>
        <w:ind w:left="240" w:hanging="232"/>
        <w:spacing w:after="0"/>
        <w:tabs>
          <w:tab w:leader="none" w:pos="240" w:val="left"/>
        </w:tabs>
        <w:numPr>
          <w:ilvl w:val="0"/>
          <w:numId w:val="54"/>
        </w:numPr>
        <w:rPr>
          <w:rFonts w:ascii="Arial" w:cs="Arial" w:eastAsia="Arial" w:hAnsi="Arial"/>
          <w:sz w:val="13"/>
          <w:szCs w:val="13"/>
          <w:color w:val="63C4AF"/>
        </w:rPr>
      </w:pPr>
      <w:r>
        <w:rPr>
          <w:rFonts w:ascii="Arial" w:cs="Arial" w:eastAsia="Arial" w:hAnsi="Arial"/>
          <w:sz w:val="13"/>
          <w:szCs w:val="13"/>
          <w:color w:val="auto"/>
        </w:rPr>
        <w:t>leadership transition with Mr. Goeckeler’s appointment as our Chief Executive Officer following a comprehensive search process;</w:t>
      </w:r>
    </w:p>
    <w:p>
      <w:pPr>
        <w:spacing w:after="0" w:line="66" w:lineRule="exact"/>
        <w:rPr>
          <w:rFonts w:ascii="Arial" w:cs="Arial" w:eastAsia="Arial" w:hAnsi="Arial"/>
          <w:sz w:val="13"/>
          <w:szCs w:val="13"/>
          <w:color w:val="63C4AF"/>
        </w:rPr>
      </w:pPr>
    </w:p>
    <w:p>
      <w:pPr>
        <w:ind w:left="240" w:hanging="232"/>
        <w:spacing w:after="0"/>
        <w:tabs>
          <w:tab w:leader="none" w:pos="240" w:val="left"/>
        </w:tabs>
        <w:numPr>
          <w:ilvl w:val="0"/>
          <w:numId w:val="54"/>
        </w:numPr>
        <w:rPr>
          <w:rFonts w:ascii="Arial" w:cs="Arial" w:eastAsia="Arial" w:hAnsi="Arial"/>
          <w:sz w:val="13"/>
          <w:szCs w:val="13"/>
          <w:color w:val="63C4AF"/>
        </w:rPr>
      </w:pPr>
      <w:r>
        <w:rPr>
          <w:rFonts w:ascii="Arial" w:cs="Arial" w:eastAsia="Arial" w:hAnsi="Arial"/>
          <w:sz w:val="13"/>
          <w:szCs w:val="13"/>
          <w:color w:val="auto"/>
        </w:rPr>
        <w:t>executive compensation philosophy and program design, including Mr. Goeckeler’s compensation package and how investor feedback drove recent program enhancements;</w:t>
      </w:r>
    </w:p>
    <w:p>
      <w:pPr>
        <w:spacing w:after="0" w:line="66" w:lineRule="exact"/>
        <w:rPr>
          <w:rFonts w:ascii="Arial" w:cs="Arial" w:eastAsia="Arial" w:hAnsi="Arial"/>
          <w:sz w:val="13"/>
          <w:szCs w:val="13"/>
          <w:color w:val="63C4AF"/>
        </w:rPr>
      </w:pPr>
    </w:p>
    <w:p>
      <w:pPr>
        <w:ind w:left="240" w:hanging="232"/>
        <w:spacing w:after="0"/>
        <w:tabs>
          <w:tab w:leader="none" w:pos="240" w:val="left"/>
        </w:tabs>
        <w:numPr>
          <w:ilvl w:val="0"/>
          <w:numId w:val="54"/>
        </w:numPr>
        <w:rPr>
          <w:rFonts w:ascii="Arial" w:cs="Arial" w:eastAsia="Arial" w:hAnsi="Arial"/>
          <w:sz w:val="13"/>
          <w:szCs w:val="13"/>
          <w:color w:val="63C4AF"/>
        </w:rPr>
      </w:pPr>
      <w:r>
        <w:rPr>
          <w:rFonts w:ascii="Arial" w:cs="Arial" w:eastAsia="Arial" w:hAnsi="Arial"/>
          <w:sz w:val="13"/>
          <w:szCs w:val="13"/>
          <w:color w:val="auto"/>
        </w:rPr>
        <w:t>Board oversight and guidance during the COVID-19 pandemic and any long-term changes to our practices or operations that may result from the pandemic;</w:t>
      </w:r>
    </w:p>
    <w:p>
      <w:pPr>
        <w:spacing w:after="0" w:line="66" w:lineRule="exact"/>
        <w:rPr>
          <w:rFonts w:ascii="Arial" w:cs="Arial" w:eastAsia="Arial" w:hAnsi="Arial"/>
          <w:sz w:val="13"/>
          <w:szCs w:val="13"/>
          <w:color w:val="63C4AF"/>
        </w:rPr>
      </w:pPr>
    </w:p>
    <w:p>
      <w:pPr>
        <w:ind w:left="240" w:hanging="232"/>
        <w:spacing w:after="0"/>
        <w:tabs>
          <w:tab w:leader="none" w:pos="240" w:val="left"/>
        </w:tabs>
        <w:numPr>
          <w:ilvl w:val="0"/>
          <w:numId w:val="54"/>
        </w:numPr>
        <w:rPr>
          <w:rFonts w:ascii="Arial" w:cs="Arial" w:eastAsia="Arial" w:hAnsi="Arial"/>
          <w:sz w:val="13"/>
          <w:szCs w:val="13"/>
          <w:color w:val="63C4AF"/>
        </w:rPr>
      </w:pPr>
      <w:r>
        <w:rPr>
          <w:rFonts w:ascii="Arial" w:cs="Arial" w:eastAsia="Arial" w:hAnsi="Arial"/>
          <w:sz w:val="13"/>
          <w:szCs w:val="13"/>
          <w:color w:val="auto"/>
        </w:rPr>
        <w:t>culture, diversity and inclusion at Western Digital, including recent developments and enhanced disclosure in our 2020 Sustainability Report; and</w:t>
      </w:r>
    </w:p>
    <w:p>
      <w:pPr>
        <w:spacing w:after="0" w:line="66" w:lineRule="exact"/>
        <w:rPr>
          <w:rFonts w:ascii="Arial" w:cs="Arial" w:eastAsia="Arial" w:hAnsi="Arial"/>
          <w:sz w:val="13"/>
          <w:szCs w:val="13"/>
          <w:color w:val="63C4AF"/>
        </w:rPr>
      </w:pPr>
    </w:p>
    <w:p>
      <w:pPr>
        <w:ind w:left="240" w:hanging="232"/>
        <w:spacing w:after="0"/>
        <w:tabs>
          <w:tab w:leader="none" w:pos="240" w:val="left"/>
        </w:tabs>
        <w:numPr>
          <w:ilvl w:val="0"/>
          <w:numId w:val="54"/>
        </w:numPr>
        <w:rPr>
          <w:rFonts w:ascii="Arial" w:cs="Arial" w:eastAsia="Arial" w:hAnsi="Arial"/>
          <w:sz w:val="13"/>
          <w:szCs w:val="13"/>
          <w:color w:val="63C4AF"/>
        </w:rPr>
      </w:pPr>
      <w:r>
        <w:rPr>
          <w:rFonts w:ascii="Arial" w:cs="Arial" w:eastAsia="Arial" w:hAnsi="Arial"/>
          <w:sz w:val="13"/>
          <w:szCs w:val="13"/>
          <w:color w:val="auto"/>
        </w:rPr>
        <w:t>with respect to our specific sustainability outreach, our ongoing progress and disclosures regarding sustainability and human capital management.</w:t>
      </w:r>
    </w:p>
    <w:p>
      <w:pPr>
        <w:spacing w:after="0" w:line="215"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Stockholders generally provided positive feedback on our response to the COVID-19 pandemic, the diversity of our Board, which is 50% female, recent Board leadership transitions and ongoing Board refreshment efforts and sustainability initiatives. For a discussion on stockholder feedback relating to compensation matters, please refer to page 50 in the section entitled “Executive Compensation—Compensation Discussion and Analysis.” These views were shared with our Board and its committees, where applicable, for their consideration.</w:t>
      </w:r>
    </w:p>
    <w:p>
      <w:pPr>
        <w:spacing w:after="0" w:line="194" w:lineRule="exact"/>
        <w:rPr>
          <w:sz w:val="20"/>
          <w:szCs w:val="20"/>
          <w:color w:val="auto"/>
        </w:rPr>
      </w:pPr>
    </w:p>
    <w:p>
      <w:pPr>
        <w:ind w:left="440" w:hanging="432"/>
        <w:spacing w:after="0"/>
        <w:tabs>
          <w:tab w:leader="none" w:pos="440" w:val="left"/>
        </w:tabs>
        <w:numPr>
          <w:ilvl w:val="0"/>
          <w:numId w:val="55"/>
        </w:numPr>
        <w:rPr>
          <w:rFonts w:ascii="Arial" w:cs="Arial" w:eastAsia="Arial" w:hAnsi="Arial"/>
          <w:sz w:val="18"/>
          <w:szCs w:val="18"/>
          <w:b w:val="1"/>
          <w:bCs w:val="1"/>
          <w:color w:val="23628F"/>
        </w:rPr>
      </w:pPr>
      <w:r>
        <w:rPr>
          <w:rFonts w:ascii="Arial" w:cs="Arial" w:eastAsia="Arial" w:hAnsi="Arial"/>
          <w:sz w:val="13"/>
          <w:szCs w:val="13"/>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15327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right"/>
        <w:spacing w:after="0"/>
        <w:rPr>
          <w:sz w:val="20"/>
          <w:szCs w:val="20"/>
          <w:color w:val="auto"/>
        </w:rPr>
      </w:pPr>
      <w:r>
        <w:rPr>
          <w:rFonts w:ascii="Arial" w:cs="Arial" w:eastAsia="Arial" w:hAnsi="Arial"/>
          <w:sz w:val="13"/>
          <w:szCs w:val="13"/>
          <w:color w:val="23628F"/>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234440" cy="685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34440" cy="68580"/>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CORPORATE RESPONSIBILITY AND SUSTAINABILITY</w:t>
      </w:r>
    </w:p>
    <w:p>
      <w:pPr>
        <w:spacing w:after="0" w:line="252" w:lineRule="exact"/>
        <w:rPr>
          <w:sz w:val="20"/>
          <w:szCs w:val="20"/>
          <w:color w:val="auto"/>
        </w:rPr>
      </w:pPr>
    </w:p>
    <w:p>
      <w:pPr>
        <w:ind w:right="20"/>
        <w:spacing w:after="0" w:line="243" w:lineRule="auto"/>
        <w:rPr>
          <w:sz w:val="20"/>
          <w:szCs w:val="20"/>
          <w:color w:val="auto"/>
        </w:rPr>
      </w:pPr>
      <w:r>
        <w:rPr>
          <w:rFonts w:ascii="Arial" w:cs="Arial" w:eastAsia="Arial" w:hAnsi="Arial"/>
          <w:sz w:val="13"/>
          <w:szCs w:val="13"/>
          <w:color w:val="auto"/>
        </w:rPr>
        <w:t>We believe responsible and sustainable business practices support our long-term success as a company. Certainly, those practices help keep our communities and our environment vibrant and healthy. But they also lead us to more efficient and resilient business operations. They help us meet our customers’ efficiency targets. They reduce risks of misconduct and legal liability. They enhance the reliability of our supply chain. And they improve the health, well-being, engagement and productivity of our employees. We believe that being an industry leader is not just about having talented employees or innovative products. It is also about doing business the right way, every day. That is why our commitment to sound corporate responsibility is deeply rooted in all aspects of our business.</w:t>
      </w:r>
    </w:p>
    <w:p>
      <w:pPr>
        <w:spacing w:after="0" w:line="202" w:lineRule="exact"/>
        <w:rPr>
          <w:sz w:val="20"/>
          <w:szCs w:val="20"/>
          <w:color w:val="auto"/>
        </w:rPr>
      </w:pPr>
    </w:p>
    <w:p>
      <w:pPr>
        <w:ind w:right="60"/>
        <w:spacing w:after="0" w:line="245" w:lineRule="auto"/>
        <w:rPr>
          <w:sz w:val="20"/>
          <w:szCs w:val="20"/>
          <w:color w:val="auto"/>
        </w:rPr>
      </w:pPr>
      <w:r>
        <w:rPr>
          <w:rFonts w:ascii="Arial" w:cs="Arial" w:eastAsia="Arial" w:hAnsi="Arial"/>
          <w:sz w:val="13"/>
          <w:szCs w:val="13"/>
          <w:color w:val="auto"/>
        </w:rPr>
        <w:t>We are happy to share more details about our recent progress in this area through our 2020 Sustainability Report located on our Corporate Sustainability page at www.westerndigital.com. Our 2020 Sustainability Report topics were selected based on an updated 2020 materiality assessment, which incorporated input from investors, customers and other stakeholders, as well as strategic priorities. This is our first report that aligns with both SASB and GRI standards. As further described below, the Governance Committee oversees our corporate responsibility and sustainability policies and programs pursuant to its charter. Below are some highlights from our 2020 Sustainability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52374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523748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61C4AF"/>
        </w:rPr>
        <w:t>Human Rights and Labor</w:t>
      </w:r>
    </w:p>
    <w:p>
      <w:pPr>
        <w:spacing w:after="0" w:line="106" w:lineRule="exact"/>
        <w:rPr>
          <w:sz w:val="20"/>
          <w:szCs w:val="20"/>
          <w:color w:val="auto"/>
        </w:rPr>
      </w:pPr>
    </w:p>
    <w:p>
      <w:pPr>
        <w:ind w:right="20"/>
        <w:spacing w:after="0" w:line="242" w:lineRule="auto"/>
        <w:rPr>
          <w:sz w:val="20"/>
          <w:szCs w:val="20"/>
          <w:color w:val="auto"/>
        </w:rPr>
      </w:pPr>
      <w:r>
        <w:rPr>
          <w:rFonts w:ascii="Arial" w:cs="Arial" w:eastAsia="Arial" w:hAnsi="Arial"/>
          <w:sz w:val="13"/>
          <w:szCs w:val="13"/>
          <w:b w:val="1"/>
          <w:bCs w:val="1"/>
          <w:i w:val="1"/>
          <w:iCs w:val="1"/>
          <w:color w:val="61C4AF"/>
        </w:rPr>
        <w:t>Respecting human rights is a foundational aspect of how we do business. We work diligently to foster a working environment where Western Digital employees and employees of our suppliers can be treated with respect and dignity, and are provided with fair and safe working conditions.</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959595"/>
        </w:rPr>
        <w:t>__________</w:t>
      </w:r>
    </w:p>
    <w:p>
      <w:pPr>
        <w:ind w:right="140"/>
        <w:spacing w:after="0" w:line="238" w:lineRule="auto"/>
        <w:rPr>
          <w:sz w:val="20"/>
          <w:szCs w:val="20"/>
          <w:color w:val="auto"/>
        </w:rPr>
      </w:pPr>
      <w:r>
        <w:rPr>
          <w:rFonts w:ascii="Arial" w:cs="Arial" w:eastAsia="Arial" w:hAnsi="Arial"/>
          <w:sz w:val="13"/>
          <w:szCs w:val="13"/>
          <w:color w:val="auto"/>
        </w:rPr>
        <w:t>Published a new Global Human Rights Policy, applicable both to our own operations and to our supply chain</w:t>
      </w:r>
    </w:p>
    <w:p>
      <w:pPr>
        <w:spacing w:after="0"/>
        <w:rPr>
          <w:sz w:val="20"/>
          <w:szCs w:val="20"/>
          <w:color w:val="auto"/>
        </w:rPr>
      </w:pPr>
      <w:r>
        <w:rPr>
          <w:rFonts w:ascii="Arial" w:cs="Arial" w:eastAsia="Arial" w:hAnsi="Arial"/>
          <w:sz w:val="13"/>
          <w:szCs w:val="13"/>
          <w:color w:val="959595"/>
        </w:rPr>
        <w:t>__________</w:t>
      </w:r>
    </w:p>
    <w:p>
      <w:pPr>
        <w:ind w:right="40"/>
        <w:spacing w:after="0" w:line="238" w:lineRule="auto"/>
        <w:rPr>
          <w:sz w:val="20"/>
          <w:szCs w:val="20"/>
          <w:color w:val="auto"/>
        </w:rPr>
      </w:pPr>
      <w:r>
        <w:rPr>
          <w:rFonts w:ascii="Arial" w:cs="Arial" w:eastAsia="Arial" w:hAnsi="Arial"/>
          <w:sz w:val="13"/>
          <w:szCs w:val="13"/>
          <w:color w:val="auto"/>
        </w:rPr>
        <w:t>Expanded our disclosure of human rights and labor management practices in our Modern Slavery Compliance Statement</w:t>
      </w:r>
    </w:p>
    <w:p>
      <w:pPr>
        <w:spacing w:after="0"/>
        <w:rPr>
          <w:sz w:val="20"/>
          <w:szCs w:val="20"/>
          <w:color w:val="auto"/>
        </w:rPr>
      </w:pPr>
      <w:r>
        <w:rPr>
          <w:rFonts w:ascii="Arial" w:cs="Arial" w:eastAsia="Arial" w:hAnsi="Arial"/>
          <w:sz w:val="13"/>
          <w:szCs w:val="13"/>
          <w:color w:val="959595"/>
        </w:rPr>
        <w:t>__________</w:t>
      </w:r>
    </w:p>
    <w:p>
      <w:pPr>
        <w:spacing w:after="0" w:line="258" w:lineRule="auto"/>
        <w:rPr>
          <w:sz w:val="20"/>
          <w:szCs w:val="20"/>
          <w:color w:val="auto"/>
        </w:rPr>
      </w:pPr>
      <w:r>
        <w:rPr>
          <w:rFonts w:ascii="Arial" w:cs="Arial" w:eastAsia="Arial" w:hAnsi="Arial"/>
          <w:sz w:val="13"/>
          <w:szCs w:val="13"/>
          <w:color w:val="auto"/>
        </w:rPr>
        <w:t>Initiating a global human rights impact assessment in fiscal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61C4AF"/>
        </w:rPr>
        <w:t>Diversity and Inclusion</w:t>
      </w:r>
    </w:p>
    <w:p>
      <w:pPr>
        <w:spacing w:after="0" w:line="106" w:lineRule="exact"/>
        <w:rPr>
          <w:sz w:val="20"/>
          <w:szCs w:val="20"/>
          <w:color w:val="auto"/>
        </w:rPr>
      </w:pPr>
    </w:p>
    <w:p>
      <w:pPr>
        <w:ind w:right="180"/>
        <w:spacing w:after="0" w:line="244" w:lineRule="auto"/>
        <w:rPr>
          <w:sz w:val="20"/>
          <w:szCs w:val="20"/>
          <w:color w:val="auto"/>
        </w:rPr>
      </w:pPr>
      <w:r>
        <w:rPr>
          <w:rFonts w:ascii="Arial" w:cs="Arial" w:eastAsia="Arial" w:hAnsi="Arial"/>
          <w:sz w:val="13"/>
          <w:szCs w:val="13"/>
          <w:b w:val="1"/>
          <w:bCs w:val="1"/>
          <w:i w:val="1"/>
          <w:iCs w:val="1"/>
          <w:color w:val="61C4AF"/>
        </w:rPr>
        <w:t>Our people are Western Digital’s most valuable resource. We believe we can achieve the best business outcomes by empowering our diverse and talented employees to make an impact, together.</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959595"/>
        </w:rPr>
        <w:t>__________</w:t>
      </w:r>
    </w:p>
    <w:p>
      <w:pPr>
        <w:ind w:right="80"/>
        <w:spacing w:after="0" w:line="238" w:lineRule="auto"/>
        <w:rPr>
          <w:sz w:val="20"/>
          <w:szCs w:val="20"/>
          <w:color w:val="auto"/>
        </w:rPr>
      </w:pPr>
      <w:r>
        <w:rPr>
          <w:rFonts w:ascii="Arial" w:cs="Arial" w:eastAsia="Arial" w:hAnsi="Arial"/>
          <w:sz w:val="13"/>
          <w:szCs w:val="13"/>
          <w:color w:val="auto"/>
        </w:rPr>
        <w:t>Recognized for the second consecutive year by Women’s Choice Award as a Best Company for Millennials, and received a perfect score from Human Rights Campaign in their Corporate Equality Index</w:t>
      </w:r>
    </w:p>
    <w:p>
      <w:pPr>
        <w:spacing w:after="0"/>
        <w:rPr>
          <w:sz w:val="20"/>
          <w:szCs w:val="20"/>
          <w:color w:val="auto"/>
        </w:rPr>
      </w:pPr>
      <w:r>
        <w:rPr>
          <w:rFonts w:ascii="Arial" w:cs="Arial" w:eastAsia="Arial" w:hAnsi="Arial"/>
          <w:sz w:val="13"/>
          <w:szCs w:val="13"/>
          <w:color w:val="959595"/>
        </w:rPr>
        <w:t>__________</w:t>
      </w:r>
    </w:p>
    <w:p>
      <w:pPr>
        <w:ind w:right="200"/>
        <w:spacing w:after="0" w:line="238" w:lineRule="auto"/>
        <w:rPr>
          <w:sz w:val="20"/>
          <w:szCs w:val="20"/>
          <w:color w:val="auto"/>
        </w:rPr>
      </w:pPr>
      <w:r>
        <w:rPr>
          <w:rFonts w:ascii="Arial" w:cs="Arial" w:eastAsia="Arial" w:hAnsi="Arial"/>
          <w:sz w:val="13"/>
          <w:szCs w:val="13"/>
          <w:color w:val="auto"/>
        </w:rPr>
        <w:t>Promoted a Global Anti-Harassment and Discrimination Policy with associated training worldwide</w:t>
      </w:r>
    </w:p>
    <w:p>
      <w:pPr>
        <w:spacing w:after="0"/>
        <w:rPr>
          <w:sz w:val="20"/>
          <w:szCs w:val="20"/>
          <w:color w:val="auto"/>
        </w:rPr>
      </w:pPr>
      <w:r>
        <w:rPr>
          <w:rFonts w:ascii="Arial" w:cs="Arial" w:eastAsia="Arial" w:hAnsi="Arial"/>
          <w:sz w:val="13"/>
          <w:szCs w:val="13"/>
          <w:color w:val="959595"/>
        </w:rPr>
        <w:t>__________</w:t>
      </w:r>
    </w:p>
    <w:p>
      <w:pPr>
        <w:ind w:right="60"/>
        <w:spacing w:after="0" w:line="258" w:lineRule="auto"/>
        <w:rPr>
          <w:sz w:val="20"/>
          <w:szCs w:val="20"/>
          <w:color w:val="auto"/>
        </w:rPr>
      </w:pPr>
      <w:r>
        <w:rPr>
          <w:rFonts w:ascii="Arial" w:cs="Arial" w:eastAsia="Arial" w:hAnsi="Arial"/>
          <w:sz w:val="13"/>
          <w:szCs w:val="13"/>
          <w:color w:val="auto"/>
        </w:rPr>
        <w:t>Led in-person training on unconscious bias with members of our management team in the 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61C4AF"/>
        </w:rPr>
        <w:t>Energy and Emissions</w:t>
      </w:r>
    </w:p>
    <w:p>
      <w:pPr>
        <w:spacing w:after="0" w:line="106" w:lineRule="exact"/>
        <w:rPr>
          <w:sz w:val="20"/>
          <w:szCs w:val="20"/>
          <w:color w:val="auto"/>
        </w:rPr>
      </w:pPr>
    </w:p>
    <w:p>
      <w:pPr>
        <w:spacing w:after="0" w:line="244" w:lineRule="auto"/>
        <w:rPr>
          <w:sz w:val="20"/>
          <w:szCs w:val="20"/>
          <w:color w:val="auto"/>
        </w:rPr>
      </w:pPr>
      <w:r>
        <w:rPr>
          <w:rFonts w:ascii="Arial" w:cs="Arial" w:eastAsia="Arial" w:hAnsi="Arial"/>
          <w:sz w:val="13"/>
          <w:szCs w:val="13"/>
          <w:b w:val="1"/>
          <w:bCs w:val="1"/>
          <w:i w:val="1"/>
          <w:iCs w:val="1"/>
          <w:color w:val="61C4AF"/>
        </w:rPr>
        <w:t>We aim to do our part in helping build an environmentally sustainable future by reducing our energy consumption, investing in conservation projects and managing our impacts on the environment.</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959595"/>
        </w:rPr>
        <w:t>__________</w:t>
      </w:r>
    </w:p>
    <w:p>
      <w:pPr>
        <w:ind w:right="100"/>
        <w:spacing w:after="0" w:line="238" w:lineRule="auto"/>
        <w:rPr>
          <w:sz w:val="20"/>
          <w:szCs w:val="20"/>
          <w:color w:val="auto"/>
        </w:rPr>
      </w:pPr>
      <w:r>
        <w:rPr>
          <w:rFonts w:ascii="Arial" w:cs="Arial" w:eastAsia="Arial" w:hAnsi="Arial"/>
          <w:sz w:val="13"/>
          <w:szCs w:val="13"/>
          <w:color w:val="auto"/>
        </w:rPr>
        <w:t>44% decrease in manufacturing energy intensity (kWh/PB) since 2016</w:t>
      </w:r>
    </w:p>
    <w:p>
      <w:pPr>
        <w:spacing w:after="0"/>
        <w:rPr>
          <w:sz w:val="20"/>
          <w:szCs w:val="20"/>
          <w:color w:val="auto"/>
        </w:rPr>
      </w:pPr>
      <w:r>
        <w:rPr>
          <w:rFonts w:ascii="Arial" w:cs="Arial" w:eastAsia="Arial" w:hAnsi="Arial"/>
          <w:sz w:val="13"/>
          <w:szCs w:val="13"/>
          <w:color w:val="959595"/>
        </w:rPr>
        <w:t>__________</w:t>
      </w:r>
    </w:p>
    <w:p>
      <w:pPr>
        <w:ind w:right="60"/>
        <w:spacing w:after="0" w:line="238" w:lineRule="auto"/>
        <w:rPr>
          <w:sz w:val="20"/>
          <w:szCs w:val="20"/>
          <w:color w:val="auto"/>
        </w:rPr>
      </w:pPr>
      <w:r>
        <w:rPr>
          <w:rFonts w:ascii="Arial" w:cs="Arial" w:eastAsia="Arial" w:hAnsi="Arial"/>
          <w:sz w:val="13"/>
          <w:szCs w:val="13"/>
          <w:color w:val="auto"/>
        </w:rPr>
        <w:t>Developing robust Scope 3 emissions data in fiscal 2021 in preparation for evaluation of targets</w:t>
      </w:r>
    </w:p>
    <w:p>
      <w:pPr>
        <w:spacing w:after="0"/>
        <w:rPr>
          <w:sz w:val="20"/>
          <w:szCs w:val="20"/>
          <w:color w:val="auto"/>
        </w:rPr>
      </w:pPr>
      <w:r>
        <w:rPr>
          <w:rFonts w:ascii="Arial" w:cs="Arial" w:eastAsia="Arial" w:hAnsi="Arial"/>
          <w:sz w:val="13"/>
          <w:szCs w:val="13"/>
          <w:color w:val="959595"/>
        </w:rPr>
        <w:t>__________</w:t>
      </w:r>
    </w:p>
    <w:p>
      <w:pPr>
        <w:ind w:right="100"/>
        <w:spacing w:after="0" w:line="258" w:lineRule="auto"/>
        <w:rPr>
          <w:sz w:val="20"/>
          <w:szCs w:val="20"/>
          <w:color w:val="auto"/>
        </w:rPr>
      </w:pPr>
      <w:r>
        <w:rPr>
          <w:rFonts w:ascii="Arial" w:cs="Arial" w:eastAsia="Arial" w:hAnsi="Arial"/>
          <w:sz w:val="13"/>
          <w:szCs w:val="13"/>
          <w:color w:val="auto"/>
        </w:rPr>
        <w:t>Currently exceeding our target of 1.5% annual reduction in energy usage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61C4AF"/>
        </w:rPr>
        <w:t>Health and Safety/COVID-19</w:t>
      </w:r>
    </w:p>
    <w:p>
      <w:pPr>
        <w:spacing w:after="0" w:line="106" w:lineRule="exact"/>
        <w:rPr>
          <w:sz w:val="20"/>
          <w:szCs w:val="20"/>
          <w:color w:val="auto"/>
        </w:rPr>
      </w:pPr>
    </w:p>
    <w:p>
      <w:pPr>
        <w:ind w:right="60"/>
        <w:spacing w:after="0" w:line="242" w:lineRule="auto"/>
        <w:rPr>
          <w:sz w:val="20"/>
          <w:szCs w:val="20"/>
          <w:color w:val="auto"/>
        </w:rPr>
      </w:pPr>
      <w:r>
        <w:rPr>
          <w:rFonts w:ascii="Arial" w:cs="Arial" w:eastAsia="Arial" w:hAnsi="Arial"/>
          <w:sz w:val="13"/>
          <w:szCs w:val="13"/>
          <w:b w:val="1"/>
          <w:bCs w:val="1"/>
          <w:i w:val="1"/>
          <w:iCs w:val="1"/>
          <w:color w:val="61C4AF"/>
        </w:rPr>
        <w:t>As a company that has positioned itself to be the world’s leading data infrastructure company, we remained committed to provide essential infrastructure to support our world community during this worldwide pandemic. We did so with the health and safety of our employees as our first priority.</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959595"/>
        </w:rPr>
        <w:t>__________</w:t>
      </w:r>
    </w:p>
    <w:p>
      <w:pPr>
        <w:ind w:right="240"/>
        <w:spacing w:after="0" w:line="238" w:lineRule="auto"/>
        <w:rPr>
          <w:sz w:val="20"/>
          <w:szCs w:val="20"/>
          <w:color w:val="auto"/>
        </w:rPr>
      </w:pPr>
      <w:r>
        <w:rPr>
          <w:rFonts w:ascii="Arial" w:cs="Arial" w:eastAsia="Arial" w:hAnsi="Arial"/>
          <w:sz w:val="13"/>
          <w:szCs w:val="13"/>
          <w:color w:val="auto"/>
        </w:rPr>
        <w:t>Promptly transitioned all possible employees to continue work from home</w:t>
      </w:r>
    </w:p>
    <w:p>
      <w:pPr>
        <w:spacing w:after="0"/>
        <w:rPr>
          <w:sz w:val="20"/>
          <w:szCs w:val="20"/>
          <w:color w:val="auto"/>
        </w:rPr>
      </w:pPr>
      <w:r>
        <w:rPr>
          <w:rFonts w:ascii="Arial" w:cs="Arial" w:eastAsia="Arial" w:hAnsi="Arial"/>
          <w:sz w:val="13"/>
          <w:szCs w:val="13"/>
          <w:color w:val="959595"/>
        </w:rPr>
        <w:t>__________</w:t>
      </w:r>
    </w:p>
    <w:p>
      <w:pPr>
        <w:jc w:val="both"/>
        <w:ind w:right="300"/>
        <w:spacing w:after="0" w:line="238" w:lineRule="auto"/>
        <w:rPr>
          <w:sz w:val="20"/>
          <w:szCs w:val="20"/>
          <w:color w:val="auto"/>
        </w:rPr>
      </w:pPr>
      <w:r>
        <w:rPr>
          <w:rFonts w:ascii="Arial" w:cs="Arial" w:eastAsia="Arial" w:hAnsi="Arial"/>
          <w:sz w:val="13"/>
          <w:szCs w:val="13"/>
          <w:color w:val="auto"/>
        </w:rPr>
        <w:t>Early adopter of PPE and temperature screening at our worldwide factories to protect essential employees and anyone visiting our sites</w:t>
      </w:r>
    </w:p>
    <w:p>
      <w:pPr>
        <w:spacing w:after="0"/>
        <w:rPr>
          <w:sz w:val="20"/>
          <w:szCs w:val="20"/>
          <w:color w:val="auto"/>
        </w:rPr>
      </w:pPr>
      <w:r>
        <w:rPr>
          <w:rFonts w:ascii="Arial" w:cs="Arial" w:eastAsia="Arial" w:hAnsi="Arial"/>
          <w:sz w:val="13"/>
          <w:szCs w:val="13"/>
          <w:color w:val="959595"/>
        </w:rPr>
        <w:t>__________</w:t>
      </w:r>
    </w:p>
    <w:p>
      <w:pPr>
        <w:ind w:right="340"/>
        <w:spacing w:after="0" w:line="238" w:lineRule="auto"/>
        <w:rPr>
          <w:sz w:val="20"/>
          <w:szCs w:val="20"/>
          <w:color w:val="auto"/>
        </w:rPr>
      </w:pPr>
      <w:r>
        <w:rPr>
          <w:rFonts w:ascii="Arial" w:cs="Arial" w:eastAsia="Arial" w:hAnsi="Arial"/>
          <w:sz w:val="13"/>
          <w:szCs w:val="13"/>
          <w:color w:val="auto"/>
        </w:rPr>
        <w:t>Provided emergency leave for employees impacted by COVID-19</w:t>
      </w:r>
    </w:p>
    <w:p>
      <w:pPr>
        <w:spacing w:after="0"/>
        <w:rPr>
          <w:sz w:val="20"/>
          <w:szCs w:val="20"/>
          <w:color w:val="auto"/>
        </w:rPr>
      </w:pPr>
      <w:r>
        <w:rPr>
          <w:rFonts w:ascii="Arial" w:cs="Arial" w:eastAsia="Arial" w:hAnsi="Arial"/>
          <w:sz w:val="13"/>
          <w:szCs w:val="13"/>
          <w:color w:val="959595"/>
        </w:rPr>
        <w:t>__________</w:t>
      </w:r>
    </w:p>
    <w:p>
      <w:pPr>
        <w:spacing w:after="0"/>
        <w:rPr>
          <w:sz w:val="20"/>
          <w:szCs w:val="20"/>
          <w:color w:val="auto"/>
        </w:rPr>
      </w:pPr>
      <w:r>
        <w:rPr>
          <w:rFonts w:ascii="Arial" w:cs="Arial" w:eastAsia="Arial" w:hAnsi="Arial"/>
          <w:sz w:val="13"/>
          <w:szCs w:val="13"/>
          <w:color w:val="auto"/>
        </w:rPr>
        <w:t>Offered premium pay for hourly essential workers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-2332990</wp:posOffset>
            </wp:positionH>
            <wp:positionV relativeFrom="paragraph">
              <wp:posOffset>469265</wp:posOffset>
            </wp:positionV>
            <wp:extent cx="7153275"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61C4AF"/>
        </w:rPr>
        <w:t>Lifecycle Impacts</w:t>
      </w:r>
    </w:p>
    <w:p>
      <w:pPr>
        <w:spacing w:after="0" w:line="106" w:lineRule="exact"/>
        <w:rPr>
          <w:sz w:val="20"/>
          <w:szCs w:val="20"/>
          <w:color w:val="auto"/>
        </w:rPr>
      </w:pPr>
    </w:p>
    <w:p>
      <w:pPr>
        <w:ind w:right="100"/>
        <w:spacing w:after="0" w:line="243" w:lineRule="auto"/>
        <w:rPr>
          <w:sz w:val="20"/>
          <w:szCs w:val="20"/>
          <w:color w:val="auto"/>
        </w:rPr>
      </w:pPr>
      <w:r>
        <w:rPr>
          <w:rFonts w:ascii="Arial" w:cs="Arial" w:eastAsia="Arial" w:hAnsi="Arial"/>
          <w:sz w:val="13"/>
          <w:szCs w:val="13"/>
          <w:b w:val="1"/>
          <w:bCs w:val="1"/>
          <w:i w:val="1"/>
          <w:iCs w:val="1"/>
          <w:color w:val="61C4AF"/>
        </w:rPr>
        <w:t>We care for our world at every step, everywhere we operate. Since our products are used widely throughout the world, we’re committed to delivering products designed and manufactured with long-term sustainability in mind.</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959595"/>
        </w:rPr>
        <w:t>__________</w:t>
      </w:r>
    </w:p>
    <w:p>
      <w:pPr>
        <w:ind w:right="660"/>
        <w:spacing w:after="0" w:line="238" w:lineRule="auto"/>
        <w:rPr>
          <w:sz w:val="20"/>
          <w:szCs w:val="20"/>
          <w:color w:val="auto"/>
        </w:rPr>
      </w:pPr>
      <w:r>
        <w:rPr>
          <w:rFonts w:ascii="Arial" w:cs="Arial" w:eastAsia="Arial" w:hAnsi="Arial"/>
          <w:sz w:val="13"/>
          <w:szCs w:val="13"/>
          <w:color w:val="auto"/>
        </w:rPr>
        <w:t>Product takeback program launched in April 2020 to encourage and facilitate product recycling</w:t>
      </w:r>
    </w:p>
    <w:p>
      <w:pPr>
        <w:spacing w:after="0"/>
        <w:rPr>
          <w:sz w:val="20"/>
          <w:szCs w:val="20"/>
          <w:color w:val="auto"/>
        </w:rPr>
      </w:pPr>
      <w:r>
        <w:rPr>
          <w:rFonts w:ascii="Arial" w:cs="Arial" w:eastAsia="Arial" w:hAnsi="Arial"/>
          <w:sz w:val="13"/>
          <w:szCs w:val="13"/>
          <w:color w:val="959595"/>
        </w:rPr>
        <w:t>__________</w:t>
      </w:r>
    </w:p>
    <w:p>
      <w:pPr>
        <w:ind w:right="160"/>
        <w:spacing w:after="0" w:line="238" w:lineRule="auto"/>
        <w:rPr>
          <w:sz w:val="20"/>
          <w:szCs w:val="20"/>
          <w:color w:val="auto"/>
        </w:rPr>
      </w:pPr>
      <w:r>
        <w:rPr>
          <w:rFonts w:ascii="Arial" w:cs="Arial" w:eastAsia="Arial" w:hAnsi="Arial"/>
          <w:sz w:val="13"/>
          <w:szCs w:val="13"/>
          <w:color w:val="auto"/>
        </w:rPr>
        <w:t>Performing several ISO-conformant lifecycle assessments in fiscal 2021 to evaluate the impacts of our products</w:t>
      </w:r>
    </w:p>
    <w:p>
      <w:pPr>
        <w:spacing w:after="0"/>
        <w:rPr>
          <w:sz w:val="20"/>
          <w:szCs w:val="20"/>
          <w:color w:val="auto"/>
        </w:rPr>
      </w:pPr>
      <w:r>
        <w:rPr>
          <w:rFonts w:ascii="Arial" w:cs="Arial" w:eastAsia="Arial" w:hAnsi="Arial"/>
          <w:sz w:val="13"/>
          <w:szCs w:val="13"/>
          <w:color w:val="959595"/>
        </w:rPr>
        <w:t>__________</w:t>
      </w:r>
    </w:p>
    <w:p>
      <w:pPr>
        <w:ind w:right="100"/>
        <w:spacing w:after="0" w:line="258" w:lineRule="auto"/>
        <w:rPr>
          <w:sz w:val="20"/>
          <w:szCs w:val="20"/>
          <w:color w:val="auto"/>
        </w:rPr>
      </w:pPr>
      <w:r>
        <w:rPr>
          <w:rFonts w:ascii="Arial" w:cs="Arial" w:eastAsia="Arial" w:hAnsi="Arial"/>
          <w:sz w:val="13"/>
          <w:szCs w:val="13"/>
          <w:color w:val="auto"/>
        </w:rPr>
        <w:t>730,000 kg less paper used annually in packaging (compared to 2010 base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61C4AF"/>
        </w:rPr>
        <w:t>Integrity</w:t>
      </w:r>
    </w:p>
    <w:p>
      <w:pPr>
        <w:spacing w:after="0" w:line="106" w:lineRule="exact"/>
        <w:rPr>
          <w:sz w:val="20"/>
          <w:szCs w:val="20"/>
          <w:color w:val="auto"/>
        </w:rPr>
      </w:pPr>
    </w:p>
    <w:p>
      <w:pPr>
        <w:ind w:right="280"/>
        <w:spacing w:after="0" w:line="243" w:lineRule="auto"/>
        <w:rPr>
          <w:sz w:val="20"/>
          <w:szCs w:val="20"/>
          <w:color w:val="auto"/>
        </w:rPr>
      </w:pPr>
      <w:r>
        <w:rPr>
          <w:rFonts w:ascii="Arial" w:cs="Arial" w:eastAsia="Arial" w:hAnsi="Arial"/>
          <w:sz w:val="13"/>
          <w:szCs w:val="13"/>
          <w:b w:val="1"/>
          <w:bCs w:val="1"/>
          <w:i w:val="1"/>
          <w:iCs w:val="1"/>
          <w:color w:val="61C4AF"/>
        </w:rPr>
        <w:t>As a global company operating across a wide range of geographies, Western Digital is committed to doing business fairly and legally. We set a consistent tone across our organization to form our global culture of integrity.</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959595"/>
        </w:rPr>
        <w:t>__________</w:t>
      </w:r>
    </w:p>
    <w:p>
      <w:pPr>
        <w:ind w:right="260"/>
        <w:spacing w:after="0" w:line="238" w:lineRule="auto"/>
        <w:rPr>
          <w:sz w:val="20"/>
          <w:szCs w:val="20"/>
          <w:color w:val="auto"/>
        </w:rPr>
      </w:pPr>
      <w:r>
        <w:rPr>
          <w:rFonts w:ascii="Arial" w:cs="Arial" w:eastAsia="Arial" w:hAnsi="Arial"/>
          <w:sz w:val="13"/>
          <w:szCs w:val="13"/>
          <w:color w:val="auto"/>
        </w:rPr>
        <w:t>Recognized by Ethisphere Institute for the 2nd consecutive year as one of the World’s Most Ethical Companies</w:t>
      </w:r>
    </w:p>
    <w:p>
      <w:pPr>
        <w:spacing w:after="0"/>
        <w:rPr>
          <w:sz w:val="20"/>
          <w:szCs w:val="20"/>
          <w:color w:val="auto"/>
        </w:rPr>
      </w:pPr>
      <w:r>
        <w:rPr>
          <w:rFonts w:ascii="Arial" w:cs="Arial" w:eastAsia="Arial" w:hAnsi="Arial"/>
          <w:sz w:val="13"/>
          <w:szCs w:val="13"/>
          <w:color w:val="959595"/>
        </w:rPr>
        <w:t>__________</w:t>
      </w:r>
    </w:p>
    <w:p>
      <w:pPr>
        <w:ind w:right="260"/>
        <w:spacing w:after="0" w:line="238" w:lineRule="auto"/>
        <w:rPr>
          <w:sz w:val="20"/>
          <w:szCs w:val="20"/>
          <w:color w:val="auto"/>
        </w:rPr>
      </w:pPr>
      <w:r>
        <w:rPr>
          <w:rFonts w:ascii="Arial" w:cs="Arial" w:eastAsia="Arial" w:hAnsi="Arial"/>
          <w:sz w:val="13"/>
          <w:szCs w:val="13"/>
          <w:color w:val="auto"/>
        </w:rPr>
        <w:t>100% of operations assessed for risks related to corruption since 2016</w:t>
      </w:r>
    </w:p>
    <w:p>
      <w:pPr>
        <w:spacing w:after="0"/>
        <w:rPr>
          <w:sz w:val="20"/>
          <w:szCs w:val="20"/>
          <w:color w:val="auto"/>
        </w:rPr>
      </w:pPr>
      <w:r>
        <w:rPr>
          <w:rFonts w:ascii="Arial" w:cs="Arial" w:eastAsia="Arial" w:hAnsi="Arial"/>
          <w:sz w:val="13"/>
          <w:szCs w:val="13"/>
          <w:color w:val="959595"/>
        </w:rPr>
        <w:t>__________</w:t>
      </w:r>
    </w:p>
    <w:p>
      <w:pPr>
        <w:ind w:right="20"/>
        <w:spacing w:after="0" w:line="258" w:lineRule="auto"/>
        <w:rPr>
          <w:sz w:val="20"/>
          <w:szCs w:val="20"/>
          <w:color w:val="auto"/>
        </w:rPr>
      </w:pPr>
      <w:r>
        <w:rPr>
          <w:rFonts w:ascii="Arial" w:cs="Arial" w:eastAsia="Arial" w:hAnsi="Arial"/>
          <w:sz w:val="13"/>
          <w:szCs w:val="13"/>
          <w:color w:val="auto"/>
        </w:rPr>
        <w:t>Zero reportable breaches of personal data in 2019 or to date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23628F"/>
        </w:rPr>
        <w:t>2020 PROXY STATEMENT</w:t>
      </w:r>
      <w:r>
        <w:rPr>
          <w:sz w:val="20"/>
          <w:szCs w:val="20"/>
          <w:color w:val="auto"/>
        </w:rPr>
        <w:tab/>
      </w:r>
      <w:r>
        <w:rPr>
          <w:rFonts w:ascii="Arial" w:cs="Arial" w:eastAsia="Arial" w:hAnsi="Arial"/>
          <w:sz w:val="16"/>
          <w:szCs w:val="16"/>
          <w:b w:val="1"/>
          <w:bCs w:val="1"/>
          <w:color w:val="23628F"/>
        </w:rPr>
        <w:t>15</w:t>
      </w:r>
    </w:p>
    <w:p>
      <w:pPr>
        <w:sectPr>
          <w:pgSz w:w="11900" w:h="16838" w:orient="portrait"/>
          <w:cols w:equalWidth="0" w:num="3">
            <w:col w:w="3520" w:space="160"/>
            <w:col w:w="3600" w:space="180"/>
            <w:col w:w="3780"/>
          </w:cols>
          <w:pgMar w:left="320" w:top="121" w:right="3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Arial" w:cs="Arial" w:eastAsia="Arial" w:hAnsi="Arial"/>
          <w:sz w:val="50"/>
          <w:szCs w:val="50"/>
          <w:b w:val="1"/>
          <w:bCs w:val="1"/>
          <w:color w:val="23628F"/>
        </w:rPr>
        <w:t>Corporate Governance Matters</w:t>
      </w:r>
    </w:p>
    <w:p>
      <w:pPr>
        <w:spacing w:after="0" w:line="97" w:lineRule="exact"/>
        <w:rPr>
          <w:sz w:val="20"/>
          <w:szCs w:val="20"/>
          <w:color w:val="auto"/>
        </w:rPr>
      </w:pPr>
    </w:p>
    <w:p>
      <w:pPr>
        <w:ind w:left="280"/>
        <w:spacing w:after="0"/>
        <w:tabs>
          <w:tab w:leader="none" w:pos="2400" w:val="left"/>
        </w:tabs>
        <w:rPr>
          <w:sz w:val="20"/>
          <w:szCs w:val="20"/>
          <w:color w:val="auto"/>
        </w:rPr>
      </w:pPr>
      <w:r>
        <w:rPr>
          <w:rFonts w:ascii="Arial" w:cs="Arial" w:eastAsia="Arial" w:hAnsi="Arial"/>
          <w:sz w:val="57"/>
          <w:szCs w:val="57"/>
          <w:b w:val="1"/>
          <w:bCs w:val="1"/>
          <w:color w:val="FFFFFF"/>
          <w:vertAlign w:val="subscript"/>
        </w:rPr>
        <w:t>PROPOSAL 1</w:t>
      </w:r>
      <w:r>
        <w:rPr>
          <w:sz w:val="20"/>
          <w:szCs w:val="20"/>
          <w:color w:val="auto"/>
        </w:rPr>
        <w:tab/>
      </w:r>
      <w:r>
        <w:rPr>
          <w:rFonts w:ascii="Arial" w:cs="Arial" w:eastAsia="Arial" w:hAnsi="Arial"/>
          <w:sz w:val="21"/>
          <w:szCs w:val="21"/>
          <w:b w:val="1"/>
          <w:bCs w:val="1"/>
          <w:color w:val="FFFFFF"/>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9944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720"/>
        <w:spacing w:after="0"/>
        <w:rPr>
          <w:sz w:val="20"/>
          <w:szCs w:val="20"/>
          <w:color w:val="auto"/>
        </w:rPr>
      </w:pPr>
      <w:r>
        <w:rPr>
          <w:rFonts w:ascii="Arial" w:cs="Arial" w:eastAsia="Arial" w:hAnsi="Arial"/>
          <w:sz w:val="13"/>
          <w:szCs w:val="13"/>
          <w:color w:val="auto"/>
        </w:rPr>
        <w:t xml:space="preserve">Our Board of Directors recommends a vote </w:t>
      </w:r>
      <w:r>
        <w:rPr>
          <w:rFonts w:ascii="Arial" w:cs="Arial" w:eastAsia="Arial" w:hAnsi="Arial"/>
          <w:sz w:val="13"/>
          <w:szCs w:val="13"/>
          <w:b w:val="1"/>
          <w:bCs w:val="1"/>
          <w:color w:val="61C4AF"/>
        </w:rPr>
        <w:t>FOR</w:t>
      </w:r>
      <w:r>
        <w:rPr>
          <w:rFonts w:ascii="Arial" w:cs="Arial" w:eastAsia="Arial" w:hAnsi="Arial"/>
          <w:sz w:val="13"/>
          <w:szCs w:val="13"/>
          <w:color w:val="auto"/>
        </w:rPr>
        <w:t xml:space="preserve"> each of the eight director nominees named in this Proxy Statement.</w:t>
      </w:r>
    </w:p>
    <w:p>
      <w:pPr>
        <w:spacing w:after="0" w:line="200" w:lineRule="exact"/>
        <w:rPr>
          <w:sz w:val="20"/>
          <w:szCs w:val="20"/>
          <w:color w:val="auto"/>
        </w:rPr>
      </w:pPr>
    </w:p>
    <w:p>
      <w:pPr>
        <w:spacing w:after="0" w:line="261" w:lineRule="exact"/>
        <w:rPr>
          <w:sz w:val="20"/>
          <w:szCs w:val="20"/>
          <w:color w:val="auto"/>
        </w:rPr>
      </w:pPr>
    </w:p>
    <w:p>
      <w:pPr>
        <w:ind w:left="240" w:hanging="232"/>
        <w:spacing w:after="0"/>
        <w:tabs>
          <w:tab w:leader="none" w:pos="240" w:val="left"/>
        </w:tabs>
        <w:numPr>
          <w:ilvl w:val="0"/>
          <w:numId w:val="56"/>
        </w:numPr>
        <w:rPr>
          <w:rFonts w:ascii="Arial" w:cs="Arial" w:eastAsia="Arial" w:hAnsi="Arial"/>
          <w:sz w:val="13"/>
          <w:szCs w:val="13"/>
          <w:color w:val="61C4AF"/>
        </w:rPr>
      </w:pPr>
      <w:r>
        <w:rPr>
          <w:rFonts w:ascii="Arial" w:cs="Arial" w:eastAsia="Arial" w:hAnsi="Arial"/>
          <w:sz w:val="13"/>
          <w:szCs w:val="13"/>
          <w:color w:val="auto"/>
        </w:rPr>
        <w:t>All directors elected annually by a simple majority of votes cast</w:t>
      </w:r>
    </w:p>
    <w:p>
      <w:pPr>
        <w:spacing w:after="0" w:line="107" w:lineRule="exact"/>
        <w:rPr>
          <w:rFonts w:ascii="Arial" w:cs="Arial" w:eastAsia="Arial" w:hAnsi="Arial"/>
          <w:sz w:val="13"/>
          <w:szCs w:val="13"/>
          <w:color w:val="61C4AF"/>
        </w:rPr>
      </w:pPr>
    </w:p>
    <w:p>
      <w:pPr>
        <w:ind w:left="240" w:hanging="232"/>
        <w:spacing w:after="0"/>
        <w:tabs>
          <w:tab w:leader="none" w:pos="240" w:val="left"/>
        </w:tabs>
        <w:numPr>
          <w:ilvl w:val="0"/>
          <w:numId w:val="56"/>
        </w:numPr>
        <w:rPr>
          <w:rFonts w:ascii="Arial" w:cs="Arial" w:eastAsia="Arial" w:hAnsi="Arial"/>
          <w:sz w:val="13"/>
          <w:szCs w:val="13"/>
          <w:color w:val="61C4AF"/>
        </w:rPr>
      </w:pPr>
      <w:r>
        <w:rPr>
          <w:rFonts w:ascii="Arial" w:cs="Arial" w:eastAsia="Arial" w:hAnsi="Arial"/>
          <w:sz w:val="13"/>
          <w:szCs w:val="13"/>
          <w:color w:val="auto"/>
        </w:rPr>
        <w:t>Independent Board leadership, including a Lead Independent Director with clearly defined roles and responsibilities</w:t>
      </w:r>
    </w:p>
    <w:p>
      <w:pPr>
        <w:spacing w:after="0" w:line="107" w:lineRule="exact"/>
        <w:rPr>
          <w:rFonts w:ascii="Arial" w:cs="Arial" w:eastAsia="Arial" w:hAnsi="Arial"/>
          <w:sz w:val="13"/>
          <w:szCs w:val="13"/>
          <w:color w:val="61C4AF"/>
        </w:rPr>
      </w:pPr>
    </w:p>
    <w:p>
      <w:pPr>
        <w:ind w:left="240" w:hanging="232"/>
        <w:spacing w:after="0"/>
        <w:tabs>
          <w:tab w:leader="none" w:pos="240" w:val="left"/>
        </w:tabs>
        <w:numPr>
          <w:ilvl w:val="0"/>
          <w:numId w:val="56"/>
        </w:numPr>
        <w:rPr>
          <w:rFonts w:ascii="Arial" w:cs="Arial" w:eastAsia="Arial" w:hAnsi="Arial"/>
          <w:sz w:val="13"/>
          <w:szCs w:val="13"/>
          <w:color w:val="61C4AF"/>
        </w:rPr>
      </w:pPr>
      <w:r>
        <w:rPr>
          <w:rFonts w:ascii="Arial" w:cs="Arial" w:eastAsia="Arial" w:hAnsi="Arial"/>
          <w:sz w:val="13"/>
          <w:szCs w:val="13"/>
          <w:color w:val="auto"/>
        </w:rPr>
        <w:t>Seven of eight director nominees are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4" w:lineRule="exact"/>
        <w:rPr>
          <w:sz w:val="20"/>
          <w:szCs w:val="20"/>
          <w:color w:val="auto"/>
        </w:rPr>
      </w:pPr>
    </w:p>
    <w:p>
      <w:pPr>
        <w:spacing w:after="0" w:line="243" w:lineRule="auto"/>
        <w:rPr>
          <w:sz w:val="20"/>
          <w:szCs w:val="20"/>
          <w:color w:val="auto"/>
        </w:rPr>
      </w:pPr>
      <w:r>
        <w:rPr>
          <w:rFonts w:ascii="Arial" w:cs="Arial" w:eastAsia="Arial" w:hAnsi="Arial"/>
          <w:sz w:val="13"/>
          <w:szCs w:val="13"/>
          <w:color w:val="auto"/>
        </w:rPr>
        <w:t>Our Board of Directors is presenting eight nominees for election as directors at the Annual Meeting. Each of the nominees is currently a member of our Board and, other than Mr. Goeckeler, who joined our Board in March 2020, and Ms. Price, who rejoined our Board in June 2020, was elected to our Board at the 2019 annual meeting of stockholders. Each director elected at the Annual Meeting will serve until our 2021 annual meeting of stockholders and until a successor is duly elected and qualified. Each of the nominees has consented to be named in this Proxy Statement and to serve as a director if elected. If any nominee is unable or unwilling for good cause to stand for election or serve as a director if elected, the persons named as proxies may vote for a substitute nominee designated by our existing Board of Directors, or our Board may choose to reduce its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234440" cy="685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34440" cy="68580"/>
                    </a:xfrm>
                    <a:prstGeom prst="rect">
                      <a:avLst/>
                    </a:prstGeom>
                    <a:noFill/>
                  </pic:spPr>
                </pic:pic>
              </a:graphicData>
            </a:graphic>
          </wp:anchor>
        </w:drawing>
      </w:r>
    </w:p>
    <w:p>
      <w:pPr>
        <w:spacing w:after="0" w:line="306"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VOTE REQUIRED FOR APPROVAL</w:t>
      </w:r>
    </w:p>
    <w:p>
      <w:pPr>
        <w:spacing w:after="0" w:line="252" w:lineRule="exact"/>
        <w:rPr>
          <w:sz w:val="20"/>
          <w:szCs w:val="20"/>
          <w:color w:val="auto"/>
        </w:rPr>
      </w:pPr>
    </w:p>
    <w:p>
      <w:pPr>
        <w:ind w:right="120"/>
        <w:spacing w:after="0" w:line="258" w:lineRule="auto"/>
        <w:rPr>
          <w:sz w:val="20"/>
          <w:szCs w:val="20"/>
          <w:color w:val="auto"/>
        </w:rPr>
      </w:pPr>
      <w:r>
        <w:rPr>
          <w:rFonts w:ascii="Arial" w:cs="Arial" w:eastAsia="Arial" w:hAnsi="Arial"/>
          <w:sz w:val="13"/>
          <w:szCs w:val="13"/>
          <w:color w:val="auto"/>
        </w:rPr>
        <w:t>Each director nominee will be elected as a director if the nominee receives the affirmative vote of a majority of the votes cast with respect to his or her election (in other words, the number of shares voted “for” a director must exceed the number of votes cast “against” that director).</w:t>
      </w:r>
    </w:p>
    <w:p>
      <w:pPr>
        <w:spacing w:after="0" w:line="192" w:lineRule="exact"/>
        <w:rPr>
          <w:sz w:val="20"/>
          <w:szCs w:val="20"/>
          <w:color w:val="auto"/>
        </w:rPr>
      </w:pPr>
    </w:p>
    <w:p>
      <w:pPr>
        <w:spacing w:after="0" w:line="242" w:lineRule="auto"/>
        <w:rPr>
          <w:sz w:val="20"/>
          <w:szCs w:val="20"/>
          <w:color w:val="auto"/>
        </w:rPr>
      </w:pPr>
      <w:r>
        <w:rPr>
          <w:rFonts w:ascii="Arial" w:cs="Arial" w:eastAsia="Arial" w:hAnsi="Arial"/>
          <w:sz w:val="13"/>
          <w:szCs w:val="13"/>
          <w:color w:val="auto"/>
        </w:rPr>
        <w:t>If a nominee who is serving as a director is not elected at the Annual Meeting by the requisite majority of votes cast, Delaware law provides that the director would continue to serve on our Board of Directors as a “holdover director.” However, under our By-laws, any incumbent director who fails to be elected must offer to tender his or her resignation to our Board. If the director conditions his or her resignation on acceptance by our Board, the Governance Committee will then make a recommendation to our Board on whether to accept or reject the resignation or whether other action should be taken. Our Board will act on the Governance Committee’s recommendation and publicly disclose its decision and the rationale behind it within 90 days from the date the election results are certified. The director who tenders his or her resignation will not participate in our Board’s or the Governance Committee’s decision. Any nominee who was not already serving as a director and is not elected at the Annual Meeting by a majority of the votes cast with respect to such director’s election would not be elected to our Board.</w:t>
      </w:r>
    </w:p>
    <w:p>
      <w:pPr>
        <w:spacing w:after="0" w:line="198" w:lineRule="exact"/>
        <w:rPr>
          <w:sz w:val="20"/>
          <w:szCs w:val="20"/>
          <w:color w:val="auto"/>
        </w:rPr>
      </w:pPr>
    </w:p>
    <w:p>
      <w:pPr>
        <w:ind w:left="440" w:hanging="432"/>
        <w:spacing w:after="0"/>
        <w:tabs>
          <w:tab w:leader="none" w:pos="440" w:val="left"/>
        </w:tabs>
        <w:numPr>
          <w:ilvl w:val="0"/>
          <w:numId w:val="57"/>
        </w:numPr>
        <w:rPr>
          <w:rFonts w:ascii="Arial" w:cs="Arial" w:eastAsia="Arial" w:hAnsi="Arial"/>
          <w:sz w:val="18"/>
          <w:szCs w:val="18"/>
          <w:b w:val="1"/>
          <w:bCs w:val="1"/>
          <w:color w:val="23628F"/>
        </w:rPr>
      </w:pPr>
      <w:r>
        <w:rPr>
          <w:rFonts w:ascii="Arial" w:cs="Arial" w:eastAsia="Arial" w:hAnsi="Arial"/>
          <w:sz w:val="13"/>
          <w:szCs w:val="13"/>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153275"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ind w:left="8720"/>
        <w:spacing w:after="0"/>
        <w:rPr>
          <w:sz w:val="20"/>
          <w:szCs w:val="20"/>
          <w:color w:val="auto"/>
        </w:rPr>
      </w:pPr>
      <w:r>
        <w:rPr>
          <w:rFonts w:ascii="Arial" w:cs="Arial" w:eastAsia="Arial" w:hAnsi="Arial"/>
          <w:sz w:val="13"/>
          <w:szCs w:val="13"/>
          <w:color w:val="23628F"/>
        </w:rPr>
        <w:t>CORPORATE GOVERNANCE MATTERS</w:t>
      </w:r>
    </w:p>
    <w:p>
      <w:pPr>
        <w:spacing w:after="0" w:line="184" w:lineRule="exact"/>
        <w:rPr>
          <w:sz w:val="20"/>
          <w:szCs w:val="20"/>
          <w:color w:val="auto"/>
        </w:rPr>
      </w:pPr>
    </w:p>
    <w:p>
      <w:pPr>
        <w:spacing w:after="0"/>
        <w:rPr>
          <w:sz w:val="20"/>
          <w:szCs w:val="20"/>
          <w:color w:val="auto"/>
        </w:rPr>
      </w:pPr>
      <w:r>
        <w:rPr>
          <w:rFonts w:ascii="Arial" w:cs="Arial" w:eastAsia="Arial" w:hAnsi="Arial"/>
          <w:sz w:val="31"/>
          <w:szCs w:val="31"/>
          <w:b w:val="1"/>
          <w:bCs w:val="1"/>
          <w:color w:val="567EA5"/>
        </w:rPr>
        <w:t>NOMINEES FOR ELECTION</w:t>
      </w:r>
    </w:p>
    <w:p>
      <w:pPr>
        <w:spacing w:after="0" w:line="255" w:lineRule="exact"/>
        <w:rPr>
          <w:sz w:val="20"/>
          <w:szCs w:val="20"/>
          <w:color w:val="auto"/>
        </w:rPr>
      </w:pPr>
    </w:p>
    <w:p>
      <w:pPr>
        <w:spacing w:after="0"/>
        <w:rPr>
          <w:sz w:val="20"/>
          <w:szCs w:val="20"/>
          <w:color w:val="auto"/>
        </w:rPr>
      </w:pPr>
      <w:r>
        <w:rPr>
          <w:rFonts w:ascii="Arial" w:cs="Arial" w:eastAsia="Arial" w:hAnsi="Arial"/>
          <w:sz w:val="13"/>
          <w:szCs w:val="13"/>
          <w:color w:val="auto"/>
        </w:rPr>
        <w:t>Below is information about the experience and other key qualifications and attributes of each of our Board’s eight director nominees.</w:t>
      </w:r>
    </w:p>
    <w:p>
      <w:pPr>
        <w:spacing w:after="0" w:line="180" w:lineRule="exact"/>
        <w:rPr>
          <w:sz w:val="20"/>
          <w:szCs w:val="20"/>
          <w:color w:val="auto"/>
        </w:rPr>
      </w:pPr>
    </w:p>
    <w:p>
      <w:pPr>
        <w:spacing w:after="0"/>
        <w:rPr>
          <w:sz w:val="20"/>
          <w:szCs w:val="20"/>
          <w:color w:val="auto"/>
        </w:rPr>
      </w:pPr>
      <w:r>
        <w:rPr>
          <w:rFonts w:ascii="Arial" w:cs="Arial" w:eastAsia="Arial" w:hAnsi="Arial"/>
          <w:sz w:val="27"/>
          <w:szCs w:val="27"/>
          <w:b w:val="1"/>
          <w:bCs w:val="1"/>
          <w:color w:val="616161"/>
        </w:rPr>
        <w:t>KIMBERLY E. ALEXY</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b w:val="1"/>
          <w:bCs w:val="1"/>
          <w:color w:val="17BA9E"/>
        </w:rPr>
        <w:t>INDEPENDENT</w:t>
      </w:r>
    </w:p>
    <w:p>
      <w:pPr>
        <w:spacing w:after="0" w:line="118" w:lineRule="exact"/>
        <w:rPr>
          <w:sz w:val="20"/>
          <w:szCs w:val="20"/>
          <w:color w:val="auto"/>
        </w:rPr>
      </w:pPr>
    </w:p>
    <w:p>
      <w:pPr>
        <w:ind w:left="1380"/>
        <w:spacing w:after="0"/>
        <w:rPr>
          <w:sz w:val="20"/>
          <w:szCs w:val="20"/>
          <w:color w:val="auto"/>
        </w:rPr>
      </w:pPr>
      <w:r>
        <w:rPr>
          <w:rFonts w:ascii="Arial" w:cs="Arial" w:eastAsia="Arial" w:hAnsi="Arial"/>
          <w:sz w:val="13"/>
          <w:szCs w:val="13"/>
          <w:b w:val="1"/>
          <w:bCs w:val="1"/>
          <w:color w:val="auto"/>
        </w:rPr>
        <w: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62635" cy="8997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2635" cy="89979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50</w:t>
      </w:r>
    </w:p>
    <w:p>
      <w:pPr>
        <w:spacing w:after="0" w:line="199" w:lineRule="exact"/>
        <w:rPr>
          <w:sz w:val="20"/>
          <w:szCs w:val="20"/>
          <w:color w:val="auto"/>
        </w:rPr>
      </w:pPr>
    </w:p>
    <w:p>
      <w:pPr>
        <w:ind w:left="1380"/>
        <w:spacing w:after="0"/>
        <w:rPr>
          <w:sz w:val="20"/>
          <w:szCs w:val="20"/>
          <w:color w:val="auto"/>
        </w:rPr>
      </w:pPr>
      <w:r>
        <w:rPr>
          <w:rFonts w:ascii="Arial" w:cs="Arial" w:eastAsia="Arial" w:hAnsi="Arial"/>
          <w:sz w:val="13"/>
          <w:szCs w:val="13"/>
          <w:b w:val="1"/>
          <w:bCs w:val="1"/>
          <w:color w:val="auto"/>
        </w:rPr>
        <w:t>DIRECTOR SINCE</w:t>
      </w:r>
    </w:p>
    <w:p>
      <w:pPr>
        <w:spacing w:after="0" w:line="15"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November 2018</w:t>
      </w:r>
    </w:p>
    <w:p>
      <w:pPr>
        <w:spacing w:after="0" w:line="199" w:lineRule="exact"/>
        <w:rPr>
          <w:sz w:val="20"/>
          <w:szCs w:val="20"/>
          <w:color w:val="auto"/>
        </w:rPr>
      </w:pPr>
    </w:p>
    <w:p>
      <w:pPr>
        <w:ind w:left="1380"/>
        <w:spacing w:after="0"/>
        <w:rPr>
          <w:sz w:val="20"/>
          <w:szCs w:val="20"/>
          <w:color w:val="auto"/>
        </w:rPr>
      </w:pPr>
      <w:r>
        <w:rPr>
          <w:rFonts w:ascii="Arial" w:cs="Arial" w:eastAsia="Arial" w:hAnsi="Arial"/>
          <w:sz w:val="13"/>
          <w:szCs w:val="13"/>
          <w:b w:val="1"/>
          <w:bCs w:val="1"/>
          <w:color w:val="auto"/>
        </w:rPr>
        <w:t>COMMITTEES</w:t>
      </w:r>
    </w:p>
    <w:p>
      <w:pPr>
        <w:spacing w:after="0" w:line="14" w:lineRule="exact"/>
        <w:rPr>
          <w:sz w:val="20"/>
          <w:szCs w:val="20"/>
          <w:color w:val="auto"/>
        </w:rPr>
      </w:pPr>
    </w:p>
    <w:p>
      <w:pPr>
        <w:ind w:left="1380"/>
        <w:spacing w:after="0"/>
        <w:rPr>
          <w:sz w:val="20"/>
          <w:szCs w:val="20"/>
          <w:color w:val="auto"/>
        </w:rPr>
      </w:pPr>
      <w:r>
        <w:rPr>
          <w:rFonts w:ascii="Arial" w:cs="Arial" w:eastAsia="Arial" w:hAnsi="Arial"/>
          <w:sz w:val="13"/>
          <w:szCs w:val="13"/>
          <w:color w:val="819DBB"/>
        </w:rPr>
        <w:t>Audit (Chair)</w:t>
      </w:r>
    </w:p>
    <w:p>
      <w:pPr>
        <w:ind w:left="1380"/>
        <w:spacing w:after="0"/>
        <w:rPr>
          <w:sz w:val="20"/>
          <w:szCs w:val="20"/>
          <w:color w:val="auto"/>
        </w:rPr>
      </w:pPr>
      <w:r>
        <w:rPr>
          <w:rFonts w:ascii="Arial" w:cs="Arial" w:eastAsia="Arial" w:hAnsi="Arial"/>
          <w:sz w:val="13"/>
          <w:szCs w:val="13"/>
          <w:color w:val="616161"/>
        </w:rPr>
        <w:t>Executive</w:t>
      </w:r>
    </w:p>
    <w:p>
      <w:pPr>
        <w:ind w:left="1380"/>
        <w:spacing w:after="0"/>
        <w:rPr>
          <w:sz w:val="20"/>
          <w:szCs w:val="20"/>
          <w:color w:val="auto"/>
        </w:rPr>
      </w:pPr>
      <w:r>
        <w:rPr>
          <w:rFonts w:ascii="Arial" w:cs="Arial" w:eastAsia="Arial" w:hAnsi="Arial"/>
          <w:sz w:val="13"/>
          <w:szCs w:val="13"/>
          <w:color w:val="567EA5"/>
        </w:rPr>
        <w:t>Governance</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PROFESSIONAL EXPERIENCE</w:t>
      </w:r>
    </w:p>
    <w:p>
      <w:pPr>
        <w:spacing w:after="0" w:line="15" w:lineRule="exact"/>
        <w:rPr>
          <w:sz w:val="20"/>
          <w:szCs w:val="20"/>
          <w:color w:val="auto"/>
        </w:rPr>
      </w:pPr>
    </w:p>
    <w:p>
      <w:pPr>
        <w:ind w:left="380" w:right="380" w:hanging="228"/>
        <w:spacing w:after="0" w:line="238" w:lineRule="auto"/>
        <w:tabs>
          <w:tab w:leader="none" w:pos="357" w:val="left"/>
        </w:tabs>
        <w:numPr>
          <w:ilvl w:val="0"/>
          <w:numId w:val="58"/>
        </w:numPr>
        <w:rPr>
          <w:rFonts w:ascii="Arial" w:cs="Arial" w:eastAsia="Arial" w:hAnsi="Arial"/>
          <w:sz w:val="13"/>
          <w:szCs w:val="13"/>
          <w:color w:val="61C4AF"/>
        </w:rPr>
      </w:pPr>
      <w:r>
        <w:rPr>
          <w:rFonts w:ascii="Arial" w:cs="Arial" w:eastAsia="Arial" w:hAnsi="Arial"/>
          <w:sz w:val="13"/>
          <w:szCs w:val="13"/>
          <w:color w:val="auto"/>
        </w:rPr>
        <w:t>Ms. Alexy is a seasoned financial services professional with more than 20 years of experience in capital markets, corporate finance and investments. She founded Alexy Capital Management, a private investment fund, in 2005 and serves as its principal.</w:t>
      </w:r>
    </w:p>
    <w:p>
      <w:pPr>
        <w:ind w:left="380" w:right="260" w:hanging="228"/>
        <w:spacing w:after="0" w:line="238" w:lineRule="auto"/>
        <w:tabs>
          <w:tab w:leader="none" w:pos="357" w:val="left"/>
        </w:tabs>
        <w:numPr>
          <w:ilvl w:val="0"/>
          <w:numId w:val="58"/>
        </w:numPr>
        <w:rPr>
          <w:rFonts w:ascii="Arial" w:cs="Arial" w:eastAsia="Arial" w:hAnsi="Arial"/>
          <w:sz w:val="13"/>
          <w:szCs w:val="13"/>
          <w:color w:val="61C4AF"/>
        </w:rPr>
      </w:pPr>
      <w:r>
        <w:rPr>
          <w:rFonts w:ascii="Arial" w:cs="Arial" w:eastAsia="Arial" w:hAnsi="Arial"/>
          <w:sz w:val="13"/>
          <w:szCs w:val="13"/>
          <w:color w:val="auto"/>
        </w:rPr>
        <w:t>Previously, Ms. Alexy served as a sell-side equity research analyst on Wall Street for nearly a decade, specializing in the technology and corporate finance industries at Prudential Securities, Lehman Brothers and Wachovia Bank.</w:t>
      </w:r>
    </w:p>
    <w:p>
      <w:pPr>
        <w:ind w:left="360" w:hanging="208"/>
        <w:spacing w:after="0"/>
        <w:tabs>
          <w:tab w:leader="none" w:pos="360" w:val="left"/>
        </w:tabs>
        <w:numPr>
          <w:ilvl w:val="0"/>
          <w:numId w:val="58"/>
        </w:numPr>
        <w:rPr>
          <w:rFonts w:ascii="Arial" w:cs="Arial" w:eastAsia="Arial" w:hAnsi="Arial"/>
          <w:sz w:val="13"/>
          <w:szCs w:val="13"/>
          <w:color w:val="61C4AF"/>
        </w:rPr>
      </w:pPr>
      <w:r>
        <w:rPr>
          <w:rFonts w:ascii="Arial" w:cs="Arial" w:eastAsia="Arial" w:hAnsi="Arial"/>
          <w:sz w:val="13"/>
          <w:szCs w:val="13"/>
          <w:color w:val="auto"/>
        </w:rPr>
        <w:t>Within the last five years, Ms. Alexy served as a director of Microsemi Corporation and CalAmp Corp.</w:t>
      </w:r>
    </w:p>
    <w:p>
      <w:pPr>
        <w:spacing w:after="0" w:line="91"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OTHER CURRENT PUBLIC COMPANY DIRECTORSHIPS</w:t>
      </w:r>
    </w:p>
    <w:p>
      <w:pPr>
        <w:spacing w:after="0" w:line="14" w:lineRule="exact"/>
        <w:rPr>
          <w:sz w:val="20"/>
          <w:szCs w:val="20"/>
          <w:color w:val="auto"/>
        </w:rPr>
      </w:pPr>
    </w:p>
    <w:p>
      <w:pPr>
        <w:ind w:left="360" w:hanging="208"/>
        <w:spacing w:after="0"/>
        <w:tabs>
          <w:tab w:leader="none" w:pos="360" w:val="left"/>
        </w:tabs>
        <w:numPr>
          <w:ilvl w:val="0"/>
          <w:numId w:val="59"/>
        </w:numPr>
        <w:rPr>
          <w:rFonts w:ascii="Arial" w:cs="Arial" w:eastAsia="Arial" w:hAnsi="Arial"/>
          <w:sz w:val="13"/>
          <w:szCs w:val="13"/>
          <w:color w:val="61C4AF"/>
        </w:rPr>
      </w:pPr>
      <w:r>
        <w:rPr>
          <w:rFonts w:ascii="Arial" w:cs="Arial" w:eastAsia="Arial" w:hAnsi="Arial"/>
          <w:sz w:val="13"/>
          <w:szCs w:val="13"/>
          <w:color w:val="auto"/>
        </w:rPr>
        <w:t>Alteryx, Inc.</w:t>
      </w:r>
    </w:p>
    <w:p>
      <w:pPr>
        <w:ind w:left="360" w:hanging="208"/>
        <w:spacing w:after="0"/>
        <w:tabs>
          <w:tab w:leader="none" w:pos="360" w:val="left"/>
        </w:tabs>
        <w:numPr>
          <w:ilvl w:val="0"/>
          <w:numId w:val="59"/>
        </w:numPr>
        <w:rPr>
          <w:rFonts w:ascii="Arial" w:cs="Arial" w:eastAsia="Arial" w:hAnsi="Arial"/>
          <w:sz w:val="13"/>
          <w:szCs w:val="13"/>
          <w:color w:val="61C4AF"/>
        </w:rPr>
      </w:pPr>
      <w:r>
        <w:rPr>
          <w:rFonts w:ascii="Arial" w:cs="Arial" w:eastAsia="Arial" w:hAnsi="Arial"/>
          <w:sz w:val="13"/>
          <w:szCs w:val="13"/>
          <w:color w:val="auto"/>
        </w:rPr>
        <w:t>FireEye, Inc.</w:t>
      </w:r>
    </w:p>
    <w:p>
      <w:pPr>
        <w:ind w:left="360" w:hanging="208"/>
        <w:spacing w:after="0"/>
        <w:tabs>
          <w:tab w:leader="none" w:pos="360" w:val="left"/>
        </w:tabs>
        <w:numPr>
          <w:ilvl w:val="0"/>
          <w:numId w:val="59"/>
        </w:numPr>
        <w:rPr>
          <w:rFonts w:ascii="Arial" w:cs="Arial" w:eastAsia="Arial" w:hAnsi="Arial"/>
          <w:sz w:val="13"/>
          <w:szCs w:val="13"/>
          <w:color w:val="61C4AF"/>
        </w:rPr>
      </w:pPr>
      <w:r>
        <w:rPr>
          <w:rFonts w:ascii="Arial" w:cs="Arial" w:eastAsia="Arial" w:hAnsi="Arial"/>
          <w:sz w:val="13"/>
          <w:szCs w:val="13"/>
          <w:color w:val="auto"/>
        </w:rPr>
        <w:t>Five9,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4827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482725"/>
                    </a:xfrm>
                    <a:prstGeom prst="rect">
                      <a:avLst/>
                    </a:prstGeom>
                    <a:noFill/>
                  </pic:spPr>
                </pic:pic>
              </a:graphicData>
            </a:graphic>
          </wp:anchor>
        </w:drawing>
      </w:r>
    </w:p>
    <w:p>
      <w:pPr>
        <w:spacing w:after="0" w:line="206"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23628F"/>
        </w:rPr>
        <w:t>BOARD SKILLS, QUALIFICATIONS AND EXPERTISE</w:t>
      </w:r>
    </w:p>
    <w:p>
      <w:pPr>
        <w:spacing w:after="0" w:line="15" w:lineRule="exact"/>
        <w:rPr>
          <w:sz w:val="20"/>
          <w:szCs w:val="20"/>
          <w:color w:val="auto"/>
        </w:rPr>
      </w:pPr>
    </w:p>
    <w:p>
      <w:pPr>
        <w:jc w:val="both"/>
        <w:ind w:left="120" w:right="240"/>
        <w:spacing w:after="0" w:line="248" w:lineRule="auto"/>
        <w:rPr>
          <w:sz w:val="20"/>
          <w:szCs w:val="20"/>
          <w:color w:val="auto"/>
        </w:rPr>
      </w:pPr>
      <w:r>
        <w:rPr>
          <w:rFonts w:ascii="Arial" w:cs="Arial" w:eastAsia="Arial" w:hAnsi="Arial"/>
          <w:sz w:val="13"/>
          <w:szCs w:val="13"/>
          <w:color w:val="auto"/>
        </w:rPr>
        <w:t>Ms. Alexy’s deep expertise in finance, securities and corporate governance at several financial institutions and publicly held companies is directly relevant to our business. Her service on numerous public company boards of directors, including having served as a chair of the audit or governance committees of many of those boards, provides our Board with valuable insights and perspectives. We believe these experiences, qualifications, attributes and skills qualify her to serve as a member of our Board of Directors.</w:t>
      </w:r>
    </w:p>
    <w:p>
      <w:pPr>
        <w:spacing w:after="0" w:line="209"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23628F"/>
        </w:rPr>
        <w:t>COMMITTEE EXPERTISE HIGHLIGHTS</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Audit Committee Chair</w:t>
      </w:r>
    </w:p>
    <w:p>
      <w:pPr>
        <w:ind w:left="380" w:right="300" w:hanging="228"/>
        <w:spacing w:after="0" w:line="248" w:lineRule="auto"/>
        <w:tabs>
          <w:tab w:leader="none" w:pos="357" w:val="left"/>
        </w:tabs>
        <w:numPr>
          <w:ilvl w:val="0"/>
          <w:numId w:val="60"/>
        </w:numPr>
        <w:rPr>
          <w:rFonts w:ascii="Arial" w:cs="Arial" w:eastAsia="Arial" w:hAnsi="Arial"/>
          <w:sz w:val="13"/>
          <w:szCs w:val="13"/>
          <w:color w:val="61C4AF"/>
        </w:rPr>
      </w:pPr>
      <w:r>
        <w:rPr>
          <w:rFonts w:ascii="Arial" w:cs="Arial" w:eastAsia="Arial" w:hAnsi="Arial"/>
          <w:sz w:val="13"/>
          <w:szCs w:val="13"/>
          <w:color w:val="auto"/>
        </w:rPr>
        <w:t>Ms. Alexy’s financial skills and prior experience as a financial analyst for nearly a decade and her service as a member of several public company audit committees qualify her as an audit committee financial expert under SEC rules. In addition, Ms. Alexy contributes her specialized knowledge of cybersecurity issues, which includes a CERT Certificate in Cybersecurity Oversight for corporate directors issued by the CERT Division of the Software Engineering Institute at Carnegie Mellon University.</w:t>
      </w:r>
    </w:p>
    <w:p>
      <w:pPr>
        <w:spacing w:after="0" w:line="209"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Governance Committee Member</w:t>
      </w:r>
    </w:p>
    <w:p>
      <w:pPr>
        <w:spacing w:after="0" w:line="15" w:lineRule="exact"/>
        <w:rPr>
          <w:sz w:val="20"/>
          <w:szCs w:val="20"/>
          <w:color w:val="auto"/>
        </w:rPr>
      </w:pPr>
    </w:p>
    <w:p>
      <w:pPr>
        <w:ind w:left="360" w:hanging="208"/>
        <w:spacing w:after="0"/>
        <w:tabs>
          <w:tab w:leader="none" w:pos="360" w:val="left"/>
        </w:tabs>
        <w:numPr>
          <w:ilvl w:val="0"/>
          <w:numId w:val="61"/>
        </w:numPr>
        <w:rPr>
          <w:rFonts w:ascii="Arial" w:cs="Arial" w:eastAsia="Arial" w:hAnsi="Arial"/>
          <w:sz w:val="13"/>
          <w:szCs w:val="13"/>
          <w:color w:val="61C4AF"/>
        </w:rPr>
      </w:pPr>
      <w:r>
        <w:rPr>
          <w:rFonts w:ascii="Arial" w:cs="Arial" w:eastAsia="Arial" w:hAnsi="Arial"/>
          <w:sz w:val="13"/>
          <w:szCs w:val="13"/>
          <w:color w:val="auto"/>
        </w:rPr>
        <w:t>Ms. Alexy has substantial governance experience as the chair of the nominating and corporate governance committee at Alteryx and as a director of a number of public companies.</w:t>
      </w:r>
    </w:p>
    <w:p>
      <w:pPr>
        <w:spacing w:after="0" w:line="315" w:lineRule="exact"/>
        <w:rPr>
          <w:sz w:val="20"/>
          <w:szCs w:val="20"/>
          <w:color w:val="auto"/>
        </w:rPr>
      </w:pPr>
    </w:p>
    <w:p>
      <w:pPr>
        <w:spacing w:after="0"/>
        <w:rPr>
          <w:sz w:val="20"/>
          <w:szCs w:val="20"/>
          <w:color w:val="auto"/>
        </w:rPr>
      </w:pPr>
      <w:r>
        <w:rPr>
          <w:rFonts w:ascii="Arial" w:cs="Arial" w:eastAsia="Arial" w:hAnsi="Arial"/>
          <w:sz w:val="27"/>
          <w:szCs w:val="27"/>
          <w:b w:val="1"/>
          <w:bCs w:val="1"/>
          <w:color w:val="616161"/>
        </w:rPr>
        <w:t>MARTIN I. COLE</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b w:val="1"/>
          <w:bCs w:val="1"/>
          <w:color w:val="17BA9E"/>
        </w:rPr>
        <w:t>INDEPENDENT</w:t>
      </w:r>
    </w:p>
    <w:p>
      <w:pPr>
        <w:spacing w:after="0" w:line="118" w:lineRule="exact"/>
        <w:rPr>
          <w:sz w:val="20"/>
          <w:szCs w:val="20"/>
          <w:color w:val="auto"/>
        </w:rPr>
      </w:pPr>
    </w:p>
    <w:p>
      <w:pPr>
        <w:ind w:left="1380"/>
        <w:spacing w:after="0"/>
        <w:rPr>
          <w:sz w:val="20"/>
          <w:szCs w:val="20"/>
          <w:color w:val="auto"/>
        </w:rPr>
      </w:pPr>
      <w:r>
        <w:rPr>
          <w:rFonts w:ascii="Arial" w:cs="Arial" w:eastAsia="Arial" w:hAnsi="Arial"/>
          <w:sz w:val="13"/>
          <w:szCs w:val="13"/>
          <w:b w:val="1"/>
          <w:bCs w:val="1"/>
          <w:color w:val="auto"/>
        </w:rPr>
        <w: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54380" cy="8915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54380" cy="89154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64</w:t>
      </w:r>
    </w:p>
    <w:p>
      <w:pPr>
        <w:spacing w:after="0" w:line="199" w:lineRule="exact"/>
        <w:rPr>
          <w:sz w:val="20"/>
          <w:szCs w:val="20"/>
          <w:color w:val="auto"/>
        </w:rPr>
      </w:pPr>
    </w:p>
    <w:p>
      <w:pPr>
        <w:ind w:left="1380"/>
        <w:spacing w:after="0"/>
        <w:rPr>
          <w:sz w:val="20"/>
          <w:szCs w:val="20"/>
          <w:color w:val="auto"/>
        </w:rPr>
      </w:pPr>
      <w:r>
        <w:rPr>
          <w:rFonts w:ascii="Arial" w:cs="Arial" w:eastAsia="Arial" w:hAnsi="Arial"/>
          <w:sz w:val="13"/>
          <w:szCs w:val="13"/>
          <w:b w:val="1"/>
          <w:bCs w:val="1"/>
          <w:color w:val="auto"/>
        </w:rPr>
        <w:t>DIRECTOR SINCE</w:t>
      </w:r>
    </w:p>
    <w:p>
      <w:pPr>
        <w:spacing w:after="0" w:line="15"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December 2014</w:t>
      </w:r>
    </w:p>
    <w:p>
      <w:pPr>
        <w:spacing w:after="0" w:line="199" w:lineRule="exact"/>
        <w:rPr>
          <w:sz w:val="20"/>
          <w:szCs w:val="20"/>
          <w:color w:val="auto"/>
        </w:rPr>
      </w:pPr>
    </w:p>
    <w:p>
      <w:pPr>
        <w:ind w:left="1380"/>
        <w:spacing w:after="0"/>
        <w:rPr>
          <w:sz w:val="20"/>
          <w:szCs w:val="20"/>
          <w:color w:val="auto"/>
        </w:rPr>
      </w:pPr>
      <w:r>
        <w:rPr>
          <w:rFonts w:ascii="Arial" w:cs="Arial" w:eastAsia="Arial" w:hAnsi="Arial"/>
          <w:sz w:val="13"/>
          <w:szCs w:val="13"/>
          <w:b w:val="1"/>
          <w:bCs w:val="1"/>
          <w:color w:val="auto"/>
        </w:rPr>
        <w:t>COMMITTEES</w:t>
      </w:r>
    </w:p>
    <w:p>
      <w:pPr>
        <w:spacing w:after="0" w:line="14" w:lineRule="exact"/>
        <w:rPr>
          <w:sz w:val="20"/>
          <w:szCs w:val="20"/>
          <w:color w:val="auto"/>
        </w:rPr>
      </w:pPr>
    </w:p>
    <w:p>
      <w:pPr>
        <w:ind w:left="1380"/>
        <w:spacing w:after="0"/>
        <w:rPr>
          <w:sz w:val="20"/>
          <w:szCs w:val="20"/>
          <w:color w:val="auto"/>
        </w:rPr>
      </w:pPr>
      <w:r>
        <w:rPr>
          <w:rFonts w:ascii="Arial" w:cs="Arial" w:eastAsia="Arial" w:hAnsi="Arial"/>
          <w:sz w:val="13"/>
          <w:szCs w:val="13"/>
          <w:color w:val="61C4AF"/>
        </w:rPr>
        <w:t>Compensation and Talent (Chair)</w:t>
      </w:r>
    </w:p>
    <w:p>
      <w:pPr>
        <w:ind w:left="1380"/>
        <w:spacing w:after="0"/>
        <w:rPr>
          <w:sz w:val="20"/>
          <w:szCs w:val="20"/>
          <w:color w:val="auto"/>
        </w:rPr>
      </w:pPr>
      <w:r>
        <w:rPr>
          <w:rFonts w:ascii="Arial" w:cs="Arial" w:eastAsia="Arial" w:hAnsi="Arial"/>
          <w:sz w:val="13"/>
          <w:szCs w:val="13"/>
          <w:color w:val="819DBB"/>
        </w:rPr>
        <w:t>Audit</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PROFESSIONAL EXPERIENCE</w:t>
      </w:r>
    </w:p>
    <w:p>
      <w:pPr>
        <w:spacing w:after="0" w:line="15" w:lineRule="exact"/>
        <w:rPr>
          <w:sz w:val="20"/>
          <w:szCs w:val="20"/>
          <w:color w:val="auto"/>
        </w:rPr>
      </w:pPr>
    </w:p>
    <w:p>
      <w:pPr>
        <w:ind w:left="380" w:right="180" w:hanging="228"/>
        <w:spacing w:after="0" w:line="238" w:lineRule="auto"/>
        <w:tabs>
          <w:tab w:leader="none" w:pos="357" w:val="left"/>
        </w:tabs>
        <w:numPr>
          <w:ilvl w:val="0"/>
          <w:numId w:val="62"/>
        </w:numPr>
        <w:rPr>
          <w:rFonts w:ascii="Arial" w:cs="Arial" w:eastAsia="Arial" w:hAnsi="Arial"/>
          <w:sz w:val="13"/>
          <w:szCs w:val="13"/>
          <w:color w:val="61C4AF"/>
        </w:rPr>
      </w:pPr>
      <w:r>
        <w:rPr>
          <w:rFonts w:ascii="Arial" w:cs="Arial" w:eastAsia="Arial" w:hAnsi="Arial"/>
          <w:sz w:val="13"/>
          <w:szCs w:val="13"/>
          <w:color w:val="auto"/>
        </w:rPr>
        <w:t>Mr. Cole served as the chief executive of the technology group of Accenture plc, a leading global management consulting and professional services company, with responsibility for the full range of Accenture’s technology consulting and outsourcing solutions and delivery capabilities, including its global delivery network, from March 2012 until he retired in August 2014. Mr. Cole currently serves as a senior adviser to 3i Group plc.</w:t>
      </w:r>
    </w:p>
    <w:p>
      <w:pPr>
        <w:jc w:val="both"/>
        <w:ind w:left="380" w:right="180" w:hanging="228"/>
        <w:spacing w:after="0" w:line="238" w:lineRule="auto"/>
        <w:tabs>
          <w:tab w:leader="none" w:pos="357" w:val="left"/>
        </w:tabs>
        <w:numPr>
          <w:ilvl w:val="0"/>
          <w:numId w:val="62"/>
        </w:numPr>
        <w:rPr>
          <w:rFonts w:ascii="Arial" w:cs="Arial" w:eastAsia="Arial" w:hAnsi="Arial"/>
          <w:sz w:val="13"/>
          <w:szCs w:val="13"/>
          <w:color w:val="61C4AF"/>
        </w:rPr>
      </w:pPr>
      <w:r>
        <w:rPr>
          <w:rFonts w:ascii="Arial" w:cs="Arial" w:eastAsia="Arial" w:hAnsi="Arial"/>
          <w:sz w:val="13"/>
          <w:szCs w:val="13"/>
          <w:color w:val="auto"/>
        </w:rPr>
        <w:t>Previously, Mr. Cole served as the chief executive of Accenture’s communications, media and technology operating group from September 2006 to March 2012, the chief executive of its government operating group from September 2004 to August 2006, the managing partner of its outsourcing and infrastructure delivery group from September 2002 to August 2004 and in a variety of capacities at Accenture since 1980.</w:t>
      </w:r>
    </w:p>
    <w:p>
      <w:pPr>
        <w:ind w:left="380" w:right="300" w:hanging="228"/>
        <w:spacing w:after="0" w:line="249" w:lineRule="auto"/>
        <w:tabs>
          <w:tab w:leader="none" w:pos="357" w:val="left"/>
        </w:tabs>
        <w:numPr>
          <w:ilvl w:val="0"/>
          <w:numId w:val="62"/>
        </w:numPr>
        <w:rPr>
          <w:rFonts w:ascii="Arial" w:cs="Arial" w:eastAsia="Arial" w:hAnsi="Arial"/>
          <w:sz w:val="13"/>
          <w:szCs w:val="13"/>
          <w:color w:val="61C4AF"/>
        </w:rPr>
      </w:pPr>
      <w:r>
        <w:rPr>
          <w:rFonts w:ascii="Arial" w:cs="Arial" w:eastAsia="Arial" w:hAnsi="Arial"/>
          <w:sz w:val="13"/>
          <w:szCs w:val="13"/>
          <w:color w:val="auto"/>
        </w:rPr>
        <w:t>Within the last five years, Mr. Cole served as a director of Cloudera, Inc. and as its board chairman. He also served as its interim chief executive officer from July 2019 to January 2020.</w:t>
      </w:r>
    </w:p>
    <w:p>
      <w:pPr>
        <w:spacing w:after="0" w:line="234"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OTHER CURRENT PUBLIC COMPANY DIRECTORSHIPS</w:t>
      </w:r>
    </w:p>
    <w:p>
      <w:pPr>
        <w:spacing w:after="0" w:line="15" w:lineRule="exact"/>
        <w:rPr>
          <w:sz w:val="20"/>
          <w:szCs w:val="20"/>
          <w:color w:val="auto"/>
        </w:rPr>
      </w:pPr>
    </w:p>
    <w:p>
      <w:pPr>
        <w:ind w:left="360" w:hanging="208"/>
        <w:spacing w:after="0"/>
        <w:tabs>
          <w:tab w:leader="none" w:pos="360" w:val="left"/>
        </w:tabs>
        <w:numPr>
          <w:ilvl w:val="0"/>
          <w:numId w:val="63"/>
        </w:numPr>
        <w:rPr>
          <w:rFonts w:ascii="Arial" w:cs="Arial" w:eastAsia="Arial" w:hAnsi="Arial"/>
          <w:sz w:val="13"/>
          <w:szCs w:val="13"/>
          <w:color w:val="61C4AF"/>
        </w:rPr>
      </w:pPr>
      <w:r>
        <w:rPr>
          <w:rFonts w:ascii="Arial" w:cs="Arial" w:eastAsia="Arial" w:hAnsi="Arial"/>
          <w:sz w:val="13"/>
          <w:szCs w:val="13"/>
          <w:color w:val="auto"/>
        </w:rPr>
        <w:t>The Western Union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3887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388745"/>
                    </a:xfrm>
                    <a:prstGeom prst="rect">
                      <a:avLst/>
                    </a:prstGeom>
                    <a:noFill/>
                  </pic:spPr>
                </pic:pic>
              </a:graphicData>
            </a:graphic>
          </wp:anchor>
        </w:drawing>
      </w:r>
    </w:p>
    <w:p>
      <w:pPr>
        <w:spacing w:after="0" w:line="206"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23628F"/>
        </w:rPr>
        <w:t>BOARD SKILLS, QUALIFICATIONS AND EXPERTISE</w:t>
      </w:r>
    </w:p>
    <w:p>
      <w:pPr>
        <w:spacing w:after="0" w:line="15" w:lineRule="exact"/>
        <w:rPr>
          <w:sz w:val="20"/>
          <w:szCs w:val="20"/>
          <w:color w:val="auto"/>
        </w:rPr>
      </w:pPr>
    </w:p>
    <w:p>
      <w:pPr>
        <w:ind w:left="120" w:right="200"/>
        <w:spacing w:after="0" w:line="248" w:lineRule="auto"/>
        <w:rPr>
          <w:sz w:val="20"/>
          <w:szCs w:val="20"/>
          <w:color w:val="auto"/>
        </w:rPr>
      </w:pPr>
      <w:r>
        <w:rPr>
          <w:rFonts w:ascii="Arial" w:cs="Arial" w:eastAsia="Arial" w:hAnsi="Arial"/>
          <w:sz w:val="13"/>
          <w:szCs w:val="13"/>
          <w:color w:val="auto"/>
        </w:rPr>
        <w:t>Mr. Cole brings to our Board extensive senior executive leadership experience across a variety of business sectors and geographies. This demonstrates his ability to provide strategic advice and lead multiple teams across a variety of business sectors, and provides him with wide-ranging insights, including relating to technology solutions, which are an important part of our business. We believe these experiences, qualifications, attributes and skills qualify him to serve as a member of our Board of Directors.</w:t>
      </w:r>
    </w:p>
    <w:p>
      <w:pPr>
        <w:spacing w:after="0" w:line="209"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23628F"/>
        </w:rPr>
        <w:t>COMMITTEE EXPERTISE HIGHLIGHTS</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Compensation and Talent Committee Chair</w:t>
      </w:r>
    </w:p>
    <w:p>
      <w:pPr>
        <w:ind w:left="380" w:right="200" w:hanging="228"/>
        <w:spacing w:after="0" w:line="258" w:lineRule="auto"/>
        <w:tabs>
          <w:tab w:leader="none" w:pos="357" w:val="left"/>
        </w:tabs>
        <w:numPr>
          <w:ilvl w:val="0"/>
          <w:numId w:val="64"/>
        </w:numPr>
        <w:rPr>
          <w:rFonts w:ascii="Arial" w:cs="Arial" w:eastAsia="Arial" w:hAnsi="Arial"/>
          <w:sz w:val="13"/>
          <w:szCs w:val="13"/>
          <w:color w:val="61C4AF"/>
        </w:rPr>
      </w:pPr>
      <w:r>
        <w:rPr>
          <w:rFonts w:ascii="Arial" w:cs="Arial" w:eastAsia="Arial" w:hAnsi="Arial"/>
          <w:sz w:val="13"/>
          <w:szCs w:val="13"/>
          <w:color w:val="auto"/>
        </w:rPr>
        <w:t>Mr. Cole has significant experience establishing and overseeing executive compensation programs as a former executive, chief executive officer and as a board and compensation committee member at other public companies.</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Audit Committee Member</w:t>
      </w:r>
    </w:p>
    <w:p>
      <w:pPr>
        <w:spacing w:after="0" w:line="15" w:lineRule="exact"/>
        <w:rPr>
          <w:sz w:val="20"/>
          <w:szCs w:val="20"/>
          <w:color w:val="auto"/>
        </w:rPr>
      </w:pPr>
    </w:p>
    <w:p>
      <w:pPr>
        <w:ind w:left="360" w:hanging="208"/>
        <w:spacing w:after="0"/>
        <w:tabs>
          <w:tab w:leader="none" w:pos="360" w:val="left"/>
        </w:tabs>
        <w:numPr>
          <w:ilvl w:val="0"/>
          <w:numId w:val="65"/>
        </w:numPr>
        <w:rPr>
          <w:rFonts w:ascii="Arial" w:cs="Arial" w:eastAsia="Arial" w:hAnsi="Arial"/>
          <w:sz w:val="13"/>
          <w:szCs w:val="13"/>
          <w:color w:val="61C4AF"/>
        </w:rPr>
      </w:pPr>
      <w:r>
        <w:rPr>
          <w:rFonts w:ascii="Arial" w:cs="Arial" w:eastAsia="Arial" w:hAnsi="Arial"/>
          <w:sz w:val="13"/>
          <w:szCs w:val="13"/>
          <w:color w:val="auto"/>
        </w:rPr>
        <w:t>Mr. Cole’s financial skills and prior experience as a chief executive qualify him as an audit committee financial expert under SEC rules.</w:t>
      </w:r>
    </w:p>
    <w:p>
      <w:pPr>
        <w:spacing w:after="0" w:line="30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23628F"/>
        </w:rPr>
        <w:t>2020 PROXY STATEMENT</w:t>
      </w:r>
      <w:r>
        <w:rPr>
          <w:sz w:val="20"/>
          <w:szCs w:val="20"/>
          <w:color w:val="auto"/>
        </w:rPr>
        <w:tab/>
      </w:r>
      <w:r>
        <w:rPr>
          <w:rFonts w:ascii="Arial" w:cs="Arial" w:eastAsia="Arial" w:hAnsi="Arial"/>
          <w:sz w:val="16"/>
          <w:szCs w:val="16"/>
          <w:b w:val="1"/>
          <w:bCs w:val="1"/>
          <w:color w:val="23628F"/>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153275"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078"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23628F"/>
        </w:rPr>
        <w:t>CORPORATE GOVERNANCE MATTERS</w:t>
      </w:r>
    </w:p>
    <w:p>
      <w:pPr>
        <w:spacing w:after="0" w:line="180" w:lineRule="exact"/>
        <w:rPr>
          <w:sz w:val="20"/>
          <w:szCs w:val="20"/>
          <w:color w:val="auto"/>
        </w:rPr>
      </w:pPr>
    </w:p>
    <w:p>
      <w:pPr>
        <w:spacing w:after="0"/>
        <w:rPr>
          <w:sz w:val="20"/>
          <w:szCs w:val="20"/>
          <w:color w:val="auto"/>
        </w:rPr>
      </w:pPr>
      <w:r>
        <w:rPr>
          <w:rFonts w:ascii="Arial" w:cs="Arial" w:eastAsia="Arial" w:hAnsi="Arial"/>
          <w:sz w:val="27"/>
          <w:szCs w:val="27"/>
          <w:b w:val="1"/>
          <w:bCs w:val="1"/>
          <w:color w:val="616161"/>
        </w:rPr>
        <w:t>KATHLEEN A. COTE</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b w:val="1"/>
          <w:bCs w:val="1"/>
          <w:color w:val="17BA9E"/>
        </w:rPr>
        <w:t>LEAD INDEPENDENT DIRECTOR</w:t>
      </w:r>
    </w:p>
    <w:p>
      <w:pPr>
        <w:spacing w:after="0" w:line="118" w:lineRule="exact"/>
        <w:rPr>
          <w:sz w:val="20"/>
          <w:szCs w:val="20"/>
          <w:color w:val="auto"/>
        </w:rPr>
      </w:pPr>
    </w:p>
    <w:p>
      <w:pPr>
        <w:ind w:left="1380"/>
        <w:spacing w:after="0"/>
        <w:rPr>
          <w:sz w:val="20"/>
          <w:szCs w:val="20"/>
          <w:color w:val="auto"/>
        </w:rPr>
      </w:pPr>
      <w:r>
        <w:rPr>
          <w:rFonts w:ascii="Arial" w:cs="Arial" w:eastAsia="Arial" w:hAnsi="Arial"/>
          <w:sz w:val="13"/>
          <w:szCs w:val="13"/>
          <w:b w:val="1"/>
          <w:bCs w:val="1"/>
          <w:color w:val="auto"/>
        </w:rPr>
        <w: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54380" cy="8915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54380" cy="89154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71</w:t>
      </w:r>
    </w:p>
    <w:p>
      <w:pPr>
        <w:spacing w:after="0" w:line="199" w:lineRule="exact"/>
        <w:rPr>
          <w:sz w:val="20"/>
          <w:szCs w:val="20"/>
          <w:color w:val="auto"/>
        </w:rPr>
      </w:pPr>
    </w:p>
    <w:p>
      <w:pPr>
        <w:ind w:left="1380"/>
        <w:spacing w:after="0"/>
        <w:rPr>
          <w:sz w:val="20"/>
          <w:szCs w:val="20"/>
          <w:color w:val="auto"/>
        </w:rPr>
      </w:pPr>
      <w:r>
        <w:rPr>
          <w:rFonts w:ascii="Arial" w:cs="Arial" w:eastAsia="Arial" w:hAnsi="Arial"/>
          <w:sz w:val="13"/>
          <w:szCs w:val="13"/>
          <w:b w:val="1"/>
          <w:bCs w:val="1"/>
          <w:color w:val="auto"/>
        </w:rPr>
        <w:t>DIRECTOR SINCE</w:t>
      </w:r>
    </w:p>
    <w:p>
      <w:pPr>
        <w:spacing w:after="0" w:line="15"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January 2001</w:t>
      </w:r>
    </w:p>
    <w:p>
      <w:pPr>
        <w:spacing w:after="0" w:line="199" w:lineRule="exact"/>
        <w:rPr>
          <w:sz w:val="20"/>
          <w:szCs w:val="20"/>
          <w:color w:val="auto"/>
        </w:rPr>
      </w:pPr>
    </w:p>
    <w:p>
      <w:pPr>
        <w:ind w:left="1380"/>
        <w:spacing w:after="0"/>
        <w:rPr>
          <w:sz w:val="20"/>
          <w:szCs w:val="20"/>
          <w:color w:val="auto"/>
        </w:rPr>
      </w:pPr>
      <w:r>
        <w:rPr>
          <w:rFonts w:ascii="Arial" w:cs="Arial" w:eastAsia="Arial" w:hAnsi="Arial"/>
          <w:sz w:val="13"/>
          <w:szCs w:val="13"/>
          <w:b w:val="1"/>
          <w:bCs w:val="1"/>
          <w:color w:val="auto"/>
        </w:rPr>
        <w:t>COMMITTEES</w:t>
      </w:r>
    </w:p>
    <w:p>
      <w:pPr>
        <w:spacing w:after="0" w:line="14" w:lineRule="exact"/>
        <w:rPr>
          <w:sz w:val="20"/>
          <w:szCs w:val="20"/>
          <w:color w:val="auto"/>
        </w:rPr>
      </w:pPr>
    </w:p>
    <w:p>
      <w:pPr>
        <w:ind w:left="1380"/>
        <w:spacing w:after="0"/>
        <w:rPr>
          <w:sz w:val="20"/>
          <w:szCs w:val="20"/>
          <w:color w:val="auto"/>
        </w:rPr>
      </w:pPr>
      <w:r>
        <w:rPr>
          <w:rFonts w:ascii="Arial" w:cs="Arial" w:eastAsia="Arial" w:hAnsi="Arial"/>
          <w:sz w:val="13"/>
          <w:szCs w:val="13"/>
          <w:color w:val="61C4AF"/>
        </w:rPr>
        <w:t>Compensation and Talent</w:t>
      </w:r>
    </w:p>
    <w:p>
      <w:pPr>
        <w:ind w:left="1380"/>
        <w:spacing w:after="0"/>
        <w:rPr>
          <w:sz w:val="20"/>
          <w:szCs w:val="20"/>
          <w:color w:val="auto"/>
        </w:rPr>
      </w:pPr>
      <w:r>
        <w:rPr>
          <w:rFonts w:ascii="Arial" w:cs="Arial" w:eastAsia="Arial" w:hAnsi="Arial"/>
          <w:sz w:val="13"/>
          <w:szCs w:val="13"/>
          <w:color w:val="567EA5"/>
        </w:rPr>
        <w:t>Governance</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PROFESSIONAL EXPERIENCE</w:t>
      </w:r>
    </w:p>
    <w:p>
      <w:pPr>
        <w:spacing w:after="0" w:line="14" w:lineRule="exact"/>
        <w:rPr>
          <w:sz w:val="20"/>
          <w:szCs w:val="20"/>
          <w:color w:val="auto"/>
        </w:rPr>
      </w:pPr>
    </w:p>
    <w:p>
      <w:pPr>
        <w:ind w:left="360" w:hanging="208"/>
        <w:spacing w:after="0"/>
        <w:tabs>
          <w:tab w:leader="none" w:pos="360" w:val="left"/>
        </w:tabs>
        <w:numPr>
          <w:ilvl w:val="0"/>
          <w:numId w:val="66"/>
        </w:numPr>
        <w:rPr>
          <w:rFonts w:ascii="Arial" w:cs="Arial" w:eastAsia="Arial" w:hAnsi="Arial"/>
          <w:sz w:val="13"/>
          <w:szCs w:val="13"/>
          <w:color w:val="61C4AF"/>
        </w:rPr>
      </w:pPr>
      <w:r>
        <w:rPr>
          <w:rFonts w:ascii="Arial" w:cs="Arial" w:eastAsia="Arial" w:hAnsi="Arial"/>
          <w:sz w:val="13"/>
          <w:szCs w:val="13"/>
          <w:color w:val="auto"/>
        </w:rPr>
        <w:t>Ms. Cote was the chief executive officer of Worldport Communications, Inc., a European provider of Internet managed services, from May 2001 to June 2003.</w:t>
      </w:r>
    </w:p>
    <w:p>
      <w:pPr>
        <w:ind w:left="380" w:hanging="228"/>
        <w:spacing w:after="0" w:line="238" w:lineRule="auto"/>
        <w:tabs>
          <w:tab w:leader="none" w:pos="357" w:val="left"/>
        </w:tabs>
        <w:numPr>
          <w:ilvl w:val="0"/>
          <w:numId w:val="66"/>
        </w:numPr>
        <w:rPr>
          <w:rFonts w:ascii="Arial" w:cs="Arial" w:eastAsia="Arial" w:hAnsi="Arial"/>
          <w:sz w:val="13"/>
          <w:szCs w:val="13"/>
          <w:color w:val="61C4AF"/>
        </w:rPr>
      </w:pPr>
      <w:r>
        <w:rPr>
          <w:rFonts w:ascii="Arial" w:cs="Arial" w:eastAsia="Arial" w:hAnsi="Arial"/>
          <w:sz w:val="13"/>
          <w:szCs w:val="13"/>
          <w:color w:val="auto"/>
        </w:rPr>
        <w:t>Prior to that, Ms. Cote served as president of Seagrass Partners, a provider of expertise in business planning and strategic development for early stage companies, from September 1998 to May 2001. From November 1996 to January 1998, she served as president and chief executive officer of Computervision Corporation, an international supplier of product development and data management software.</w:t>
      </w:r>
    </w:p>
    <w:p>
      <w:pPr>
        <w:ind w:left="360" w:hanging="208"/>
        <w:spacing w:after="0"/>
        <w:tabs>
          <w:tab w:leader="none" w:pos="360" w:val="left"/>
        </w:tabs>
        <w:numPr>
          <w:ilvl w:val="0"/>
          <w:numId w:val="66"/>
        </w:numPr>
        <w:rPr>
          <w:rFonts w:ascii="Arial" w:cs="Arial" w:eastAsia="Arial" w:hAnsi="Arial"/>
          <w:sz w:val="13"/>
          <w:szCs w:val="13"/>
          <w:color w:val="61C4AF"/>
        </w:rPr>
      </w:pPr>
      <w:r>
        <w:rPr>
          <w:rFonts w:ascii="Arial" w:cs="Arial" w:eastAsia="Arial" w:hAnsi="Arial"/>
          <w:sz w:val="13"/>
          <w:szCs w:val="13"/>
          <w:color w:val="auto"/>
        </w:rPr>
        <w:t>Within the last five years, Ms. Cote served as a director of GT Advanced Technologies, Inc.</w:t>
      </w:r>
    </w:p>
    <w:p>
      <w:pPr>
        <w:spacing w:after="0" w:line="91"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OTHER CURRENT PUBLIC COMPANY DIRECTORSHIPS</w:t>
      </w:r>
    </w:p>
    <w:p>
      <w:pPr>
        <w:spacing w:after="0" w:line="15" w:lineRule="exact"/>
        <w:rPr>
          <w:sz w:val="20"/>
          <w:szCs w:val="20"/>
          <w:color w:val="auto"/>
        </w:rPr>
      </w:pPr>
    </w:p>
    <w:p>
      <w:pPr>
        <w:ind w:left="360" w:hanging="208"/>
        <w:spacing w:after="0"/>
        <w:tabs>
          <w:tab w:leader="none" w:pos="360" w:val="left"/>
        </w:tabs>
        <w:numPr>
          <w:ilvl w:val="0"/>
          <w:numId w:val="67"/>
        </w:numPr>
        <w:rPr>
          <w:rFonts w:ascii="Arial" w:cs="Arial" w:eastAsia="Arial" w:hAnsi="Arial"/>
          <w:sz w:val="13"/>
          <w:szCs w:val="13"/>
          <w:color w:val="61C4AF"/>
        </w:rPr>
      </w:pPr>
      <w:r>
        <w:rPr>
          <w:rFonts w:ascii="Arial" w:cs="Arial" w:eastAsia="Arial" w:hAnsi="Arial"/>
          <w:sz w:val="13"/>
          <w:szCs w:val="13"/>
          <w:color w:val="auto"/>
        </w:rPr>
        <w:t>VeriSign,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3887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388745"/>
                    </a:xfrm>
                    <a:prstGeom prst="rect">
                      <a:avLst/>
                    </a:prstGeom>
                    <a:noFill/>
                  </pic:spPr>
                </pic:pic>
              </a:graphicData>
            </a:graphic>
          </wp:anchor>
        </w:drawing>
      </w:r>
    </w:p>
    <w:p>
      <w:pPr>
        <w:spacing w:after="0" w:line="206"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23628F"/>
        </w:rPr>
        <w:t>BOARD SKILLS, QUALIFICATIONS AND EXPERTISE</w:t>
      </w:r>
    </w:p>
    <w:p>
      <w:pPr>
        <w:spacing w:after="0" w:line="15" w:lineRule="exact"/>
        <w:rPr>
          <w:sz w:val="20"/>
          <w:szCs w:val="20"/>
          <w:color w:val="auto"/>
        </w:rPr>
      </w:pPr>
    </w:p>
    <w:p>
      <w:pPr>
        <w:ind w:left="120" w:right="260"/>
        <w:spacing w:after="0" w:line="245" w:lineRule="auto"/>
        <w:rPr>
          <w:sz w:val="20"/>
          <w:szCs w:val="20"/>
          <w:color w:val="auto"/>
        </w:rPr>
      </w:pPr>
      <w:r>
        <w:rPr>
          <w:rFonts w:ascii="Arial" w:cs="Arial" w:eastAsia="Arial" w:hAnsi="Arial"/>
          <w:sz w:val="13"/>
          <w:szCs w:val="13"/>
          <w:color w:val="auto"/>
        </w:rPr>
        <w:t>Ms. Cote is a seasoned business executive with numerous years of experience overseeing global companies focused on technology and operations, which is directly relevant to our business. She has served on numerous public company boards of directors, including on the audit and governance committees of those boards, providing our Board with valuable board-level experience. Her tenure on our Board also provides us with specific expertise and insight into our business and the transformations it has undergone. We believe these experiences, qualifications, attributes and skills qualify her to serve as a member of our Board of Directors.</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23628F"/>
        </w:rPr>
        <w:t>COMMITTEE EXPERTISE HIGHLIGHTS</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Compensation and Talent Committee Member</w:t>
      </w:r>
    </w:p>
    <w:p>
      <w:pPr>
        <w:ind w:left="360" w:hanging="208"/>
        <w:spacing w:after="0"/>
        <w:tabs>
          <w:tab w:leader="none" w:pos="360" w:val="left"/>
        </w:tabs>
        <w:numPr>
          <w:ilvl w:val="0"/>
          <w:numId w:val="68"/>
        </w:numPr>
        <w:rPr>
          <w:rFonts w:ascii="Arial" w:cs="Arial" w:eastAsia="Arial" w:hAnsi="Arial"/>
          <w:sz w:val="13"/>
          <w:szCs w:val="13"/>
          <w:color w:val="61C4AF"/>
        </w:rPr>
      </w:pPr>
      <w:r>
        <w:rPr>
          <w:rFonts w:ascii="Arial" w:cs="Arial" w:eastAsia="Arial" w:hAnsi="Arial"/>
          <w:sz w:val="13"/>
          <w:szCs w:val="13"/>
          <w:color w:val="auto"/>
        </w:rPr>
        <w:t>Ms. Cote has significant experience establishing and overseeing executive compensation programs as a former chief executive officer and as a public company board member.</w:t>
      </w:r>
    </w:p>
    <w:p>
      <w:pPr>
        <w:spacing w:after="0" w:line="226"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Governance Committee Member</w:t>
      </w:r>
    </w:p>
    <w:p>
      <w:pPr>
        <w:spacing w:after="0" w:line="15" w:lineRule="exact"/>
        <w:rPr>
          <w:sz w:val="20"/>
          <w:szCs w:val="20"/>
          <w:color w:val="auto"/>
        </w:rPr>
      </w:pPr>
    </w:p>
    <w:p>
      <w:pPr>
        <w:ind w:left="360" w:hanging="208"/>
        <w:spacing w:after="0"/>
        <w:tabs>
          <w:tab w:leader="none" w:pos="360" w:val="left"/>
        </w:tabs>
        <w:numPr>
          <w:ilvl w:val="0"/>
          <w:numId w:val="69"/>
        </w:numPr>
        <w:rPr>
          <w:rFonts w:ascii="Arial" w:cs="Arial" w:eastAsia="Arial" w:hAnsi="Arial"/>
          <w:sz w:val="13"/>
          <w:szCs w:val="13"/>
          <w:color w:val="61C4AF"/>
        </w:rPr>
      </w:pPr>
      <w:r>
        <w:rPr>
          <w:rFonts w:ascii="Arial" w:cs="Arial" w:eastAsia="Arial" w:hAnsi="Arial"/>
          <w:sz w:val="13"/>
          <w:szCs w:val="13"/>
          <w:color w:val="auto"/>
        </w:rPr>
        <w:t>Ms. Cote has substantial governance experience as a director of VeriSign and as a former director of a number of public companies.</w:t>
      </w:r>
    </w:p>
    <w:p>
      <w:pPr>
        <w:spacing w:after="0" w:line="315" w:lineRule="exact"/>
        <w:rPr>
          <w:sz w:val="20"/>
          <w:szCs w:val="20"/>
          <w:color w:val="auto"/>
        </w:rPr>
      </w:pPr>
    </w:p>
    <w:p>
      <w:pPr>
        <w:spacing w:after="0"/>
        <w:rPr>
          <w:sz w:val="20"/>
          <w:szCs w:val="20"/>
          <w:color w:val="auto"/>
        </w:rPr>
      </w:pPr>
      <w:r>
        <w:rPr>
          <w:rFonts w:ascii="Arial" w:cs="Arial" w:eastAsia="Arial" w:hAnsi="Arial"/>
          <w:sz w:val="27"/>
          <w:szCs w:val="27"/>
          <w:b w:val="1"/>
          <w:bCs w:val="1"/>
          <w:color w:val="616161"/>
        </w:rPr>
        <w:t>TUNÇ DOLUCA</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b w:val="1"/>
          <w:bCs w:val="1"/>
          <w:color w:val="17BA9E"/>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54380" cy="8915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54380" cy="891540"/>
                    </a:xfrm>
                    <a:prstGeom prst="rect">
                      <a:avLst/>
                    </a:prstGeom>
                    <a:noFill/>
                  </pic:spPr>
                </pic:pic>
              </a:graphicData>
            </a:graphic>
          </wp:anchor>
        </w:drawing>
      </w:r>
    </w:p>
    <w:p>
      <w:pPr>
        <w:spacing w:after="0" w:line="139" w:lineRule="exact"/>
        <w:rPr>
          <w:sz w:val="20"/>
          <w:szCs w:val="20"/>
          <w:color w:val="auto"/>
        </w:rPr>
      </w:pPr>
    </w:p>
    <w:p>
      <w:pPr>
        <w:ind w:left="1380"/>
        <w:spacing w:after="0"/>
        <w:rPr>
          <w:sz w:val="20"/>
          <w:szCs w:val="20"/>
          <w:color w:val="auto"/>
        </w:rPr>
      </w:pPr>
      <w:r>
        <w:rPr>
          <w:rFonts w:ascii="Arial" w:cs="Arial" w:eastAsia="Arial" w:hAnsi="Arial"/>
          <w:sz w:val="13"/>
          <w:szCs w:val="13"/>
          <w:b w:val="1"/>
          <w:bCs w:val="1"/>
          <w:color w:val="auto"/>
        </w:rPr>
        <w:t>AGE</w:t>
      </w:r>
    </w:p>
    <w:p>
      <w:pPr>
        <w:spacing w:after="0" w:line="15"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62</w:t>
      </w:r>
    </w:p>
    <w:p>
      <w:pPr>
        <w:spacing w:after="0" w:line="199" w:lineRule="exact"/>
        <w:rPr>
          <w:sz w:val="20"/>
          <w:szCs w:val="20"/>
          <w:color w:val="auto"/>
        </w:rPr>
      </w:pPr>
    </w:p>
    <w:p>
      <w:pPr>
        <w:ind w:left="1380"/>
        <w:spacing w:after="0"/>
        <w:rPr>
          <w:sz w:val="20"/>
          <w:szCs w:val="20"/>
          <w:color w:val="auto"/>
        </w:rPr>
      </w:pPr>
      <w:r>
        <w:rPr>
          <w:rFonts w:ascii="Arial" w:cs="Arial" w:eastAsia="Arial" w:hAnsi="Arial"/>
          <w:sz w:val="13"/>
          <w:szCs w:val="13"/>
          <w:b w:val="1"/>
          <w:bCs w:val="1"/>
          <w:color w:val="auto"/>
        </w:rPr>
        <w:t>DIRECTOR SINCE</w:t>
      </w:r>
    </w:p>
    <w:p>
      <w:pPr>
        <w:spacing w:after="0" w:line="15"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August 2018</w:t>
      </w:r>
    </w:p>
    <w:p>
      <w:pPr>
        <w:spacing w:after="0" w:line="199" w:lineRule="exact"/>
        <w:rPr>
          <w:sz w:val="20"/>
          <w:szCs w:val="20"/>
          <w:color w:val="auto"/>
        </w:rPr>
      </w:pPr>
    </w:p>
    <w:p>
      <w:pPr>
        <w:ind w:left="1380"/>
        <w:spacing w:after="0"/>
        <w:rPr>
          <w:sz w:val="20"/>
          <w:szCs w:val="20"/>
          <w:color w:val="auto"/>
        </w:rPr>
      </w:pPr>
      <w:r>
        <w:rPr>
          <w:rFonts w:ascii="Arial" w:cs="Arial" w:eastAsia="Arial" w:hAnsi="Arial"/>
          <w:sz w:val="13"/>
          <w:szCs w:val="13"/>
          <w:b w:val="1"/>
          <w:bCs w:val="1"/>
          <w:color w:val="auto"/>
        </w:rPr>
        <w:t>COMMITTEES</w:t>
      </w:r>
    </w:p>
    <w:p>
      <w:pPr>
        <w:spacing w:after="0" w:line="15" w:lineRule="exact"/>
        <w:rPr>
          <w:sz w:val="20"/>
          <w:szCs w:val="20"/>
          <w:color w:val="auto"/>
        </w:rPr>
      </w:pPr>
    </w:p>
    <w:p>
      <w:pPr>
        <w:ind w:left="1380"/>
        <w:spacing w:after="0"/>
        <w:rPr>
          <w:sz w:val="20"/>
          <w:szCs w:val="20"/>
          <w:color w:val="auto"/>
        </w:rPr>
      </w:pPr>
      <w:r>
        <w:rPr>
          <w:rFonts w:ascii="Arial" w:cs="Arial" w:eastAsia="Arial" w:hAnsi="Arial"/>
          <w:sz w:val="13"/>
          <w:szCs w:val="13"/>
          <w:color w:val="61C4AF"/>
        </w:rPr>
        <w:t>Compensation and Talent</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PROFESSIONAL EXPERIENCE</w:t>
      </w:r>
    </w:p>
    <w:p>
      <w:pPr>
        <w:spacing w:after="0" w:line="15" w:lineRule="exact"/>
        <w:rPr>
          <w:sz w:val="20"/>
          <w:szCs w:val="20"/>
          <w:color w:val="auto"/>
        </w:rPr>
      </w:pPr>
    </w:p>
    <w:p>
      <w:pPr>
        <w:ind w:left="380" w:right="20" w:hanging="228"/>
        <w:spacing w:after="0" w:line="238" w:lineRule="auto"/>
        <w:tabs>
          <w:tab w:leader="none" w:pos="357" w:val="left"/>
        </w:tabs>
        <w:numPr>
          <w:ilvl w:val="0"/>
          <w:numId w:val="70"/>
        </w:numPr>
        <w:rPr>
          <w:rFonts w:ascii="Arial" w:cs="Arial" w:eastAsia="Arial" w:hAnsi="Arial"/>
          <w:sz w:val="13"/>
          <w:szCs w:val="13"/>
          <w:color w:val="61C4AF"/>
        </w:rPr>
      </w:pPr>
      <w:r>
        <w:rPr>
          <w:rFonts w:ascii="Arial" w:cs="Arial" w:eastAsia="Arial" w:hAnsi="Arial"/>
          <w:sz w:val="13"/>
          <w:szCs w:val="13"/>
          <w:color w:val="auto"/>
        </w:rPr>
        <w:t>Mr. Doluca is the president and chief executive officer of Maxim Integrated, which designs, develops, manufactures and markets a broad range of linear and mixed-signal integrated circuits.</w:t>
      </w:r>
    </w:p>
    <w:p>
      <w:pPr>
        <w:ind w:left="380" w:right="260" w:hanging="228"/>
        <w:spacing w:after="0" w:line="238" w:lineRule="auto"/>
        <w:tabs>
          <w:tab w:leader="none" w:pos="357" w:val="left"/>
        </w:tabs>
        <w:numPr>
          <w:ilvl w:val="0"/>
          <w:numId w:val="70"/>
        </w:numPr>
        <w:rPr>
          <w:rFonts w:ascii="Arial" w:cs="Arial" w:eastAsia="Arial" w:hAnsi="Arial"/>
          <w:sz w:val="13"/>
          <w:szCs w:val="13"/>
          <w:color w:val="61C4AF"/>
        </w:rPr>
      </w:pPr>
      <w:r>
        <w:rPr>
          <w:rFonts w:ascii="Arial" w:cs="Arial" w:eastAsia="Arial" w:hAnsi="Arial"/>
          <w:sz w:val="13"/>
          <w:szCs w:val="13"/>
          <w:color w:val="auto"/>
        </w:rPr>
        <w:t>Prior to being named Maxim Integrated’s president and chief executive officer in January 2007, Mr. Doluca served as its group president from May 2005 to January 2007, senior vice president from 2004 to 2005 and vice president from 1994 to 2004. Prior to 1994, Mr. Doluca served in a number of integrated circuit development positions at Maxim Integrated since joining the company in 1984.</w:t>
      </w:r>
    </w:p>
    <w:p>
      <w:pPr>
        <w:ind w:left="360" w:hanging="208"/>
        <w:spacing w:after="0"/>
        <w:tabs>
          <w:tab w:leader="none" w:pos="360" w:val="left"/>
        </w:tabs>
        <w:numPr>
          <w:ilvl w:val="0"/>
          <w:numId w:val="70"/>
        </w:numPr>
        <w:rPr>
          <w:rFonts w:ascii="Arial" w:cs="Arial" w:eastAsia="Arial" w:hAnsi="Arial"/>
          <w:sz w:val="13"/>
          <w:szCs w:val="13"/>
          <w:color w:val="61C4AF"/>
        </w:rPr>
      </w:pPr>
      <w:r>
        <w:rPr>
          <w:rFonts w:ascii="Arial" w:cs="Arial" w:eastAsia="Arial" w:hAnsi="Arial"/>
          <w:sz w:val="13"/>
          <w:szCs w:val="13"/>
          <w:color w:val="auto"/>
        </w:rPr>
        <w:t>Mr. Doluca is a board member of the Semiconductor Industry Association and served as its chairman from 2017 to 2018.</w:t>
      </w:r>
    </w:p>
    <w:p>
      <w:pPr>
        <w:spacing w:after="0" w:line="91"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OTHER CURRENT PUBLIC COMPANY DIRECTORSHIPS</w:t>
      </w:r>
    </w:p>
    <w:p>
      <w:pPr>
        <w:spacing w:after="0" w:line="15" w:lineRule="exact"/>
        <w:rPr>
          <w:sz w:val="20"/>
          <w:szCs w:val="20"/>
          <w:color w:val="auto"/>
        </w:rPr>
      </w:pPr>
    </w:p>
    <w:p>
      <w:pPr>
        <w:ind w:left="360" w:hanging="208"/>
        <w:spacing w:after="0"/>
        <w:tabs>
          <w:tab w:leader="none" w:pos="360" w:val="left"/>
        </w:tabs>
        <w:numPr>
          <w:ilvl w:val="0"/>
          <w:numId w:val="71"/>
        </w:numPr>
        <w:rPr>
          <w:rFonts w:ascii="Arial" w:cs="Arial" w:eastAsia="Arial" w:hAnsi="Arial"/>
          <w:sz w:val="13"/>
          <w:szCs w:val="13"/>
          <w:color w:val="61C4AF"/>
        </w:rPr>
      </w:pPr>
      <w:r>
        <w:rPr>
          <w:rFonts w:ascii="Arial" w:cs="Arial" w:eastAsia="Arial" w:hAnsi="Arial"/>
          <w:sz w:val="13"/>
          <w:szCs w:val="13"/>
          <w:color w:val="auto"/>
        </w:rPr>
        <w:t>Maxim Integrated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045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045845"/>
                    </a:xfrm>
                    <a:prstGeom prst="rect">
                      <a:avLst/>
                    </a:prstGeom>
                    <a:noFill/>
                  </pic:spPr>
                </pic:pic>
              </a:graphicData>
            </a:graphic>
          </wp:anchor>
        </w:drawing>
      </w:r>
    </w:p>
    <w:p>
      <w:pPr>
        <w:spacing w:after="0" w:line="206"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23628F"/>
        </w:rPr>
        <w:t>BOARD SKILLS, QUALIFICATIONS AND EXPERTISE</w:t>
      </w:r>
    </w:p>
    <w:p>
      <w:pPr>
        <w:spacing w:after="0" w:line="15" w:lineRule="exact"/>
        <w:rPr>
          <w:sz w:val="20"/>
          <w:szCs w:val="20"/>
          <w:color w:val="auto"/>
        </w:rPr>
      </w:pPr>
    </w:p>
    <w:p>
      <w:pPr>
        <w:ind w:left="120"/>
        <w:spacing w:after="0" w:line="245" w:lineRule="auto"/>
        <w:rPr>
          <w:sz w:val="20"/>
          <w:szCs w:val="20"/>
          <w:color w:val="auto"/>
        </w:rPr>
      </w:pPr>
      <w:r>
        <w:rPr>
          <w:rFonts w:ascii="Arial" w:cs="Arial" w:eastAsia="Arial" w:hAnsi="Arial"/>
          <w:sz w:val="13"/>
          <w:szCs w:val="13"/>
          <w:color w:val="auto"/>
        </w:rPr>
        <w:t>Mr. Doluca brings to our Board over 30 years of executive leadership and technical experience in the semiconductor industry, which provides our Board with valuable perspectives directly relevant to our business. As a seasoned chief executive officer and director of a large public technology company, he has expertise in corporate strategy, financial management, operations, marketing and research and development, which are all critical to achieving our strategic objectives. We believe these experiences, qualifications, attributes and skills qualify him to serve as a member of our Board of Directors.</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23628F"/>
        </w:rPr>
        <w:t>COMMITTEE EXPERTISE HIGHLIGHTS</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Compensation and Talent Committee Member</w:t>
      </w:r>
    </w:p>
    <w:p>
      <w:pPr>
        <w:ind w:left="360" w:hanging="208"/>
        <w:spacing w:after="0"/>
        <w:tabs>
          <w:tab w:leader="none" w:pos="360" w:val="left"/>
        </w:tabs>
        <w:numPr>
          <w:ilvl w:val="0"/>
          <w:numId w:val="72"/>
        </w:numPr>
        <w:rPr>
          <w:rFonts w:ascii="Arial" w:cs="Arial" w:eastAsia="Arial" w:hAnsi="Arial"/>
          <w:sz w:val="13"/>
          <w:szCs w:val="13"/>
          <w:color w:val="61C4AF"/>
        </w:rPr>
      </w:pPr>
      <w:r>
        <w:rPr>
          <w:rFonts w:ascii="Arial" w:cs="Arial" w:eastAsia="Arial" w:hAnsi="Arial"/>
          <w:sz w:val="13"/>
          <w:szCs w:val="13"/>
          <w:color w:val="auto"/>
        </w:rPr>
        <w:t>Mr. Doluca has significant experience establishing and overseeing executive compensation programs as the chief executive officer of Maxim Integrated.</w:t>
      </w:r>
    </w:p>
    <w:p>
      <w:pPr>
        <w:spacing w:after="0" w:line="319" w:lineRule="exact"/>
        <w:rPr>
          <w:sz w:val="20"/>
          <w:szCs w:val="20"/>
          <w:color w:val="auto"/>
        </w:rPr>
      </w:pPr>
    </w:p>
    <w:p>
      <w:pPr>
        <w:ind w:left="440" w:hanging="432"/>
        <w:spacing w:after="0"/>
        <w:tabs>
          <w:tab w:leader="none" w:pos="440" w:val="left"/>
        </w:tabs>
        <w:numPr>
          <w:ilvl w:val="0"/>
          <w:numId w:val="73"/>
        </w:numPr>
        <w:rPr>
          <w:rFonts w:ascii="Arial" w:cs="Arial" w:eastAsia="Arial" w:hAnsi="Arial"/>
          <w:sz w:val="18"/>
          <w:szCs w:val="18"/>
          <w:b w:val="1"/>
          <w:bCs w:val="1"/>
          <w:color w:val="23628F"/>
        </w:rPr>
      </w:pPr>
      <w:r>
        <w:rPr>
          <w:rFonts w:ascii="Arial" w:cs="Arial" w:eastAsia="Arial" w:hAnsi="Arial"/>
          <w:sz w:val="13"/>
          <w:szCs w:val="13"/>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153275"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right"/>
        <w:spacing w:after="0"/>
        <w:rPr>
          <w:sz w:val="20"/>
          <w:szCs w:val="20"/>
          <w:color w:val="auto"/>
        </w:rPr>
      </w:pPr>
      <w:r>
        <w:rPr>
          <w:rFonts w:ascii="Arial" w:cs="Arial" w:eastAsia="Arial" w:hAnsi="Arial"/>
          <w:sz w:val="13"/>
          <w:szCs w:val="13"/>
          <w:color w:val="23628F"/>
        </w:rPr>
        <w:t>CORPORATE GOVERNANCE MATTERS</w:t>
      </w:r>
    </w:p>
    <w:p>
      <w:pPr>
        <w:spacing w:after="0" w:line="180" w:lineRule="exact"/>
        <w:rPr>
          <w:sz w:val="20"/>
          <w:szCs w:val="20"/>
          <w:color w:val="auto"/>
        </w:rPr>
      </w:pPr>
    </w:p>
    <w:p>
      <w:pPr>
        <w:spacing w:after="0"/>
        <w:rPr>
          <w:sz w:val="20"/>
          <w:szCs w:val="20"/>
          <w:color w:val="auto"/>
        </w:rPr>
      </w:pPr>
      <w:r>
        <w:rPr>
          <w:rFonts w:ascii="Arial" w:cs="Arial" w:eastAsia="Arial" w:hAnsi="Arial"/>
          <w:sz w:val="27"/>
          <w:szCs w:val="27"/>
          <w:b w:val="1"/>
          <w:bCs w:val="1"/>
          <w:color w:val="616161"/>
        </w:rPr>
        <w:t>DAVID V. GOECKELER</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b w:val="1"/>
          <w:bCs w:val="1"/>
          <w:color w:val="17BA9E"/>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916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88670" cy="916940"/>
                    </a:xfrm>
                    <a:prstGeom prst="rect">
                      <a:avLst/>
                    </a:prstGeom>
                    <a:noFill/>
                  </pic:spPr>
                </pic:pic>
              </a:graphicData>
            </a:graphic>
          </wp:anchor>
        </w:drawing>
      </w:r>
    </w:p>
    <w:p>
      <w:pPr>
        <w:spacing w:after="0" w:line="152" w:lineRule="exact"/>
        <w:rPr>
          <w:sz w:val="20"/>
          <w:szCs w:val="20"/>
          <w:color w:val="auto"/>
        </w:rPr>
      </w:pPr>
    </w:p>
    <w:p>
      <w:pPr>
        <w:ind w:left="1440"/>
        <w:spacing w:after="0"/>
        <w:rPr>
          <w:sz w:val="20"/>
          <w:szCs w:val="20"/>
          <w:color w:val="auto"/>
        </w:rPr>
      </w:pPr>
      <w:r>
        <w:rPr>
          <w:rFonts w:ascii="Arial" w:cs="Arial" w:eastAsia="Arial" w:hAnsi="Arial"/>
          <w:sz w:val="13"/>
          <w:szCs w:val="13"/>
          <w:b w:val="1"/>
          <w:bCs w:val="1"/>
          <w:color w:val="auto"/>
        </w:rPr>
        <w:t>AGE</w:t>
      </w:r>
    </w:p>
    <w:p>
      <w:pPr>
        <w:spacing w:after="0" w:line="15"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58</w:t>
      </w:r>
    </w:p>
    <w:p>
      <w:pPr>
        <w:spacing w:after="0" w:line="199" w:lineRule="exact"/>
        <w:rPr>
          <w:sz w:val="20"/>
          <w:szCs w:val="20"/>
          <w:color w:val="auto"/>
        </w:rPr>
      </w:pPr>
    </w:p>
    <w:p>
      <w:pPr>
        <w:ind w:left="1440"/>
        <w:spacing w:after="0"/>
        <w:rPr>
          <w:sz w:val="20"/>
          <w:szCs w:val="20"/>
          <w:color w:val="auto"/>
        </w:rPr>
      </w:pPr>
      <w:r>
        <w:rPr>
          <w:rFonts w:ascii="Arial" w:cs="Arial" w:eastAsia="Arial" w:hAnsi="Arial"/>
          <w:sz w:val="13"/>
          <w:szCs w:val="13"/>
          <w:b w:val="1"/>
          <w:bCs w:val="1"/>
          <w:color w:val="auto"/>
        </w:rPr>
        <w:t>DIRECTOR SINCE</w:t>
      </w:r>
    </w:p>
    <w:p>
      <w:pPr>
        <w:spacing w:after="0" w:line="15"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March 2020</w:t>
      </w:r>
    </w:p>
    <w:p>
      <w:pPr>
        <w:spacing w:after="0" w:line="199" w:lineRule="exact"/>
        <w:rPr>
          <w:sz w:val="20"/>
          <w:szCs w:val="20"/>
          <w:color w:val="auto"/>
        </w:rPr>
      </w:pPr>
    </w:p>
    <w:p>
      <w:pPr>
        <w:ind w:left="1440"/>
        <w:spacing w:after="0"/>
        <w:rPr>
          <w:sz w:val="20"/>
          <w:szCs w:val="20"/>
          <w:color w:val="auto"/>
        </w:rPr>
      </w:pPr>
      <w:r>
        <w:rPr>
          <w:rFonts w:ascii="Arial" w:cs="Arial" w:eastAsia="Arial" w:hAnsi="Arial"/>
          <w:sz w:val="13"/>
          <w:szCs w:val="13"/>
          <w:b w:val="1"/>
          <w:bCs w:val="1"/>
          <w:color w:val="auto"/>
        </w:rPr>
        <w:t>COMMITTEES</w:t>
      </w:r>
    </w:p>
    <w:p>
      <w:pPr>
        <w:spacing w:after="0" w:line="15" w:lineRule="exact"/>
        <w:rPr>
          <w:sz w:val="20"/>
          <w:szCs w:val="20"/>
          <w:color w:val="auto"/>
        </w:rPr>
      </w:pPr>
    </w:p>
    <w:p>
      <w:pPr>
        <w:ind w:left="1440"/>
        <w:spacing w:after="0"/>
        <w:rPr>
          <w:sz w:val="20"/>
          <w:szCs w:val="20"/>
          <w:color w:val="auto"/>
        </w:rPr>
      </w:pPr>
      <w:r>
        <w:rPr>
          <w:rFonts w:ascii="Arial" w:cs="Arial" w:eastAsia="Arial" w:hAnsi="Arial"/>
          <w:sz w:val="13"/>
          <w:szCs w:val="13"/>
          <w:color w:val="616161"/>
        </w:rPr>
        <w:t>Executive (Chair)</w:t>
      </w:r>
    </w:p>
    <w:p>
      <w:pPr>
        <w:spacing w:after="0" w:line="199"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PROFESSIONAL EXPERIENCE</w:t>
      </w:r>
    </w:p>
    <w:p>
      <w:pPr>
        <w:spacing w:after="0" w:line="14" w:lineRule="exact"/>
        <w:rPr>
          <w:sz w:val="20"/>
          <w:szCs w:val="20"/>
          <w:color w:val="auto"/>
        </w:rPr>
      </w:pPr>
    </w:p>
    <w:p>
      <w:pPr>
        <w:ind w:left="360" w:hanging="244"/>
        <w:spacing w:after="0"/>
        <w:tabs>
          <w:tab w:leader="none" w:pos="360" w:val="left"/>
        </w:tabs>
        <w:numPr>
          <w:ilvl w:val="0"/>
          <w:numId w:val="74"/>
        </w:numPr>
        <w:rPr>
          <w:rFonts w:ascii="Arial" w:cs="Arial" w:eastAsia="Arial" w:hAnsi="Arial"/>
          <w:sz w:val="13"/>
          <w:szCs w:val="13"/>
          <w:color w:val="61C4AF"/>
        </w:rPr>
      </w:pPr>
      <w:r>
        <w:rPr>
          <w:rFonts w:ascii="Arial" w:cs="Arial" w:eastAsia="Arial" w:hAnsi="Arial"/>
          <w:sz w:val="13"/>
          <w:szCs w:val="13"/>
          <w:color w:val="auto"/>
        </w:rPr>
        <w:t>Mr. Goeckeler has served as our Chief Executive Officer since March 2020.</w:t>
      </w:r>
    </w:p>
    <w:p>
      <w:pPr>
        <w:ind w:left="360" w:right="260" w:hanging="244"/>
        <w:spacing w:after="0" w:line="248" w:lineRule="auto"/>
        <w:tabs>
          <w:tab w:leader="none" w:pos="364" w:val="left"/>
        </w:tabs>
        <w:numPr>
          <w:ilvl w:val="0"/>
          <w:numId w:val="74"/>
        </w:numPr>
        <w:rPr>
          <w:rFonts w:ascii="Arial" w:cs="Arial" w:eastAsia="Arial" w:hAnsi="Arial"/>
          <w:sz w:val="13"/>
          <w:szCs w:val="13"/>
          <w:color w:val="61C4AF"/>
        </w:rPr>
      </w:pPr>
      <w:r>
        <w:rPr>
          <w:rFonts w:ascii="Arial" w:cs="Arial" w:eastAsia="Arial" w:hAnsi="Arial"/>
          <w:sz w:val="13"/>
          <w:szCs w:val="13"/>
          <w:color w:val="auto"/>
        </w:rPr>
        <w:t>Prior to that, Mr. Goeckeler served as executive vice president and general manager of the networking and security business of Cisco, Inc., a large, multi-national technology company, from July 2017 to March 2020. From May 2016 to August 2017, Mr. Goeckeler served as senior vice president and general manager for Cisco’s networking and security business group, and served as senior vice president and general manager for its security business from November 2014 to May 2016.</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OTHER CURRENT PUBLIC COMPANY DIRECTORSHIPS</w:t>
      </w:r>
    </w:p>
    <w:p>
      <w:pPr>
        <w:spacing w:after="0" w:line="15" w:lineRule="exact"/>
        <w:rPr>
          <w:sz w:val="20"/>
          <w:szCs w:val="20"/>
          <w:color w:val="auto"/>
        </w:rPr>
      </w:pPr>
    </w:p>
    <w:p>
      <w:pPr>
        <w:ind w:left="360" w:hanging="244"/>
        <w:spacing w:after="0"/>
        <w:tabs>
          <w:tab w:leader="none" w:pos="360" w:val="left"/>
        </w:tabs>
        <w:numPr>
          <w:ilvl w:val="0"/>
          <w:numId w:val="75"/>
        </w:numPr>
        <w:rPr>
          <w:rFonts w:ascii="Arial" w:cs="Arial" w:eastAsia="Arial" w:hAnsi="Arial"/>
          <w:sz w:val="13"/>
          <w:szCs w:val="13"/>
          <w:color w:val="61C4AF"/>
        </w:rPr>
      </w:pPr>
      <w:r>
        <w:rPr>
          <w:rFonts w:ascii="Arial" w:cs="Arial" w:eastAsia="Arial" w:hAnsi="Arial"/>
          <w:sz w:val="13"/>
          <w:szCs w:val="13"/>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9512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951230"/>
                    </a:xfrm>
                    <a:prstGeom prst="rect">
                      <a:avLst/>
                    </a:prstGeom>
                    <a:noFill/>
                  </pic:spPr>
                </pic:pic>
              </a:graphicData>
            </a:graphic>
          </wp:anchor>
        </w:drawing>
      </w:r>
    </w:p>
    <w:p>
      <w:pPr>
        <w:spacing w:after="0" w:line="206"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23628F"/>
        </w:rPr>
        <w:t>BOARD SKILLS, QUALIFICATIONS AND EXPERTISE</w:t>
      </w:r>
    </w:p>
    <w:p>
      <w:pPr>
        <w:spacing w:after="0" w:line="15" w:lineRule="exact"/>
        <w:rPr>
          <w:sz w:val="20"/>
          <w:szCs w:val="20"/>
          <w:color w:val="auto"/>
        </w:rPr>
      </w:pPr>
    </w:p>
    <w:p>
      <w:pPr>
        <w:ind w:left="120" w:right="180"/>
        <w:spacing w:after="0" w:line="248" w:lineRule="auto"/>
        <w:rPr>
          <w:sz w:val="20"/>
          <w:szCs w:val="20"/>
          <w:color w:val="auto"/>
        </w:rPr>
      </w:pPr>
      <w:r>
        <w:rPr>
          <w:rFonts w:ascii="Arial" w:cs="Arial" w:eastAsia="Arial" w:hAnsi="Arial"/>
          <w:sz w:val="13"/>
          <w:szCs w:val="13"/>
          <w:color w:val="auto"/>
        </w:rPr>
        <w:t>Mr. Goeckeler’s 20 years of experience in technical and leadership positions at Cisco, including more than six years in senior management positions there, and his current position as our Chief Executive Officer, contributes indispensable knowledge and expertise to our Board. We believe these experiences, qualifications, attributes and skills qualify him to serve as a member of our Board of Directors.</w:t>
      </w:r>
    </w:p>
    <w:p>
      <w:pPr>
        <w:spacing w:after="0" w:line="209"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23628F"/>
        </w:rPr>
        <w:t>COMMITTEE EXPERTISE HIGHLIGHTS</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Executive Committee Chair</w:t>
      </w:r>
    </w:p>
    <w:p>
      <w:pPr>
        <w:ind w:left="360" w:hanging="244"/>
        <w:spacing w:after="0"/>
        <w:tabs>
          <w:tab w:leader="none" w:pos="360" w:val="left"/>
        </w:tabs>
        <w:numPr>
          <w:ilvl w:val="0"/>
          <w:numId w:val="76"/>
        </w:numPr>
        <w:rPr>
          <w:rFonts w:ascii="Arial" w:cs="Arial" w:eastAsia="Arial" w:hAnsi="Arial"/>
          <w:sz w:val="13"/>
          <w:szCs w:val="13"/>
          <w:color w:val="61C4AF"/>
        </w:rPr>
      </w:pPr>
      <w:r>
        <w:rPr>
          <w:rFonts w:ascii="Arial" w:cs="Arial" w:eastAsia="Arial" w:hAnsi="Arial"/>
          <w:sz w:val="13"/>
          <w:szCs w:val="13"/>
          <w:color w:val="auto"/>
        </w:rPr>
        <w:t>Mr. Goeckeler serves as our Chief Executive Officer and has held numerous senior executive roles at Cisco, most recently overseeing its networking and security business.</w:t>
      </w:r>
    </w:p>
    <w:p>
      <w:pPr>
        <w:spacing w:after="0" w:line="315" w:lineRule="exact"/>
        <w:rPr>
          <w:sz w:val="20"/>
          <w:szCs w:val="20"/>
          <w:color w:val="auto"/>
        </w:rPr>
      </w:pPr>
    </w:p>
    <w:p>
      <w:pPr>
        <w:spacing w:after="0"/>
        <w:rPr>
          <w:sz w:val="20"/>
          <w:szCs w:val="20"/>
          <w:color w:val="auto"/>
        </w:rPr>
      </w:pPr>
      <w:r>
        <w:rPr>
          <w:rFonts w:ascii="Arial" w:cs="Arial" w:eastAsia="Arial" w:hAnsi="Arial"/>
          <w:sz w:val="27"/>
          <w:szCs w:val="27"/>
          <w:b w:val="1"/>
          <w:bCs w:val="1"/>
          <w:color w:val="616161"/>
        </w:rPr>
        <w:t>MATTHEW E. MASSENGILL</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b w:val="1"/>
          <w:bCs w:val="1"/>
          <w:color w:val="23628F"/>
        </w:rPr>
        <w:t>INDEPENDENT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96925" cy="916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96925" cy="916940"/>
                    </a:xfrm>
                    <a:prstGeom prst="rect">
                      <a:avLst/>
                    </a:prstGeom>
                    <a:noFill/>
                  </pic:spPr>
                </pic:pic>
              </a:graphicData>
            </a:graphic>
          </wp:anchor>
        </w:drawing>
      </w:r>
    </w:p>
    <w:p>
      <w:pPr>
        <w:spacing w:after="0" w:line="152" w:lineRule="exact"/>
        <w:rPr>
          <w:sz w:val="20"/>
          <w:szCs w:val="20"/>
          <w:color w:val="auto"/>
        </w:rPr>
      </w:pPr>
    </w:p>
    <w:p>
      <w:pPr>
        <w:ind w:left="1440"/>
        <w:spacing w:after="0"/>
        <w:rPr>
          <w:sz w:val="20"/>
          <w:szCs w:val="20"/>
          <w:color w:val="auto"/>
        </w:rPr>
      </w:pPr>
      <w:r>
        <w:rPr>
          <w:rFonts w:ascii="Arial" w:cs="Arial" w:eastAsia="Arial" w:hAnsi="Arial"/>
          <w:sz w:val="13"/>
          <w:szCs w:val="13"/>
          <w:b w:val="1"/>
          <w:bCs w:val="1"/>
          <w:color w:val="auto"/>
        </w:rPr>
        <w:t>AGE</w:t>
      </w:r>
    </w:p>
    <w:p>
      <w:pPr>
        <w:spacing w:after="0" w:line="15"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59</w:t>
      </w:r>
    </w:p>
    <w:p>
      <w:pPr>
        <w:spacing w:after="0" w:line="199" w:lineRule="exact"/>
        <w:rPr>
          <w:sz w:val="20"/>
          <w:szCs w:val="20"/>
          <w:color w:val="auto"/>
        </w:rPr>
      </w:pPr>
    </w:p>
    <w:p>
      <w:pPr>
        <w:ind w:left="1440"/>
        <w:spacing w:after="0"/>
        <w:rPr>
          <w:sz w:val="20"/>
          <w:szCs w:val="20"/>
          <w:color w:val="auto"/>
        </w:rPr>
      </w:pPr>
      <w:r>
        <w:rPr>
          <w:rFonts w:ascii="Arial" w:cs="Arial" w:eastAsia="Arial" w:hAnsi="Arial"/>
          <w:sz w:val="13"/>
          <w:szCs w:val="13"/>
          <w:b w:val="1"/>
          <w:bCs w:val="1"/>
          <w:color w:val="auto"/>
        </w:rPr>
        <w:t>DIRECTOR SINCE</w:t>
      </w:r>
    </w:p>
    <w:p>
      <w:pPr>
        <w:spacing w:after="0" w:line="15" w:lineRule="exact"/>
        <w:rPr>
          <w:sz w:val="20"/>
          <w:szCs w:val="20"/>
          <w:color w:val="auto"/>
        </w:rPr>
      </w:pPr>
    </w:p>
    <w:p>
      <w:pPr>
        <w:ind w:left="1440"/>
        <w:spacing w:after="0"/>
        <w:rPr>
          <w:sz w:val="20"/>
          <w:szCs w:val="20"/>
          <w:color w:val="auto"/>
        </w:rPr>
      </w:pPr>
      <w:r>
        <w:rPr>
          <w:rFonts w:ascii="Arial" w:cs="Arial" w:eastAsia="Arial" w:hAnsi="Arial"/>
          <w:sz w:val="13"/>
          <w:szCs w:val="13"/>
          <w:color w:val="auto"/>
        </w:rPr>
        <w:t>January 2000</w:t>
      </w:r>
    </w:p>
    <w:p>
      <w:pPr>
        <w:spacing w:after="0" w:line="199" w:lineRule="exact"/>
        <w:rPr>
          <w:sz w:val="20"/>
          <w:szCs w:val="20"/>
          <w:color w:val="auto"/>
        </w:rPr>
      </w:pPr>
    </w:p>
    <w:p>
      <w:pPr>
        <w:ind w:left="1440"/>
        <w:spacing w:after="0"/>
        <w:rPr>
          <w:sz w:val="20"/>
          <w:szCs w:val="20"/>
          <w:color w:val="auto"/>
        </w:rPr>
      </w:pPr>
      <w:r>
        <w:rPr>
          <w:rFonts w:ascii="Arial" w:cs="Arial" w:eastAsia="Arial" w:hAnsi="Arial"/>
          <w:sz w:val="13"/>
          <w:szCs w:val="13"/>
          <w:b w:val="1"/>
          <w:bCs w:val="1"/>
          <w:color w:val="auto"/>
        </w:rPr>
        <w:t>COMMITTEES</w:t>
      </w:r>
    </w:p>
    <w:p>
      <w:pPr>
        <w:spacing w:after="0" w:line="15" w:lineRule="exact"/>
        <w:rPr>
          <w:sz w:val="20"/>
          <w:szCs w:val="20"/>
          <w:color w:val="auto"/>
        </w:rPr>
      </w:pPr>
    </w:p>
    <w:p>
      <w:pPr>
        <w:ind w:left="1440"/>
        <w:spacing w:after="0"/>
        <w:rPr>
          <w:sz w:val="20"/>
          <w:szCs w:val="20"/>
          <w:color w:val="auto"/>
        </w:rPr>
      </w:pPr>
      <w:r>
        <w:rPr>
          <w:rFonts w:ascii="Arial" w:cs="Arial" w:eastAsia="Arial" w:hAnsi="Arial"/>
          <w:sz w:val="13"/>
          <w:szCs w:val="13"/>
          <w:color w:val="616161"/>
        </w:rPr>
        <w:t>Executive</w:t>
      </w:r>
    </w:p>
    <w:p>
      <w:pPr>
        <w:spacing w:after="0" w:line="199"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PROFESSIONAL EXPERIENCE</w:t>
      </w:r>
    </w:p>
    <w:p>
      <w:pPr>
        <w:spacing w:after="0" w:line="15" w:lineRule="exact"/>
        <w:rPr>
          <w:sz w:val="20"/>
          <w:szCs w:val="20"/>
          <w:color w:val="auto"/>
        </w:rPr>
      </w:pPr>
    </w:p>
    <w:p>
      <w:pPr>
        <w:ind w:left="360" w:right="680" w:hanging="244"/>
        <w:spacing w:after="0" w:line="238" w:lineRule="auto"/>
        <w:tabs>
          <w:tab w:leader="none" w:pos="364" w:val="left"/>
        </w:tabs>
        <w:numPr>
          <w:ilvl w:val="0"/>
          <w:numId w:val="77"/>
        </w:numPr>
        <w:rPr>
          <w:rFonts w:ascii="Arial" w:cs="Arial" w:eastAsia="Arial" w:hAnsi="Arial"/>
          <w:sz w:val="13"/>
          <w:szCs w:val="13"/>
          <w:color w:val="61C4AF"/>
        </w:rPr>
      </w:pPr>
      <w:r>
        <w:rPr>
          <w:rFonts w:ascii="Arial" w:cs="Arial" w:eastAsia="Arial" w:hAnsi="Arial"/>
          <w:sz w:val="13"/>
          <w:szCs w:val="13"/>
          <w:color w:val="auto"/>
        </w:rPr>
        <w:t>Mr. Massengill served as the President of Western Digital Corporation from January 2000 to January 2002, Chief Executive Officer from January 2000 to October 2005 and Chairman of the Board from November 2001 to March 2007.</w:t>
      </w:r>
    </w:p>
    <w:p>
      <w:pPr>
        <w:ind w:left="360" w:right="140" w:hanging="244"/>
        <w:spacing w:after="0"/>
        <w:tabs>
          <w:tab w:leader="none" w:pos="364" w:val="left"/>
        </w:tabs>
        <w:numPr>
          <w:ilvl w:val="0"/>
          <w:numId w:val="77"/>
        </w:numPr>
        <w:rPr>
          <w:rFonts w:ascii="Arial" w:cs="Arial" w:eastAsia="Arial" w:hAnsi="Arial"/>
          <w:sz w:val="13"/>
          <w:szCs w:val="13"/>
          <w:color w:val="61C4AF"/>
        </w:rPr>
      </w:pPr>
      <w:r>
        <w:rPr>
          <w:rFonts w:ascii="Arial" w:cs="Arial" w:eastAsia="Arial" w:hAnsi="Arial"/>
          <w:sz w:val="13"/>
          <w:szCs w:val="13"/>
          <w:color w:val="auto"/>
        </w:rPr>
        <w:t>Prior to that, Mr. Massengill served as Western Digital’s Chief Operating Officer from October 1999 to January 2000 and in various executive capacities since joining our company in 1985.</w:t>
      </w:r>
    </w:p>
    <w:p>
      <w:pPr>
        <w:spacing w:after="0" w:line="147" w:lineRule="exact"/>
        <w:rPr>
          <w:rFonts w:ascii="Arial" w:cs="Arial" w:eastAsia="Arial" w:hAnsi="Arial"/>
          <w:sz w:val="13"/>
          <w:szCs w:val="13"/>
          <w:color w:val="61C4AF"/>
        </w:rPr>
      </w:pPr>
    </w:p>
    <w:p>
      <w:pPr>
        <w:ind w:left="360" w:hanging="244"/>
        <w:spacing w:after="0"/>
        <w:tabs>
          <w:tab w:leader="none" w:pos="360" w:val="left"/>
        </w:tabs>
        <w:numPr>
          <w:ilvl w:val="0"/>
          <w:numId w:val="77"/>
        </w:numPr>
        <w:rPr>
          <w:rFonts w:ascii="Arial" w:cs="Arial" w:eastAsia="Arial" w:hAnsi="Arial"/>
          <w:sz w:val="13"/>
          <w:szCs w:val="13"/>
          <w:color w:val="61C4AF"/>
        </w:rPr>
      </w:pPr>
      <w:r>
        <w:rPr>
          <w:rFonts w:ascii="Arial" w:cs="Arial" w:eastAsia="Arial" w:hAnsi="Arial"/>
          <w:sz w:val="13"/>
          <w:szCs w:val="13"/>
          <w:color w:val="auto"/>
        </w:rPr>
        <w:t>Within the last five years, Mr. Massengill served as a director of GT Advanced Technologies, Inc. and Microsemi Corporation.</w:t>
      </w:r>
    </w:p>
    <w:p>
      <w:pPr>
        <w:spacing w:after="0" w:line="91"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OTHER CURRENT PUBLIC COMPANY DIRECTORSHIPS</w:t>
      </w:r>
    </w:p>
    <w:p>
      <w:pPr>
        <w:spacing w:after="0" w:line="15" w:lineRule="exact"/>
        <w:rPr>
          <w:sz w:val="20"/>
          <w:szCs w:val="20"/>
          <w:color w:val="auto"/>
        </w:rPr>
      </w:pPr>
    </w:p>
    <w:p>
      <w:pPr>
        <w:ind w:left="360" w:hanging="244"/>
        <w:spacing w:after="0"/>
        <w:tabs>
          <w:tab w:leader="none" w:pos="360" w:val="left"/>
        </w:tabs>
        <w:numPr>
          <w:ilvl w:val="0"/>
          <w:numId w:val="78"/>
        </w:numPr>
        <w:rPr>
          <w:rFonts w:ascii="Arial" w:cs="Arial" w:eastAsia="Arial" w:hAnsi="Arial"/>
          <w:sz w:val="13"/>
          <w:szCs w:val="13"/>
          <w:color w:val="61C4AF"/>
        </w:rPr>
      </w:pPr>
      <w:r>
        <w:rPr>
          <w:rFonts w:ascii="Arial" w:cs="Arial" w:eastAsia="Arial" w:hAnsi="Arial"/>
          <w:sz w:val="13"/>
          <w:szCs w:val="13"/>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045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045845"/>
                    </a:xfrm>
                    <a:prstGeom prst="rect">
                      <a:avLst/>
                    </a:prstGeom>
                    <a:noFill/>
                  </pic:spPr>
                </pic:pic>
              </a:graphicData>
            </a:graphic>
          </wp:anchor>
        </w:drawing>
      </w:r>
    </w:p>
    <w:p>
      <w:pPr>
        <w:spacing w:after="0" w:line="206"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23628F"/>
        </w:rPr>
        <w:t>BOARD SKILLS, QUALIFICATIONS AND EXPERTISE</w:t>
      </w:r>
    </w:p>
    <w:p>
      <w:pPr>
        <w:spacing w:after="0" w:line="15" w:lineRule="exact"/>
        <w:rPr>
          <w:sz w:val="20"/>
          <w:szCs w:val="20"/>
          <w:color w:val="auto"/>
        </w:rPr>
      </w:pPr>
    </w:p>
    <w:p>
      <w:pPr>
        <w:ind w:left="120" w:right="260"/>
        <w:spacing w:after="0" w:line="245" w:lineRule="auto"/>
        <w:rPr>
          <w:sz w:val="20"/>
          <w:szCs w:val="20"/>
          <w:color w:val="auto"/>
        </w:rPr>
      </w:pPr>
      <w:r>
        <w:rPr>
          <w:rFonts w:ascii="Arial" w:cs="Arial" w:eastAsia="Arial" w:hAnsi="Arial"/>
          <w:sz w:val="13"/>
          <w:szCs w:val="13"/>
          <w:color w:val="auto"/>
        </w:rPr>
        <w:t>Mr. Massengill’s many years of service to Western Digital as an executive and Board member provide our Board with extensive and significant experience directly relevant to our business. As our former Chief Executive Officer, he has a deep understanding of our operations, provides valuable knowledge to our Board on the issues we face to achieve our strategic objectives and has extensive international experience. His prior service on numerous other public company boards of directors also provides our Board with important board-level perspective. We believe these experiences, qualifications, attributes and skills qualify him to serve as a member of our Board of Directors.</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23628F"/>
        </w:rPr>
        <w:t>COMMITTEE EXPERTISE HIGHLIGHTS</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Executive Committee Member</w:t>
      </w:r>
    </w:p>
    <w:p>
      <w:pPr>
        <w:ind w:left="360" w:hanging="244"/>
        <w:spacing w:after="0"/>
        <w:tabs>
          <w:tab w:leader="none" w:pos="360" w:val="left"/>
        </w:tabs>
        <w:numPr>
          <w:ilvl w:val="0"/>
          <w:numId w:val="79"/>
        </w:numPr>
        <w:rPr>
          <w:rFonts w:ascii="Arial" w:cs="Arial" w:eastAsia="Arial" w:hAnsi="Arial"/>
          <w:sz w:val="13"/>
          <w:szCs w:val="13"/>
          <w:color w:val="61C4AF"/>
        </w:rPr>
      </w:pPr>
      <w:r>
        <w:rPr>
          <w:rFonts w:ascii="Arial" w:cs="Arial" w:eastAsia="Arial" w:hAnsi="Arial"/>
          <w:sz w:val="13"/>
          <w:szCs w:val="13"/>
          <w:color w:val="auto"/>
        </w:rPr>
        <w:t>Mr. Massengill has extensive and significant experience as an executive, including as a former Chief Executive Officer, Chief Operating Officer and Board member of our company.</w:t>
      </w:r>
    </w:p>
    <w:p>
      <w:pPr>
        <w:spacing w:after="0" w:line="30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23628F"/>
        </w:rPr>
        <w:t>2020 PROXY STATEMENT</w:t>
      </w:r>
      <w:r>
        <w:rPr>
          <w:sz w:val="20"/>
          <w:szCs w:val="20"/>
          <w:color w:val="auto"/>
        </w:rPr>
        <w:tab/>
      </w:r>
      <w:r>
        <w:rPr>
          <w:rFonts w:ascii="Arial" w:cs="Arial" w:eastAsia="Arial" w:hAnsi="Arial"/>
          <w:sz w:val="16"/>
          <w:szCs w:val="16"/>
          <w:b w:val="1"/>
          <w:bCs w:val="1"/>
          <w:color w:val="23628F"/>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153275"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23628F"/>
        </w:rPr>
        <w:t>CORPORATE GOVERNANCE MATTERS</w:t>
      </w:r>
    </w:p>
    <w:p>
      <w:pPr>
        <w:spacing w:after="0" w:line="180" w:lineRule="exact"/>
        <w:rPr>
          <w:sz w:val="20"/>
          <w:szCs w:val="20"/>
          <w:color w:val="auto"/>
        </w:rPr>
      </w:pPr>
    </w:p>
    <w:p>
      <w:pPr>
        <w:spacing w:after="0"/>
        <w:rPr>
          <w:sz w:val="20"/>
          <w:szCs w:val="20"/>
          <w:color w:val="auto"/>
        </w:rPr>
      </w:pPr>
      <w:r>
        <w:rPr>
          <w:rFonts w:ascii="Arial" w:cs="Arial" w:eastAsia="Arial" w:hAnsi="Arial"/>
          <w:sz w:val="27"/>
          <w:szCs w:val="27"/>
          <w:b w:val="1"/>
          <w:bCs w:val="1"/>
          <w:color w:val="616161"/>
        </w:rPr>
        <w:t>PAULA A. PRICE</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b w:val="1"/>
          <w:bCs w:val="1"/>
          <w:color w:val="17BA9E"/>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62635" cy="8832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2635" cy="883285"/>
                    </a:xfrm>
                    <a:prstGeom prst="rect">
                      <a:avLst/>
                    </a:prstGeom>
                    <a:noFill/>
                  </pic:spPr>
                </pic:pic>
              </a:graphicData>
            </a:graphic>
          </wp:anchor>
        </w:drawing>
      </w:r>
    </w:p>
    <w:p>
      <w:pPr>
        <w:spacing w:after="0" w:line="125" w:lineRule="exact"/>
        <w:rPr>
          <w:sz w:val="20"/>
          <w:szCs w:val="20"/>
          <w:color w:val="auto"/>
        </w:rPr>
      </w:pPr>
    </w:p>
    <w:p>
      <w:pPr>
        <w:ind w:left="1380"/>
        <w:spacing w:after="0"/>
        <w:rPr>
          <w:sz w:val="20"/>
          <w:szCs w:val="20"/>
          <w:color w:val="auto"/>
        </w:rPr>
      </w:pPr>
      <w:r>
        <w:rPr>
          <w:rFonts w:ascii="Arial" w:cs="Arial" w:eastAsia="Arial" w:hAnsi="Arial"/>
          <w:sz w:val="13"/>
          <w:szCs w:val="13"/>
          <w:b w:val="1"/>
          <w:bCs w:val="1"/>
          <w:color w:val="auto"/>
        </w:rPr>
        <w:t>AGE</w:t>
      </w:r>
    </w:p>
    <w:p>
      <w:pPr>
        <w:spacing w:after="0" w:line="15"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58</w:t>
      </w:r>
    </w:p>
    <w:p>
      <w:pPr>
        <w:spacing w:after="0" w:line="199" w:lineRule="exact"/>
        <w:rPr>
          <w:sz w:val="20"/>
          <w:szCs w:val="20"/>
          <w:color w:val="auto"/>
        </w:rPr>
      </w:pPr>
    </w:p>
    <w:p>
      <w:pPr>
        <w:ind w:left="1380"/>
        <w:spacing w:after="0"/>
        <w:rPr>
          <w:sz w:val="20"/>
          <w:szCs w:val="20"/>
          <w:color w:val="auto"/>
        </w:rPr>
      </w:pPr>
      <w:r>
        <w:rPr>
          <w:rFonts w:ascii="Arial" w:cs="Arial" w:eastAsia="Arial" w:hAnsi="Arial"/>
          <w:sz w:val="13"/>
          <w:szCs w:val="13"/>
          <w:b w:val="1"/>
          <w:bCs w:val="1"/>
          <w:color w:val="auto"/>
        </w:rPr>
        <w:t>DIRECTOR SINCE</w:t>
      </w:r>
    </w:p>
    <w:p>
      <w:pPr>
        <w:spacing w:after="0" w:line="15"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June 2020</w:t>
      </w:r>
    </w:p>
    <w:p>
      <w:pPr>
        <w:spacing w:after="0" w:line="199" w:lineRule="exact"/>
        <w:rPr>
          <w:sz w:val="20"/>
          <w:szCs w:val="20"/>
          <w:color w:val="auto"/>
        </w:rPr>
      </w:pPr>
    </w:p>
    <w:p>
      <w:pPr>
        <w:ind w:left="1380"/>
        <w:spacing w:after="0"/>
        <w:rPr>
          <w:sz w:val="20"/>
          <w:szCs w:val="20"/>
          <w:color w:val="auto"/>
        </w:rPr>
      </w:pPr>
      <w:r>
        <w:rPr>
          <w:rFonts w:ascii="Arial" w:cs="Arial" w:eastAsia="Arial" w:hAnsi="Arial"/>
          <w:sz w:val="13"/>
          <w:szCs w:val="13"/>
          <w:b w:val="1"/>
          <w:bCs w:val="1"/>
          <w:color w:val="auto"/>
        </w:rPr>
        <w:t>COMMITTEES</w:t>
      </w:r>
    </w:p>
    <w:p>
      <w:pPr>
        <w:spacing w:after="0" w:line="15" w:lineRule="exact"/>
        <w:rPr>
          <w:sz w:val="20"/>
          <w:szCs w:val="20"/>
          <w:color w:val="auto"/>
        </w:rPr>
      </w:pPr>
    </w:p>
    <w:p>
      <w:pPr>
        <w:ind w:left="1380"/>
        <w:spacing w:after="0"/>
        <w:rPr>
          <w:sz w:val="20"/>
          <w:szCs w:val="20"/>
          <w:color w:val="auto"/>
        </w:rPr>
      </w:pPr>
      <w:r>
        <w:rPr>
          <w:rFonts w:ascii="Arial" w:cs="Arial" w:eastAsia="Arial" w:hAnsi="Arial"/>
          <w:sz w:val="13"/>
          <w:szCs w:val="13"/>
          <w:color w:val="819DBB"/>
        </w:rPr>
        <w:t>Audit</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PROFESSIONAL EXPERIENCE</w:t>
      </w:r>
    </w:p>
    <w:p>
      <w:pPr>
        <w:spacing w:after="0" w:line="15" w:lineRule="exact"/>
        <w:rPr>
          <w:sz w:val="20"/>
          <w:szCs w:val="20"/>
          <w:color w:val="auto"/>
        </w:rPr>
      </w:pPr>
    </w:p>
    <w:p>
      <w:pPr>
        <w:ind w:left="360" w:right="40" w:hanging="244"/>
        <w:spacing w:after="0" w:line="238" w:lineRule="auto"/>
        <w:tabs>
          <w:tab w:leader="none" w:pos="364" w:val="left"/>
        </w:tabs>
        <w:numPr>
          <w:ilvl w:val="0"/>
          <w:numId w:val="80"/>
        </w:numPr>
        <w:rPr>
          <w:rFonts w:ascii="Arial" w:cs="Arial" w:eastAsia="Arial" w:hAnsi="Arial"/>
          <w:sz w:val="13"/>
          <w:szCs w:val="13"/>
          <w:color w:val="61C4AF"/>
        </w:rPr>
      </w:pPr>
      <w:r>
        <w:rPr>
          <w:rFonts w:ascii="Arial" w:cs="Arial" w:eastAsia="Arial" w:hAnsi="Arial"/>
          <w:sz w:val="13"/>
          <w:szCs w:val="13"/>
          <w:color w:val="auto"/>
        </w:rPr>
        <w:t>Ms. Price currently serves as an advisor to Macy’s, Inc., an omni-channel retailer that operates more than 800 stores, after serving as its executive vice president and chief financial officer from July 2018 to May 2020. Ms. Price has also served as a visiting executive for Harvard Business School since July 2018.</w:t>
      </w:r>
    </w:p>
    <w:p>
      <w:pPr>
        <w:ind w:left="360" w:right="280" w:hanging="244"/>
        <w:spacing w:after="0" w:line="238" w:lineRule="auto"/>
        <w:tabs>
          <w:tab w:leader="none" w:pos="364" w:val="left"/>
        </w:tabs>
        <w:numPr>
          <w:ilvl w:val="0"/>
          <w:numId w:val="80"/>
        </w:numPr>
        <w:rPr>
          <w:rFonts w:ascii="Arial" w:cs="Arial" w:eastAsia="Arial" w:hAnsi="Arial"/>
          <w:sz w:val="13"/>
          <w:szCs w:val="13"/>
          <w:color w:val="61C4AF"/>
        </w:rPr>
      </w:pPr>
      <w:r>
        <w:rPr>
          <w:rFonts w:ascii="Arial" w:cs="Arial" w:eastAsia="Arial" w:hAnsi="Arial"/>
          <w:sz w:val="13"/>
          <w:szCs w:val="13"/>
          <w:color w:val="auto"/>
        </w:rPr>
        <w:t>Prior to joining Macy’s, Ms. Price was a senior lecturer for Harvard Business School in the Accounting and Management Unit from July 2014 to July 2018. From May 2009 to January 2014, Ms. Price served as executive vice president and chief financial officer at Ahold USA, a retailer that operates more than 700 supermarkets and an online grocery delivery service, where she was responsible for finance and accounting, strategic planning, real estate and information technology. From July 2006 to August 2008, she was the senior vice president, controller and chief accounting officer at CVS Caremark and from August 2002 to September 2005, she was the senior vice president and chief financial officer for the institutional trust services division of JPMorgan Chase. Prior to that, she held several other senior management positions in the U.S. and the U.K. in the financial services and consumer products industries at Prudential Insurance Co. of America, Diageo and Kraft Foods.</w:t>
      </w:r>
    </w:p>
    <w:p>
      <w:pPr>
        <w:spacing w:after="0" w:line="1" w:lineRule="exact"/>
        <w:rPr>
          <w:rFonts w:ascii="Arial" w:cs="Arial" w:eastAsia="Arial" w:hAnsi="Arial"/>
          <w:sz w:val="13"/>
          <w:szCs w:val="13"/>
          <w:color w:val="61C4AF"/>
        </w:rPr>
      </w:pPr>
    </w:p>
    <w:p>
      <w:pPr>
        <w:ind w:left="360" w:hanging="244"/>
        <w:spacing w:after="0"/>
        <w:tabs>
          <w:tab w:leader="none" w:pos="360" w:val="left"/>
        </w:tabs>
        <w:numPr>
          <w:ilvl w:val="0"/>
          <w:numId w:val="80"/>
        </w:numPr>
        <w:rPr>
          <w:rFonts w:ascii="Arial" w:cs="Arial" w:eastAsia="Arial" w:hAnsi="Arial"/>
          <w:sz w:val="13"/>
          <w:szCs w:val="13"/>
          <w:color w:val="61C4AF"/>
        </w:rPr>
      </w:pPr>
      <w:r>
        <w:rPr>
          <w:rFonts w:ascii="Arial" w:cs="Arial" w:eastAsia="Arial" w:hAnsi="Arial"/>
          <w:sz w:val="13"/>
          <w:szCs w:val="13"/>
          <w:color w:val="auto"/>
        </w:rPr>
        <w:t>Within the last five years, Ms. Price served as a director of Western Digital (from July 2014 to February 2019) and Dollar General Corporation.</w:t>
      </w:r>
    </w:p>
    <w:p>
      <w:pPr>
        <w:ind w:left="360" w:hanging="244"/>
        <w:spacing w:after="0"/>
        <w:tabs>
          <w:tab w:leader="none" w:pos="360" w:val="left"/>
        </w:tabs>
        <w:numPr>
          <w:ilvl w:val="0"/>
          <w:numId w:val="80"/>
        </w:numPr>
        <w:rPr>
          <w:rFonts w:ascii="Arial" w:cs="Arial" w:eastAsia="Arial" w:hAnsi="Arial"/>
          <w:sz w:val="13"/>
          <w:szCs w:val="13"/>
          <w:color w:val="61C4AF"/>
        </w:rPr>
      </w:pPr>
      <w:r>
        <w:rPr>
          <w:rFonts w:ascii="Arial" w:cs="Arial" w:eastAsia="Arial" w:hAnsi="Arial"/>
          <w:sz w:val="13"/>
          <w:szCs w:val="13"/>
          <w:color w:val="auto"/>
        </w:rPr>
        <w:t>Ms. Price is a certified public accountant.</w:t>
      </w:r>
    </w:p>
    <w:p>
      <w:pPr>
        <w:spacing w:after="0" w:line="91"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OTHER CURRENT PUBLIC COMPANY DIRECTORSHIPS</w:t>
      </w:r>
    </w:p>
    <w:p>
      <w:pPr>
        <w:spacing w:after="0" w:line="14" w:lineRule="exact"/>
        <w:rPr>
          <w:sz w:val="20"/>
          <w:szCs w:val="20"/>
          <w:color w:val="auto"/>
        </w:rPr>
      </w:pPr>
    </w:p>
    <w:p>
      <w:pPr>
        <w:ind w:left="360" w:hanging="244"/>
        <w:spacing w:after="0"/>
        <w:tabs>
          <w:tab w:leader="none" w:pos="360" w:val="left"/>
        </w:tabs>
        <w:numPr>
          <w:ilvl w:val="0"/>
          <w:numId w:val="81"/>
        </w:numPr>
        <w:rPr>
          <w:rFonts w:ascii="Arial" w:cs="Arial" w:eastAsia="Arial" w:hAnsi="Arial"/>
          <w:sz w:val="13"/>
          <w:szCs w:val="13"/>
          <w:color w:val="61C4AF"/>
        </w:rPr>
      </w:pPr>
      <w:r>
        <w:rPr>
          <w:rFonts w:ascii="Arial" w:cs="Arial" w:eastAsia="Arial" w:hAnsi="Arial"/>
          <w:sz w:val="13"/>
          <w:szCs w:val="13"/>
          <w:color w:val="auto"/>
        </w:rPr>
        <w:t>Accenture plc</w:t>
      </w:r>
    </w:p>
    <w:p>
      <w:pPr>
        <w:ind w:left="360" w:hanging="244"/>
        <w:spacing w:after="0"/>
        <w:tabs>
          <w:tab w:leader="none" w:pos="360" w:val="left"/>
        </w:tabs>
        <w:numPr>
          <w:ilvl w:val="0"/>
          <w:numId w:val="81"/>
        </w:numPr>
        <w:rPr>
          <w:rFonts w:ascii="Arial" w:cs="Arial" w:eastAsia="Arial" w:hAnsi="Arial"/>
          <w:sz w:val="13"/>
          <w:szCs w:val="13"/>
          <w:color w:val="61C4AF"/>
        </w:rPr>
      </w:pPr>
      <w:r>
        <w:rPr>
          <w:rFonts w:ascii="Arial" w:cs="Arial" w:eastAsia="Arial" w:hAnsi="Arial"/>
          <w:sz w:val="13"/>
          <w:szCs w:val="13"/>
          <w:color w:val="auto"/>
        </w:rPr>
        <w:t>Bristol-Myers Squibb Company</w:t>
      </w:r>
    </w:p>
    <w:p>
      <w:pPr>
        <w:ind w:left="360" w:hanging="244"/>
        <w:spacing w:after="0"/>
        <w:tabs>
          <w:tab w:leader="none" w:pos="360" w:val="left"/>
        </w:tabs>
        <w:numPr>
          <w:ilvl w:val="0"/>
          <w:numId w:val="81"/>
        </w:numPr>
        <w:rPr>
          <w:rFonts w:ascii="Arial" w:cs="Arial" w:eastAsia="Arial" w:hAnsi="Arial"/>
          <w:sz w:val="13"/>
          <w:szCs w:val="13"/>
          <w:color w:val="61C4AF"/>
        </w:rPr>
      </w:pPr>
      <w:r>
        <w:rPr>
          <w:rFonts w:ascii="Arial" w:cs="Arial" w:eastAsia="Arial" w:hAnsi="Arial"/>
          <w:sz w:val="13"/>
          <w:szCs w:val="13"/>
          <w:color w:val="auto"/>
        </w:rPr>
        <w:t>DaVita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045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045845"/>
                    </a:xfrm>
                    <a:prstGeom prst="rect">
                      <a:avLst/>
                    </a:prstGeom>
                    <a:noFill/>
                  </pic:spPr>
                </pic:pic>
              </a:graphicData>
            </a:graphic>
          </wp:anchor>
        </w:drawing>
      </w:r>
    </w:p>
    <w:p>
      <w:pPr>
        <w:spacing w:after="0" w:line="206"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23628F"/>
        </w:rPr>
        <w:t>BOARD SKILLS, QUALIFICATIONS AND EXPERTISE</w:t>
      </w:r>
    </w:p>
    <w:p>
      <w:pPr>
        <w:spacing w:after="0" w:line="15" w:lineRule="exact"/>
        <w:rPr>
          <w:sz w:val="20"/>
          <w:szCs w:val="20"/>
          <w:color w:val="auto"/>
        </w:rPr>
      </w:pPr>
    </w:p>
    <w:p>
      <w:pPr>
        <w:ind w:left="120" w:right="60"/>
        <w:spacing w:after="0" w:line="245" w:lineRule="auto"/>
        <w:rPr>
          <w:sz w:val="20"/>
          <w:szCs w:val="20"/>
          <w:color w:val="auto"/>
        </w:rPr>
      </w:pPr>
      <w:r>
        <w:rPr>
          <w:rFonts w:ascii="Arial" w:cs="Arial" w:eastAsia="Arial" w:hAnsi="Arial"/>
          <w:sz w:val="13"/>
          <w:szCs w:val="13"/>
          <w:color w:val="auto"/>
        </w:rPr>
        <w:t>Ms. Price’s numerous years of experience as a certified public accountant, chief financial officer and chief accounting officer provide our Board with valuable experience and insight into accounting and finance matters. She also brings expertise and knowledge of the complexities of growing and managing a global business. She has extensive experience overseeing and integrating merger and acquisition transactions at the executive level, which is experience highly valued by our Board of Directors. We believe these experiences, qualifications, attributes and skills qualify her to serve as a member of our Board.</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23628F"/>
        </w:rPr>
        <w:t>COMMITTEE EXPERTISE HIGHLIGHTS</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Audit Committee Member</w:t>
      </w:r>
    </w:p>
    <w:p>
      <w:pPr>
        <w:ind w:left="360" w:hanging="244"/>
        <w:spacing w:after="0"/>
        <w:tabs>
          <w:tab w:leader="none" w:pos="360" w:val="left"/>
        </w:tabs>
        <w:numPr>
          <w:ilvl w:val="0"/>
          <w:numId w:val="82"/>
        </w:numPr>
        <w:rPr>
          <w:rFonts w:ascii="Arial" w:cs="Arial" w:eastAsia="Arial" w:hAnsi="Arial"/>
          <w:sz w:val="13"/>
          <w:szCs w:val="13"/>
          <w:color w:val="61C4AF"/>
        </w:rPr>
      </w:pPr>
      <w:r>
        <w:rPr>
          <w:rFonts w:ascii="Arial" w:cs="Arial" w:eastAsia="Arial" w:hAnsi="Arial"/>
          <w:sz w:val="13"/>
          <w:szCs w:val="13"/>
          <w:color w:val="auto"/>
        </w:rPr>
        <w:t>Ms. Price’s years of experience as a chief financial officer, chief accounting officer and certified public accountant qualify her as an audit committee financial expert under SEC rules.</w:t>
      </w:r>
    </w:p>
    <w:p>
      <w:pPr>
        <w:spacing w:after="0" w:line="315" w:lineRule="exact"/>
        <w:rPr>
          <w:sz w:val="20"/>
          <w:szCs w:val="20"/>
          <w:color w:val="auto"/>
        </w:rPr>
      </w:pPr>
    </w:p>
    <w:p>
      <w:pPr>
        <w:spacing w:after="0"/>
        <w:rPr>
          <w:sz w:val="20"/>
          <w:szCs w:val="20"/>
          <w:color w:val="auto"/>
        </w:rPr>
      </w:pPr>
      <w:r>
        <w:rPr>
          <w:rFonts w:ascii="Arial" w:cs="Arial" w:eastAsia="Arial" w:hAnsi="Arial"/>
          <w:sz w:val="27"/>
          <w:szCs w:val="27"/>
          <w:b w:val="1"/>
          <w:bCs w:val="1"/>
          <w:color w:val="616161"/>
        </w:rPr>
        <w:t>STEPHANIE A. STREETER</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b w:val="1"/>
          <w:bCs w:val="1"/>
          <w:color w:val="17BA9E"/>
        </w:rPr>
        <w:t>INDEPENDENT</w:t>
      </w:r>
    </w:p>
    <w:p>
      <w:pPr>
        <w:spacing w:after="0" w:line="118" w:lineRule="exact"/>
        <w:rPr>
          <w:sz w:val="20"/>
          <w:szCs w:val="20"/>
          <w:color w:val="auto"/>
        </w:rPr>
      </w:pPr>
    </w:p>
    <w:p>
      <w:pPr>
        <w:ind w:left="1380"/>
        <w:spacing w:after="0"/>
        <w:rPr>
          <w:sz w:val="20"/>
          <w:szCs w:val="20"/>
          <w:color w:val="auto"/>
        </w:rPr>
      </w:pPr>
      <w:r>
        <w:rPr>
          <w:rFonts w:ascii="Arial" w:cs="Arial" w:eastAsia="Arial" w:hAnsi="Arial"/>
          <w:sz w:val="13"/>
          <w:szCs w:val="13"/>
          <w:b w:val="1"/>
          <w:bCs w:val="1"/>
          <w:color w:val="auto"/>
        </w:rPr>
        <w: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54380" cy="8826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54380" cy="88265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63</w:t>
      </w:r>
    </w:p>
    <w:p>
      <w:pPr>
        <w:spacing w:after="0" w:line="199" w:lineRule="exact"/>
        <w:rPr>
          <w:sz w:val="20"/>
          <w:szCs w:val="20"/>
          <w:color w:val="auto"/>
        </w:rPr>
      </w:pPr>
    </w:p>
    <w:p>
      <w:pPr>
        <w:ind w:left="1380"/>
        <w:spacing w:after="0"/>
        <w:rPr>
          <w:sz w:val="20"/>
          <w:szCs w:val="20"/>
          <w:color w:val="auto"/>
        </w:rPr>
      </w:pPr>
      <w:r>
        <w:rPr>
          <w:rFonts w:ascii="Arial" w:cs="Arial" w:eastAsia="Arial" w:hAnsi="Arial"/>
          <w:sz w:val="13"/>
          <w:szCs w:val="13"/>
          <w:b w:val="1"/>
          <w:bCs w:val="1"/>
          <w:color w:val="auto"/>
        </w:rPr>
        <w:t>DIRECTOR SINCE</w:t>
      </w:r>
    </w:p>
    <w:p>
      <w:pPr>
        <w:spacing w:after="0" w:line="15"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November 2018</w:t>
      </w:r>
    </w:p>
    <w:p>
      <w:pPr>
        <w:spacing w:after="0" w:line="199" w:lineRule="exact"/>
        <w:rPr>
          <w:sz w:val="20"/>
          <w:szCs w:val="20"/>
          <w:color w:val="auto"/>
        </w:rPr>
      </w:pPr>
    </w:p>
    <w:p>
      <w:pPr>
        <w:ind w:left="1380"/>
        <w:spacing w:after="0"/>
        <w:rPr>
          <w:sz w:val="20"/>
          <w:szCs w:val="20"/>
          <w:color w:val="auto"/>
        </w:rPr>
      </w:pPr>
      <w:r>
        <w:rPr>
          <w:rFonts w:ascii="Arial" w:cs="Arial" w:eastAsia="Arial" w:hAnsi="Arial"/>
          <w:sz w:val="13"/>
          <w:szCs w:val="13"/>
          <w:b w:val="1"/>
          <w:bCs w:val="1"/>
          <w:color w:val="auto"/>
        </w:rPr>
        <w:t>COMMITTEES</w:t>
      </w:r>
    </w:p>
    <w:p>
      <w:pPr>
        <w:spacing w:after="0" w:line="14" w:lineRule="exact"/>
        <w:rPr>
          <w:sz w:val="20"/>
          <w:szCs w:val="20"/>
          <w:color w:val="auto"/>
        </w:rPr>
      </w:pPr>
    </w:p>
    <w:p>
      <w:pPr>
        <w:ind w:left="1380"/>
        <w:spacing w:after="0"/>
        <w:rPr>
          <w:sz w:val="20"/>
          <w:szCs w:val="20"/>
          <w:color w:val="auto"/>
        </w:rPr>
      </w:pPr>
      <w:r>
        <w:rPr>
          <w:rFonts w:ascii="Arial" w:cs="Arial" w:eastAsia="Arial" w:hAnsi="Arial"/>
          <w:sz w:val="13"/>
          <w:szCs w:val="13"/>
          <w:color w:val="23628F"/>
        </w:rPr>
        <w:t>Governance (Chair)</w:t>
      </w:r>
    </w:p>
    <w:p>
      <w:pPr>
        <w:ind w:left="1380"/>
        <w:spacing w:after="0"/>
        <w:rPr>
          <w:sz w:val="20"/>
          <w:szCs w:val="20"/>
          <w:color w:val="auto"/>
        </w:rPr>
      </w:pPr>
      <w:r>
        <w:rPr>
          <w:rFonts w:ascii="Arial" w:cs="Arial" w:eastAsia="Arial" w:hAnsi="Arial"/>
          <w:sz w:val="13"/>
          <w:szCs w:val="13"/>
          <w:color w:val="819DBB"/>
        </w:rPr>
        <w:t>Audit</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PROFESSIONAL EXPERIENCE</w:t>
      </w:r>
    </w:p>
    <w:p>
      <w:pPr>
        <w:spacing w:after="0" w:line="15" w:lineRule="exact"/>
        <w:rPr>
          <w:sz w:val="20"/>
          <w:szCs w:val="20"/>
          <w:color w:val="auto"/>
        </w:rPr>
      </w:pPr>
    </w:p>
    <w:p>
      <w:pPr>
        <w:ind w:left="360" w:right="700" w:hanging="244"/>
        <w:spacing w:after="0" w:line="238" w:lineRule="auto"/>
        <w:tabs>
          <w:tab w:leader="none" w:pos="364" w:val="left"/>
        </w:tabs>
        <w:numPr>
          <w:ilvl w:val="0"/>
          <w:numId w:val="83"/>
        </w:numPr>
        <w:rPr>
          <w:rFonts w:ascii="Arial" w:cs="Arial" w:eastAsia="Arial" w:hAnsi="Arial"/>
          <w:sz w:val="13"/>
          <w:szCs w:val="13"/>
          <w:color w:val="61C4AF"/>
        </w:rPr>
      </w:pPr>
      <w:r>
        <w:rPr>
          <w:rFonts w:ascii="Arial" w:cs="Arial" w:eastAsia="Arial" w:hAnsi="Arial"/>
          <w:sz w:val="13"/>
          <w:szCs w:val="13"/>
          <w:color w:val="auto"/>
        </w:rPr>
        <w:t>Ms. Streeter served as the chief executive officer of Libbey Inc., a producer of glass tableware and other tabletop products, from 2011 to 2016, where she developed and implemented a new corporate strategy and reconstructed the company’s balance sheet, manufacturing network and cost base.</w:t>
      </w:r>
    </w:p>
    <w:p>
      <w:pPr>
        <w:ind w:left="360" w:right="60" w:hanging="244"/>
        <w:spacing w:after="0" w:line="238" w:lineRule="auto"/>
        <w:tabs>
          <w:tab w:leader="none" w:pos="364" w:val="left"/>
        </w:tabs>
        <w:numPr>
          <w:ilvl w:val="0"/>
          <w:numId w:val="83"/>
        </w:numPr>
        <w:rPr>
          <w:rFonts w:ascii="Arial" w:cs="Arial" w:eastAsia="Arial" w:hAnsi="Arial"/>
          <w:sz w:val="13"/>
          <w:szCs w:val="13"/>
          <w:color w:val="61C4AF"/>
        </w:rPr>
      </w:pPr>
      <w:r>
        <w:rPr>
          <w:rFonts w:ascii="Arial" w:cs="Arial" w:eastAsia="Arial" w:hAnsi="Arial"/>
          <w:sz w:val="13"/>
          <w:szCs w:val="13"/>
          <w:color w:val="auto"/>
        </w:rPr>
        <w:t>Prior to that, Ms. Streeter served as the acting chief executive officer of the United States Olympic Committee from 2009 to 2010 and served on its board of directors from 2004 to 2009. Previously, Ms. Streeter held numerous senior management positions at Banta Corporation, a global technology, printing and supply-chain management company, where she served as chairman, president and chief executive officer, and at Avery Dennison Corporation, a global materials science and manufacturing company.</w:t>
      </w:r>
    </w:p>
    <w:p>
      <w:pPr>
        <w:ind w:left="400" w:hanging="284"/>
        <w:spacing w:after="0"/>
        <w:tabs>
          <w:tab w:leader="none" w:pos="400" w:val="left"/>
        </w:tabs>
        <w:numPr>
          <w:ilvl w:val="0"/>
          <w:numId w:val="83"/>
        </w:numPr>
        <w:rPr>
          <w:rFonts w:ascii="Arial" w:cs="Arial" w:eastAsia="Arial" w:hAnsi="Arial"/>
          <w:sz w:val="13"/>
          <w:szCs w:val="13"/>
          <w:color w:val="61C4AF"/>
        </w:rPr>
      </w:pPr>
      <w:r>
        <w:rPr>
          <w:rFonts w:ascii="Arial" w:cs="Arial" w:eastAsia="Arial" w:hAnsi="Arial"/>
          <w:sz w:val="13"/>
          <w:szCs w:val="13"/>
          <w:color w:val="auto"/>
        </w:rPr>
        <w:t>Within the last five years, Ms. Streeter served as a director of Olin Corporation.</w:t>
      </w:r>
    </w:p>
    <w:p>
      <w:pPr>
        <w:spacing w:after="0" w:line="91"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OTHER CURRENT PUBLIC COMPANY DIRECTORSHIPS</w:t>
      </w:r>
    </w:p>
    <w:p>
      <w:pPr>
        <w:spacing w:after="0" w:line="14" w:lineRule="exact"/>
        <w:rPr>
          <w:sz w:val="20"/>
          <w:szCs w:val="20"/>
          <w:color w:val="auto"/>
        </w:rPr>
      </w:pPr>
    </w:p>
    <w:p>
      <w:pPr>
        <w:ind w:left="360" w:hanging="244"/>
        <w:spacing w:after="0"/>
        <w:tabs>
          <w:tab w:leader="none" w:pos="360" w:val="left"/>
        </w:tabs>
        <w:numPr>
          <w:ilvl w:val="0"/>
          <w:numId w:val="84"/>
        </w:numPr>
        <w:rPr>
          <w:rFonts w:ascii="Arial" w:cs="Arial" w:eastAsia="Arial" w:hAnsi="Arial"/>
          <w:sz w:val="13"/>
          <w:szCs w:val="13"/>
          <w:color w:val="61C4AF"/>
        </w:rPr>
      </w:pPr>
      <w:r>
        <w:rPr>
          <w:rFonts w:ascii="Arial" w:cs="Arial" w:eastAsia="Arial" w:hAnsi="Arial"/>
          <w:sz w:val="13"/>
          <w:szCs w:val="13"/>
          <w:color w:val="auto"/>
        </w:rPr>
        <w:t>Goodyear Tire &amp; rubber Company</w:t>
      </w:r>
    </w:p>
    <w:p>
      <w:pPr>
        <w:ind w:left="360" w:hanging="244"/>
        <w:spacing w:after="0"/>
        <w:tabs>
          <w:tab w:leader="none" w:pos="360" w:val="left"/>
        </w:tabs>
        <w:numPr>
          <w:ilvl w:val="0"/>
          <w:numId w:val="84"/>
        </w:numPr>
        <w:rPr>
          <w:rFonts w:ascii="Arial" w:cs="Arial" w:eastAsia="Arial" w:hAnsi="Arial"/>
          <w:sz w:val="13"/>
          <w:szCs w:val="13"/>
          <w:color w:val="61C4AF"/>
        </w:rPr>
      </w:pPr>
      <w:r>
        <w:rPr>
          <w:rFonts w:ascii="Arial" w:cs="Arial" w:eastAsia="Arial" w:hAnsi="Arial"/>
          <w:sz w:val="13"/>
          <w:szCs w:val="13"/>
          <w:color w:val="auto"/>
        </w:rPr>
        <w:t>Kohl’s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3284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328420"/>
                    </a:xfrm>
                    <a:prstGeom prst="rect">
                      <a:avLst/>
                    </a:prstGeom>
                    <a:noFill/>
                  </pic:spPr>
                </pic:pic>
              </a:graphicData>
            </a:graphic>
          </wp:anchor>
        </w:drawing>
      </w:r>
    </w:p>
    <w:p>
      <w:pPr>
        <w:spacing w:after="0" w:line="206"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23628F"/>
        </w:rPr>
        <w:t>BOARD SKILLS, QUALIFICATIONS AND EXPERTISE</w:t>
      </w:r>
    </w:p>
    <w:p>
      <w:pPr>
        <w:spacing w:after="0" w:line="15" w:lineRule="exact"/>
        <w:rPr>
          <w:sz w:val="20"/>
          <w:szCs w:val="20"/>
          <w:color w:val="auto"/>
        </w:rPr>
      </w:pPr>
    </w:p>
    <w:p>
      <w:pPr>
        <w:ind w:left="120" w:right="380"/>
        <w:spacing w:after="0" w:line="258" w:lineRule="auto"/>
        <w:rPr>
          <w:sz w:val="20"/>
          <w:szCs w:val="20"/>
          <w:color w:val="auto"/>
        </w:rPr>
      </w:pPr>
      <w:r>
        <w:rPr>
          <w:rFonts w:ascii="Arial" w:cs="Arial" w:eastAsia="Arial" w:hAnsi="Arial"/>
          <w:sz w:val="13"/>
          <w:szCs w:val="13"/>
          <w:color w:val="auto"/>
        </w:rPr>
        <w:t>Ms. Streeter brings to our Board extensive senior executive leadership experience overseeing companies with manufacturing and operations across the globe. She has served on several public company boards of directors. We believe these experiences, qualifications, attributes and skills qualify her to serve as a member of our Board of Directors.</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23628F"/>
        </w:rPr>
        <w:t>COMMITTEE EXPERTISE HIGHLIGHTS</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Governance Committee Chair</w:t>
      </w:r>
    </w:p>
    <w:p>
      <w:pPr>
        <w:ind w:left="360" w:right="220" w:hanging="244"/>
        <w:spacing w:after="0" w:line="258" w:lineRule="auto"/>
        <w:tabs>
          <w:tab w:leader="none" w:pos="364" w:val="left"/>
        </w:tabs>
        <w:numPr>
          <w:ilvl w:val="0"/>
          <w:numId w:val="85"/>
        </w:numPr>
        <w:rPr>
          <w:rFonts w:ascii="Arial" w:cs="Arial" w:eastAsia="Arial" w:hAnsi="Arial"/>
          <w:sz w:val="13"/>
          <w:szCs w:val="13"/>
          <w:color w:val="61C4AF"/>
        </w:rPr>
      </w:pPr>
      <w:r>
        <w:rPr>
          <w:rFonts w:ascii="Arial" w:cs="Arial" w:eastAsia="Arial" w:hAnsi="Arial"/>
          <w:sz w:val="13"/>
          <w:szCs w:val="13"/>
          <w:color w:val="auto"/>
        </w:rPr>
        <w:t>Ms. Streeter has substantial governance experience as a director of Goodyear, as a director and member of the governance and nominating committee of Kohl’s and as a former director and governance committee member of several public companies.</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Audit Committee Member</w:t>
      </w:r>
    </w:p>
    <w:p>
      <w:pPr>
        <w:spacing w:after="0" w:line="15" w:lineRule="exact"/>
        <w:rPr>
          <w:sz w:val="20"/>
          <w:szCs w:val="20"/>
          <w:color w:val="auto"/>
        </w:rPr>
      </w:pPr>
    </w:p>
    <w:p>
      <w:pPr>
        <w:ind w:left="360" w:right="120" w:hanging="244"/>
        <w:spacing w:after="0" w:line="258" w:lineRule="auto"/>
        <w:tabs>
          <w:tab w:leader="none" w:pos="364" w:val="left"/>
        </w:tabs>
        <w:numPr>
          <w:ilvl w:val="0"/>
          <w:numId w:val="86"/>
        </w:numPr>
        <w:rPr>
          <w:rFonts w:ascii="Arial" w:cs="Arial" w:eastAsia="Arial" w:hAnsi="Arial"/>
          <w:sz w:val="13"/>
          <w:szCs w:val="13"/>
          <w:color w:val="61C4AF"/>
        </w:rPr>
      </w:pPr>
      <w:r>
        <w:rPr>
          <w:rFonts w:ascii="Arial" w:cs="Arial" w:eastAsia="Arial" w:hAnsi="Arial"/>
          <w:sz w:val="13"/>
          <w:szCs w:val="13"/>
          <w:color w:val="auto"/>
        </w:rPr>
        <w:t>Ms. Streeter’s financial skills and years of experience as a chief executive officer and as an audit committee chair at Kohl’s qualify her as an audit committee financial expert under SEC rules.</w:t>
      </w:r>
    </w:p>
    <w:p>
      <w:pPr>
        <w:spacing w:after="0" w:line="295" w:lineRule="exact"/>
        <w:rPr>
          <w:sz w:val="20"/>
          <w:szCs w:val="20"/>
          <w:color w:val="auto"/>
        </w:rPr>
      </w:pPr>
    </w:p>
    <w:p>
      <w:pPr>
        <w:ind w:left="440" w:hanging="432"/>
        <w:spacing w:after="0"/>
        <w:tabs>
          <w:tab w:leader="none" w:pos="440" w:val="left"/>
        </w:tabs>
        <w:numPr>
          <w:ilvl w:val="0"/>
          <w:numId w:val="87"/>
        </w:numPr>
        <w:rPr>
          <w:rFonts w:ascii="Arial" w:cs="Arial" w:eastAsia="Arial" w:hAnsi="Arial"/>
          <w:sz w:val="18"/>
          <w:szCs w:val="18"/>
          <w:b w:val="1"/>
          <w:bCs w:val="1"/>
          <w:color w:val="23628F"/>
        </w:rPr>
      </w:pPr>
      <w:r>
        <w:rPr>
          <w:rFonts w:ascii="Arial" w:cs="Arial" w:eastAsia="Arial" w:hAnsi="Arial"/>
          <w:sz w:val="13"/>
          <w:szCs w:val="13"/>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153275"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right"/>
        <w:spacing w:after="0"/>
        <w:rPr>
          <w:sz w:val="20"/>
          <w:szCs w:val="20"/>
          <w:color w:val="auto"/>
        </w:rPr>
      </w:pPr>
      <w:r>
        <w:rPr>
          <w:rFonts w:ascii="Arial" w:cs="Arial" w:eastAsia="Arial" w:hAnsi="Arial"/>
          <w:sz w:val="13"/>
          <w:szCs w:val="13"/>
          <w:color w:val="23628F"/>
        </w:rPr>
        <w:t>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234440" cy="685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34440" cy="68580"/>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DIRECTOR MEETING ATTENDANCE</w:t>
      </w:r>
    </w:p>
    <w:p>
      <w:pPr>
        <w:spacing w:after="0" w:line="252" w:lineRule="exact"/>
        <w:rPr>
          <w:sz w:val="20"/>
          <w:szCs w:val="20"/>
          <w:color w:val="auto"/>
        </w:rPr>
      </w:pPr>
    </w:p>
    <w:p>
      <w:pPr>
        <w:ind w:right="380"/>
        <w:spacing w:after="0" w:line="248" w:lineRule="auto"/>
        <w:rPr>
          <w:sz w:val="20"/>
          <w:szCs w:val="20"/>
          <w:color w:val="auto"/>
        </w:rPr>
      </w:pPr>
      <w:r>
        <w:rPr>
          <w:rFonts w:ascii="Arial" w:cs="Arial" w:eastAsia="Arial" w:hAnsi="Arial"/>
          <w:sz w:val="13"/>
          <w:szCs w:val="13"/>
          <w:color w:val="auto"/>
        </w:rPr>
        <w:t>During fiscal 2020, our Board of Directors met 13 times. Each of the directors who served during fiscal 2020 attended 75% or more of the aggregate number of Board meetings and meetings of our Board committees on which he or she served during fiscal 2020. Our Board strongly encourages each director to attend our annual meeting of stockholders. All of our directors standing for election at the 2019 annual meeting of stockholders were in attendance.</w:t>
      </w:r>
    </w:p>
    <w:p>
      <w:pPr>
        <w:spacing w:after="0" w:line="162" w:lineRule="exact"/>
        <w:rPr>
          <w:sz w:val="20"/>
          <w:szCs w:val="20"/>
          <w:color w:val="auto"/>
        </w:rPr>
      </w:pPr>
    </w:p>
    <w:p>
      <w:pPr>
        <w:spacing w:after="0"/>
        <w:rPr>
          <w:sz w:val="20"/>
          <w:szCs w:val="20"/>
          <w:color w:val="auto"/>
        </w:rPr>
      </w:pPr>
      <w:r>
        <w:rPr>
          <w:sz w:val="1"/>
          <w:szCs w:val="1"/>
          <w:color w:val="auto"/>
        </w:rPr>
        <w:drawing>
          <wp:inline distT="0" distB="0" distL="0" distR="0">
            <wp:extent cx="34290" cy="17145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171450"/>
                    </a:xfrm>
                    <a:prstGeom prst="rect">
                      <a:avLst/>
                    </a:prstGeom>
                    <a:noFill/>
                    <a:ln>
                      <a:noFill/>
                    </a:ln>
                  </pic:spPr>
                </pic:pic>
              </a:graphicData>
            </a:graphic>
          </wp:inline>
        </w:drawing>
      </w:r>
      <w:r>
        <w:rPr>
          <w:rFonts w:ascii="Arial" w:cs="Arial" w:eastAsia="Arial" w:hAnsi="Arial"/>
          <w:sz w:val="22"/>
          <w:szCs w:val="22"/>
          <w:b w:val="1"/>
          <w:bCs w:val="1"/>
          <w:color w:val="61C4AF"/>
        </w:rPr>
        <w:t xml:space="preserve"> Strong Director Engagement</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Average director attendance at fiscal 2020 Board and committee meetings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60" w:type="dxa"/>
            <w:vAlign w:val="bottom"/>
          </w:tcPr>
          <w:p>
            <w:pPr>
              <w:spacing w:after="0"/>
              <w:rPr>
                <w:sz w:val="20"/>
                <w:szCs w:val="20"/>
                <w:color w:val="auto"/>
              </w:rPr>
            </w:pPr>
            <w:r>
              <w:rPr>
                <w:rFonts w:ascii="Arial" w:cs="Arial" w:eastAsia="Arial" w:hAnsi="Arial"/>
                <w:sz w:val="13"/>
                <w:szCs w:val="13"/>
                <w:color w:val="616161"/>
              </w:rPr>
              <w:t>Board</w:t>
            </w:r>
          </w:p>
        </w:tc>
        <w:tc>
          <w:tcPr>
            <w:tcW w:w="1240" w:type="dxa"/>
            <w:vAlign w:val="bottom"/>
          </w:tcPr>
          <w:p>
            <w:pPr>
              <w:ind w:left="500"/>
              <w:spacing w:after="0"/>
              <w:rPr>
                <w:sz w:val="20"/>
                <w:szCs w:val="20"/>
                <w:color w:val="auto"/>
              </w:rPr>
            </w:pPr>
            <w:r>
              <w:rPr>
                <w:rFonts w:ascii="Arial" w:cs="Arial" w:eastAsia="Arial" w:hAnsi="Arial"/>
                <w:sz w:val="13"/>
                <w:szCs w:val="13"/>
                <w:color w:val="616161"/>
              </w:rPr>
              <w:t>Audit</w:t>
            </w:r>
          </w:p>
        </w:tc>
        <w:tc>
          <w:tcPr>
            <w:tcW w:w="0" w:type="dxa"/>
            <w:vAlign w:val="bottom"/>
          </w:tcPr>
          <w:p>
            <w:pPr>
              <w:spacing w:after="0"/>
              <w:rPr>
                <w:sz w:val="1"/>
                <w:szCs w:val="1"/>
                <w:color w:val="auto"/>
              </w:rPr>
            </w:pPr>
          </w:p>
        </w:tc>
      </w:tr>
      <w:tr>
        <w:trPr>
          <w:trHeight w:val="261"/>
        </w:trPr>
        <w:tc>
          <w:tcPr>
            <w:tcW w:w="1360" w:type="dxa"/>
            <w:vAlign w:val="bottom"/>
          </w:tcPr>
          <w:p>
            <w:pPr>
              <w:spacing w:after="0"/>
              <w:rPr>
                <w:sz w:val="20"/>
                <w:szCs w:val="20"/>
                <w:color w:val="auto"/>
              </w:rPr>
            </w:pPr>
            <w:r>
              <w:rPr>
                <w:rFonts w:ascii="Arial" w:cs="Arial" w:eastAsia="Arial" w:hAnsi="Arial"/>
                <w:sz w:val="20"/>
                <w:szCs w:val="20"/>
                <w:b w:val="1"/>
                <w:bCs w:val="1"/>
                <w:color w:val="61C4AF"/>
              </w:rPr>
              <w:t>96%</w:t>
            </w:r>
          </w:p>
        </w:tc>
        <w:tc>
          <w:tcPr>
            <w:tcW w:w="1240" w:type="dxa"/>
            <w:vAlign w:val="bottom"/>
          </w:tcPr>
          <w:p>
            <w:pPr>
              <w:ind w:left="500"/>
              <w:spacing w:after="0"/>
              <w:rPr>
                <w:sz w:val="20"/>
                <w:szCs w:val="20"/>
                <w:color w:val="auto"/>
              </w:rPr>
            </w:pPr>
            <w:r>
              <w:rPr>
                <w:rFonts w:ascii="Arial" w:cs="Arial" w:eastAsia="Arial" w:hAnsi="Arial"/>
                <w:sz w:val="20"/>
                <w:szCs w:val="20"/>
                <w:b w:val="1"/>
                <w:bCs w:val="1"/>
                <w:color w:val="61C4AF"/>
              </w:rPr>
              <w:t>97%</w:t>
            </w:r>
          </w:p>
        </w:tc>
        <w:tc>
          <w:tcPr>
            <w:tcW w:w="0" w:type="dxa"/>
            <w:vAlign w:val="bottom"/>
          </w:tcPr>
          <w:p>
            <w:pPr>
              <w:spacing w:after="0"/>
              <w:rPr>
                <w:sz w:val="1"/>
                <w:szCs w:val="1"/>
                <w:color w:val="auto"/>
              </w:rPr>
            </w:pPr>
          </w:p>
        </w:tc>
      </w:tr>
      <w:tr>
        <w:trPr>
          <w:trHeight w:val="211"/>
        </w:trPr>
        <w:tc>
          <w:tcPr>
            <w:tcW w:w="1360" w:type="dxa"/>
            <w:vAlign w:val="bottom"/>
          </w:tcPr>
          <w:p>
            <w:pPr>
              <w:spacing w:after="0"/>
              <w:rPr>
                <w:sz w:val="20"/>
                <w:szCs w:val="20"/>
                <w:color w:val="auto"/>
              </w:rPr>
            </w:pPr>
            <w:r>
              <w:rPr>
                <w:rFonts w:ascii="Arial" w:cs="Arial" w:eastAsia="Arial" w:hAnsi="Arial"/>
                <w:sz w:val="13"/>
                <w:szCs w:val="13"/>
                <w:color w:val="616161"/>
              </w:rPr>
              <w:t>Compensation</w:t>
            </w:r>
          </w:p>
        </w:tc>
        <w:tc>
          <w:tcPr>
            <w:tcW w:w="1240" w:type="dxa"/>
            <w:vAlign w:val="bottom"/>
          </w:tcPr>
          <w:p>
            <w:pPr>
              <w:ind w:left="500"/>
              <w:spacing w:after="0"/>
              <w:rPr>
                <w:sz w:val="20"/>
                <w:szCs w:val="20"/>
                <w:color w:val="auto"/>
              </w:rPr>
            </w:pPr>
            <w:r>
              <w:rPr>
                <w:rFonts w:ascii="Arial" w:cs="Arial" w:eastAsia="Arial" w:hAnsi="Arial"/>
                <w:sz w:val="13"/>
                <w:szCs w:val="13"/>
                <w:color w:val="616161"/>
              </w:rPr>
              <w:t>Governance</w:t>
            </w:r>
          </w:p>
        </w:tc>
        <w:tc>
          <w:tcPr>
            <w:tcW w:w="0" w:type="dxa"/>
            <w:vAlign w:val="bottom"/>
          </w:tcPr>
          <w:p>
            <w:pPr>
              <w:spacing w:after="0"/>
              <w:rPr>
                <w:sz w:val="1"/>
                <w:szCs w:val="1"/>
                <w:color w:val="auto"/>
              </w:rPr>
            </w:pPr>
          </w:p>
        </w:tc>
      </w:tr>
      <w:tr>
        <w:trPr>
          <w:trHeight w:val="172"/>
        </w:trPr>
        <w:tc>
          <w:tcPr>
            <w:tcW w:w="1360" w:type="dxa"/>
            <w:vAlign w:val="bottom"/>
          </w:tcPr>
          <w:p>
            <w:pPr>
              <w:spacing w:after="0"/>
              <w:rPr>
                <w:sz w:val="20"/>
                <w:szCs w:val="20"/>
                <w:color w:val="auto"/>
              </w:rPr>
            </w:pPr>
            <w:r>
              <w:rPr>
                <w:rFonts w:ascii="Arial" w:cs="Arial" w:eastAsia="Arial" w:hAnsi="Arial"/>
                <w:sz w:val="13"/>
                <w:szCs w:val="13"/>
                <w:color w:val="616161"/>
              </w:rPr>
              <w:t>and Talent</w:t>
            </w:r>
          </w:p>
        </w:tc>
        <w:tc>
          <w:tcPr>
            <w:tcW w:w="1240" w:type="dxa"/>
            <w:vAlign w:val="bottom"/>
          </w:tcPr>
          <w:p>
            <w:pPr>
              <w:ind w:left="500"/>
              <w:spacing w:after="0" w:line="172" w:lineRule="exact"/>
              <w:rPr>
                <w:sz w:val="20"/>
                <w:szCs w:val="20"/>
                <w:color w:val="auto"/>
              </w:rPr>
            </w:pPr>
            <w:r>
              <w:rPr>
                <w:rFonts w:ascii="Arial" w:cs="Arial" w:eastAsia="Arial" w:hAnsi="Arial"/>
                <w:sz w:val="19"/>
                <w:szCs w:val="19"/>
                <w:b w:val="1"/>
                <w:bCs w:val="1"/>
                <w:color w:val="61C4AF"/>
              </w:rPr>
              <w:t>97%</w:t>
            </w:r>
          </w:p>
        </w:tc>
        <w:tc>
          <w:tcPr>
            <w:tcW w:w="0" w:type="dxa"/>
            <w:vAlign w:val="bottom"/>
          </w:tcPr>
          <w:p>
            <w:pPr>
              <w:spacing w:after="0"/>
              <w:rPr>
                <w:sz w:val="1"/>
                <w:szCs w:val="1"/>
                <w:color w:val="auto"/>
              </w:rPr>
            </w:pPr>
          </w:p>
        </w:tc>
      </w:tr>
      <w:tr>
        <w:trPr>
          <w:trHeight w:val="261"/>
        </w:trPr>
        <w:tc>
          <w:tcPr>
            <w:tcW w:w="1360" w:type="dxa"/>
            <w:vAlign w:val="bottom"/>
          </w:tcPr>
          <w:p>
            <w:pPr>
              <w:spacing w:after="0"/>
              <w:rPr>
                <w:sz w:val="20"/>
                <w:szCs w:val="20"/>
                <w:color w:val="auto"/>
              </w:rPr>
            </w:pPr>
            <w:r>
              <w:rPr>
                <w:rFonts w:ascii="Arial" w:cs="Arial" w:eastAsia="Arial" w:hAnsi="Arial"/>
                <w:sz w:val="20"/>
                <w:szCs w:val="20"/>
                <w:b w:val="1"/>
                <w:bCs w:val="1"/>
                <w:color w:val="61C4AF"/>
              </w:rPr>
              <w:t>98%</w:t>
            </w:r>
          </w:p>
        </w:tc>
        <w:tc>
          <w:tcPr>
            <w:tcW w:w="1240" w:type="dxa"/>
            <w:vAlign w:val="bottom"/>
            <w:vMerge w:val="restart"/>
          </w:tcPr>
          <w:p>
            <w:pPr>
              <w:ind w:left="500"/>
              <w:spacing w:after="0"/>
              <w:rPr>
                <w:sz w:val="20"/>
                <w:szCs w:val="20"/>
                <w:color w:val="auto"/>
              </w:rPr>
            </w:pPr>
            <w:r>
              <w:rPr>
                <w:rFonts w:ascii="Arial" w:cs="Arial" w:eastAsia="Arial" w:hAnsi="Arial"/>
                <w:sz w:val="13"/>
                <w:szCs w:val="13"/>
                <w:color w:val="616161"/>
              </w:rPr>
              <w:t>Executive</w:t>
            </w:r>
          </w:p>
        </w:tc>
        <w:tc>
          <w:tcPr>
            <w:tcW w:w="0" w:type="dxa"/>
            <w:vAlign w:val="bottom"/>
          </w:tcPr>
          <w:p>
            <w:pPr>
              <w:spacing w:after="0"/>
              <w:rPr>
                <w:sz w:val="1"/>
                <w:szCs w:val="1"/>
                <w:color w:val="auto"/>
              </w:rPr>
            </w:pPr>
          </w:p>
        </w:tc>
      </w:tr>
      <w:tr>
        <w:trPr>
          <w:trHeight w:val="80"/>
        </w:trPr>
        <w:tc>
          <w:tcPr>
            <w:tcW w:w="136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1"/>
        </w:trPr>
        <w:tc>
          <w:tcPr>
            <w:tcW w:w="1360" w:type="dxa"/>
            <w:vAlign w:val="bottom"/>
          </w:tcPr>
          <w:p>
            <w:pPr>
              <w:spacing w:after="0"/>
              <w:rPr>
                <w:sz w:val="22"/>
                <w:szCs w:val="22"/>
                <w:color w:val="auto"/>
              </w:rPr>
            </w:pPr>
          </w:p>
        </w:tc>
        <w:tc>
          <w:tcPr>
            <w:tcW w:w="1240" w:type="dxa"/>
            <w:vAlign w:val="bottom"/>
          </w:tcPr>
          <w:p>
            <w:pPr>
              <w:ind w:left="500"/>
              <w:spacing w:after="0"/>
              <w:rPr>
                <w:sz w:val="20"/>
                <w:szCs w:val="20"/>
                <w:color w:val="auto"/>
              </w:rPr>
            </w:pPr>
            <w:r>
              <w:rPr>
                <w:rFonts w:ascii="Arial" w:cs="Arial" w:eastAsia="Arial" w:hAnsi="Arial"/>
                <w:sz w:val="20"/>
                <w:szCs w:val="20"/>
                <w:b w:val="1"/>
                <w:bCs w:val="1"/>
                <w:color w:val="61C4AF"/>
              </w:rPr>
              <w:t>100%</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3"/>
          <w:szCs w:val="13"/>
          <w:color w:val="auto"/>
        </w:rPr>
        <w:t>Over 96% Board and committee meeting aggregate attendance in fiscal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234440" cy="685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34440" cy="68580"/>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DIRECTOR SKILLS AND EXPERTISE</w:t>
      </w:r>
    </w:p>
    <w:p>
      <w:pPr>
        <w:spacing w:after="0" w:line="252" w:lineRule="exact"/>
        <w:rPr>
          <w:sz w:val="20"/>
          <w:szCs w:val="20"/>
          <w:color w:val="auto"/>
        </w:rPr>
      </w:pPr>
    </w:p>
    <w:p>
      <w:pPr>
        <w:ind w:right="20"/>
        <w:spacing w:after="0" w:line="258" w:lineRule="auto"/>
        <w:rPr>
          <w:sz w:val="20"/>
          <w:szCs w:val="20"/>
          <w:color w:val="auto"/>
        </w:rPr>
      </w:pPr>
      <w:r>
        <w:rPr>
          <w:rFonts w:ascii="Arial" w:cs="Arial" w:eastAsia="Arial" w:hAnsi="Arial"/>
          <w:sz w:val="13"/>
          <w:szCs w:val="13"/>
          <w:color w:val="auto"/>
        </w:rPr>
        <w:t>Our Board of Directors believes our nominees’ breadth of experience and their mix of qualifications, attributes, tenure and skills strengthen our Board’s independent leadership and effective oversight of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121920</wp:posOffset>
            </wp:positionV>
            <wp:extent cx="17145" cy="1974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7145" cy="19748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121920</wp:posOffset>
            </wp:positionV>
            <wp:extent cx="17145" cy="1974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7145" cy="19748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54"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auto"/>
        </w:rPr>
        <w:t>87.5%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2087880</wp:posOffset>
            </wp:positionH>
            <wp:positionV relativeFrom="paragraph">
              <wp:posOffset>194945</wp:posOffset>
            </wp:positionV>
            <wp:extent cx="8890" cy="6000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890" cy="6000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50% Women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194945</wp:posOffset>
            </wp:positionV>
            <wp:extent cx="8255" cy="6000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255" cy="6000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7.2 Years Average Tenure</w:t>
      </w:r>
      <w:r>
        <w:rPr>
          <w:rFonts w:ascii="Arial" w:cs="Arial" w:eastAsia="Arial" w:hAnsi="Arial"/>
          <w:sz w:val="27"/>
          <w:szCs w:val="27"/>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949960</wp:posOffset>
            </wp:positionH>
            <wp:positionV relativeFrom="paragraph">
              <wp:posOffset>138430</wp:posOffset>
            </wp:positionV>
            <wp:extent cx="8255" cy="6000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255" cy="6000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3680" w:space="720"/>
            <w:col w:w="2680" w:space="720"/>
            <w:col w:w="3440"/>
          </w:cols>
          <w:pgMar w:left="320" w:top="121" w:right="339" w:bottom="1440" w:gutter="0" w:footer="0" w:header="0"/>
          <w:type w:val="continuous"/>
        </w:sectPr>
      </w:pPr>
    </w:p>
    <w:p>
      <w:pPr>
        <w:spacing w:after="0" w:line="69" w:lineRule="exact"/>
        <w:rPr>
          <w:sz w:val="20"/>
          <w:szCs w:val="20"/>
          <w:color w:val="auto"/>
        </w:rPr>
      </w:pPr>
    </w:p>
    <w:p>
      <w:pPr>
        <w:spacing w:after="0"/>
        <w:rPr>
          <w:sz w:val="20"/>
          <w:szCs w:val="20"/>
          <w:color w:val="auto"/>
        </w:rPr>
      </w:pPr>
      <w:r>
        <w:rPr>
          <w:rFonts w:ascii="Arial" w:cs="Arial" w:eastAsia="Arial" w:hAnsi="Arial"/>
          <w:sz w:val="13"/>
          <w:szCs w:val="13"/>
          <w:b w:val="1"/>
          <w:bCs w:val="1"/>
          <w:color w:val="616161"/>
        </w:rPr>
        <w:t>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637030" cy="2228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637030" cy="222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b w:val="1"/>
          <w:bCs w:val="1"/>
          <w:color w:val="616161"/>
        </w:rPr>
        <w:t>GENDER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130175</wp:posOffset>
            </wp:positionV>
            <wp:extent cx="925830" cy="2057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925830"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b w:val="1"/>
          <w:bCs w:val="1"/>
          <w:color w:val="616161"/>
        </w:rPr>
        <w: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1071880" cy="3257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071880" cy="3257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b w:val="1"/>
          <w:bCs w:val="1"/>
          <w:color w:val="616161"/>
        </w:rPr>
        <w:t>TENURE</w:t>
      </w:r>
      <w:r>
        <w:rPr>
          <w:rFonts w:ascii="Arial" w:cs="Arial" w:eastAsia="Arial" w:hAnsi="Arial"/>
          <w:sz w:val="20"/>
          <w:szCs w:val="20"/>
          <w:b w:val="1"/>
          <w:bCs w:val="1"/>
          <w:color w:val="616161"/>
          <w:vertAlign w:val="superscript"/>
        </w:rPr>
        <w:t>(1)</w:t>
      </w:r>
    </w:p>
    <w:p>
      <w:pPr>
        <w:spacing w:after="0" w:line="200" w:lineRule="exact"/>
        <w:rPr>
          <w:sz w:val="20"/>
          <w:szCs w:val="20"/>
          <w:color w:val="auto"/>
        </w:rPr>
      </w:pPr>
    </w:p>
    <w:p>
      <w:pPr>
        <w:sectPr>
          <w:pgSz w:w="11900" w:h="16838" w:orient="portrait"/>
          <w:cols w:equalWidth="0" w:num="4">
            <w:col w:w="2660" w:space="720"/>
            <w:col w:w="2560" w:space="720"/>
            <w:col w:w="2000" w:space="720"/>
            <w:col w:w="186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00" w:hanging="290"/>
        <w:spacing w:after="0"/>
        <w:tabs>
          <w:tab w:leader="none" w:pos="300" w:val="left"/>
        </w:tabs>
        <w:numPr>
          <w:ilvl w:val="0"/>
          <w:numId w:val="88"/>
        </w:numPr>
        <w:rPr>
          <w:rFonts w:ascii="Arial" w:cs="Arial" w:eastAsia="Arial" w:hAnsi="Arial"/>
          <w:sz w:val="22"/>
          <w:szCs w:val="22"/>
          <w:color w:val="auto"/>
          <w:vertAlign w:val="superscript"/>
        </w:rPr>
      </w:pPr>
      <w:r>
        <w:rPr>
          <w:rFonts w:ascii="Arial" w:cs="Arial" w:eastAsia="Arial" w:hAnsi="Arial"/>
          <w:sz w:val="13"/>
          <w:szCs w:val="13"/>
          <w:color w:val="auto"/>
        </w:rPr>
        <w:t>Calculation includes Ms. Price’s tenure as a director from July 2014 to February 2019.</w:t>
      </w:r>
    </w:p>
    <w:p>
      <w:pPr>
        <w:sectPr>
          <w:pgSz w:w="11900" w:h="16838" w:orient="portrait"/>
          <w:cols w:equalWidth="0" w:num="1">
            <w:col w:w="11240"/>
          </w:cols>
          <w:pgMar w:left="320" w:top="121" w:right="339" w:bottom="1440" w:gutter="0" w:footer="0" w:header="0"/>
          <w:type w:val="continuous"/>
        </w:sectPr>
      </w:pPr>
    </w:p>
    <w:p>
      <w:pPr>
        <w:spacing w:after="0" w:line="249" w:lineRule="exact"/>
        <w:rPr>
          <w:sz w:val="20"/>
          <w:szCs w:val="20"/>
          <w:color w:val="auto"/>
        </w:rPr>
      </w:pPr>
    </w:p>
    <w:p>
      <w:pPr>
        <w:spacing w:after="0"/>
        <w:rPr>
          <w:sz w:val="20"/>
          <w:szCs w:val="20"/>
          <w:color w:val="auto"/>
        </w:rPr>
      </w:pPr>
      <w:r>
        <w:rPr>
          <w:sz w:val="1"/>
          <w:szCs w:val="1"/>
          <w:color w:val="auto"/>
        </w:rPr>
        <w:drawing>
          <wp:inline distT="0" distB="0" distL="0" distR="0">
            <wp:extent cx="34290" cy="171450"/>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171450"/>
                    </a:xfrm>
                    <a:prstGeom prst="rect">
                      <a:avLst/>
                    </a:prstGeom>
                    <a:noFill/>
                    <a:ln>
                      <a:noFill/>
                    </a:ln>
                  </pic:spPr>
                </pic:pic>
              </a:graphicData>
            </a:graphic>
          </wp:inline>
        </w:drawing>
      </w:r>
      <w:r>
        <w:rPr>
          <w:rFonts w:ascii="Arial" w:cs="Arial" w:eastAsia="Arial" w:hAnsi="Arial"/>
          <w:sz w:val="21"/>
          <w:szCs w:val="21"/>
          <w:b w:val="1"/>
          <w:bCs w:val="1"/>
          <w:color w:val="61C4AF"/>
        </w:rPr>
        <w:t xml:space="preserve"> Women in Board Leadership Roles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147955</wp:posOffset>
            </wp:positionV>
            <wp:extent cx="17145" cy="1543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7145" cy="154305"/>
                    </a:xfrm>
                    <a:prstGeom prst="rect">
                      <a:avLst/>
                    </a:prstGeom>
                    <a:noFill/>
                  </pic:spPr>
                </pic:pic>
              </a:graphicData>
            </a:graphic>
          </wp:anchor>
        </w:drawing>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20" w:type="dxa"/>
            <w:vAlign w:val="bottom"/>
            <w:tcBorders>
              <w:right w:val="single" w:sz="8" w:color="auto"/>
            </w:tcBorders>
          </w:tcPr>
          <w:p>
            <w:pPr>
              <w:spacing w:after="0"/>
              <w:rPr>
                <w:sz w:val="20"/>
                <w:szCs w:val="20"/>
                <w:color w:val="auto"/>
              </w:rPr>
            </w:pPr>
            <w:r>
              <w:rPr>
                <w:rFonts w:ascii="Arial" w:cs="Arial" w:eastAsia="Arial" w:hAnsi="Arial"/>
                <w:sz w:val="13"/>
                <w:szCs w:val="13"/>
                <w:b w:val="1"/>
                <w:bCs w:val="1"/>
                <w:color w:val="61C4AF"/>
              </w:rPr>
              <w:t>Lead Independent Director</w:t>
            </w:r>
          </w:p>
        </w:tc>
        <w:tc>
          <w:tcPr>
            <w:tcW w:w="1720" w:type="dxa"/>
            <w:vAlign w:val="bottom"/>
          </w:tcPr>
          <w:p>
            <w:pPr>
              <w:ind w:left="260"/>
              <w:spacing w:after="0"/>
              <w:rPr>
                <w:sz w:val="20"/>
                <w:szCs w:val="20"/>
                <w:color w:val="auto"/>
              </w:rPr>
            </w:pPr>
            <w:r>
              <w:rPr>
                <w:rFonts w:ascii="Arial" w:cs="Arial" w:eastAsia="Arial" w:hAnsi="Arial"/>
                <w:sz w:val="13"/>
                <w:szCs w:val="13"/>
                <w:b w:val="1"/>
                <w:bCs w:val="1"/>
                <w:color w:val="61C4AF"/>
              </w:rPr>
              <w:t>Audit Committee Chair</w:t>
            </w:r>
          </w:p>
        </w:tc>
      </w:tr>
      <w:tr>
        <w:trPr>
          <w:trHeight w:val="41"/>
        </w:trPr>
        <w:tc>
          <w:tcPr>
            <w:tcW w:w="2020" w:type="dxa"/>
            <w:vAlign w:val="bottom"/>
            <w:tcBorders>
              <w:right w:val="single" w:sz="8" w:color="auto"/>
            </w:tcBorders>
          </w:tcPr>
          <w:p>
            <w:pPr>
              <w:spacing w:after="0"/>
              <w:rPr>
                <w:sz w:val="3"/>
                <w:szCs w:val="3"/>
                <w:color w:val="auto"/>
              </w:rPr>
            </w:pPr>
          </w:p>
        </w:tc>
        <w:tc>
          <w:tcPr>
            <w:tcW w:w="172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color w:val="61C4AF"/>
        </w:rPr>
        <w:t>Governance Committee Chair</w:t>
      </w:r>
    </w:p>
    <w:p>
      <w:pPr>
        <w:spacing w:after="0" w:line="26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23628F"/>
        </w:rPr>
        <w:t>2020 PROXY STATEMENT</w:t>
      </w:r>
      <w:r>
        <w:rPr>
          <w:sz w:val="20"/>
          <w:szCs w:val="20"/>
          <w:color w:val="auto"/>
        </w:rPr>
        <w:tab/>
      </w:r>
      <w:r>
        <w:rPr>
          <w:rFonts w:ascii="Arial" w:cs="Arial" w:eastAsia="Arial" w:hAnsi="Arial"/>
          <w:sz w:val="16"/>
          <w:szCs w:val="16"/>
          <w:b w:val="1"/>
          <w:bCs w:val="1"/>
          <w:color w:val="23628F"/>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-2726690</wp:posOffset>
            </wp:positionH>
            <wp:positionV relativeFrom="paragraph">
              <wp:posOffset>158750</wp:posOffset>
            </wp:positionV>
            <wp:extent cx="7153275"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2">
            <w:col w:w="3740" w:space="560"/>
            <w:col w:w="6940"/>
          </w:cols>
          <w:pgMar w:left="320" w:top="121" w:right="3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23628F"/>
        </w:rPr>
        <w:t>CORPORATE GOVERNANCE MATTERS</w:t>
      </w:r>
    </w:p>
    <w:p>
      <w:pPr>
        <w:spacing w:after="0" w:line="179" w:lineRule="exact"/>
        <w:rPr>
          <w:sz w:val="20"/>
          <w:szCs w:val="20"/>
          <w:color w:val="auto"/>
        </w:rPr>
      </w:pPr>
    </w:p>
    <w:p>
      <w:pPr>
        <w:spacing w:after="0"/>
        <w:rPr>
          <w:sz w:val="20"/>
          <w:szCs w:val="20"/>
          <w:color w:val="auto"/>
        </w:rPr>
      </w:pPr>
      <w:r>
        <w:rPr>
          <w:sz w:val="1"/>
          <w:szCs w:val="1"/>
          <w:color w:val="auto"/>
        </w:rPr>
        <w:drawing>
          <wp:inline distT="0" distB="0" distL="0" distR="0">
            <wp:extent cx="34290" cy="171450"/>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171450"/>
                    </a:xfrm>
                    <a:prstGeom prst="rect">
                      <a:avLst/>
                    </a:prstGeom>
                    <a:noFill/>
                    <a:ln>
                      <a:noFill/>
                    </a:ln>
                  </pic:spPr>
                </pic:pic>
              </a:graphicData>
            </a:graphic>
          </wp:inline>
        </w:drawing>
      </w:r>
      <w:r>
        <w:rPr>
          <w:rFonts w:ascii="Arial" w:cs="Arial" w:eastAsia="Arial" w:hAnsi="Arial"/>
          <w:sz w:val="22"/>
          <w:szCs w:val="22"/>
          <w:b w:val="1"/>
          <w:bCs w:val="1"/>
          <w:color w:val="61C4AF"/>
        </w:rPr>
        <w:t xml:space="preserve"> Director Nominee Skills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4972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4972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23628F"/>
        </w:rPr>
        <w:t>EXECUTIVE EXPERIENCE</w:t>
      </w:r>
    </w:p>
    <w:p>
      <w:pPr>
        <w:spacing w:after="0" w:line="15" w:lineRule="exact"/>
        <w:rPr>
          <w:sz w:val="20"/>
          <w:szCs w:val="20"/>
          <w:color w:val="auto"/>
        </w:rPr>
      </w:pPr>
    </w:p>
    <w:p>
      <w:pPr>
        <w:ind w:left="520" w:right="3300"/>
        <w:spacing w:after="0" w:line="258" w:lineRule="auto"/>
        <w:rPr>
          <w:sz w:val="20"/>
          <w:szCs w:val="20"/>
          <w:color w:val="auto"/>
        </w:rPr>
      </w:pPr>
      <w:r>
        <w:rPr>
          <w:rFonts w:ascii="Arial" w:cs="Arial" w:eastAsia="Arial" w:hAnsi="Arial"/>
          <w:sz w:val="13"/>
          <w:szCs w:val="13"/>
          <w:color w:val="auto"/>
        </w:rPr>
        <w:t>Experience in executive-level positions is important to gain a practical understanding of complex organizations, corporate governance, operations, talent development, strategic planning and risk management</w:t>
      </w:r>
    </w:p>
    <w:p>
      <w:pPr>
        <w:spacing w:after="0" w:line="27"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23628F"/>
        </w:rPr>
        <w:t>SEMICONDUCTOR EXPERIENCE</w:t>
      </w:r>
    </w:p>
    <w:p>
      <w:pPr>
        <w:spacing w:after="0" w:line="15" w:lineRule="exact"/>
        <w:rPr>
          <w:sz w:val="20"/>
          <w:szCs w:val="20"/>
          <w:color w:val="auto"/>
        </w:rPr>
      </w:pPr>
    </w:p>
    <w:p>
      <w:pPr>
        <w:ind w:left="520" w:right="3280"/>
        <w:spacing w:after="0" w:line="258" w:lineRule="auto"/>
        <w:rPr>
          <w:sz w:val="20"/>
          <w:szCs w:val="20"/>
          <w:color w:val="auto"/>
        </w:rPr>
      </w:pPr>
      <w:r>
        <w:rPr>
          <w:rFonts w:ascii="Arial" w:cs="Arial" w:eastAsia="Arial" w:hAnsi="Arial"/>
          <w:sz w:val="13"/>
          <w:szCs w:val="13"/>
          <w:color w:val="auto"/>
        </w:rPr>
        <w:t>Experience in the semiconductor industry is important in understanding our technology, products and operations, which is critical for our future growth</w:t>
      </w:r>
    </w:p>
    <w:p>
      <w:pPr>
        <w:spacing w:after="0" w:line="27"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23628F"/>
        </w:rPr>
        <w:t>DATA INFRASTRUCTURE EXPERIENCE</w:t>
      </w:r>
    </w:p>
    <w:p>
      <w:pPr>
        <w:spacing w:after="0" w:line="15" w:lineRule="exact"/>
        <w:rPr>
          <w:sz w:val="20"/>
          <w:szCs w:val="20"/>
          <w:color w:val="auto"/>
        </w:rPr>
      </w:pPr>
    </w:p>
    <w:p>
      <w:pPr>
        <w:ind w:left="520" w:right="3000"/>
        <w:spacing w:after="0" w:line="258" w:lineRule="auto"/>
        <w:rPr>
          <w:sz w:val="20"/>
          <w:szCs w:val="20"/>
          <w:color w:val="auto"/>
        </w:rPr>
      </w:pPr>
      <w:r>
        <w:rPr>
          <w:rFonts w:ascii="Arial" w:cs="Arial" w:eastAsia="Arial" w:hAnsi="Arial"/>
          <w:sz w:val="13"/>
          <w:szCs w:val="13"/>
          <w:color w:val="auto"/>
        </w:rPr>
        <w:t>Experience in data infrastructure, including related software, hardware and data centers, storage, protection and management is important to understanding the issues and opportunities facing our business</w:t>
      </w:r>
    </w:p>
    <w:p>
      <w:pPr>
        <w:spacing w:after="0" w:line="27"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23628F"/>
        </w:rPr>
        <w:t>MANUFACTURING</w:t>
      </w:r>
    </w:p>
    <w:p>
      <w:pPr>
        <w:spacing w:after="0" w:line="15" w:lineRule="exact"/>
        <w:rPr>
          <w:sz w:val="20"/>
          <w:szCs w:val="20"/>
          <w:color w:val="auto"/>
        </w:rPr>
      </w:pPr>
    </w:p>
    <w:p>
      <w:pPr>
        <w:ind w:left="520" w:right="2980"/>
        <w:spacing w:after="0" w:line="258" w:lineRule="auto"/>
        <w:rPr>
          <w:sz w:val="20"/>
          <w:szCs w:val="20"/>
          <w:color w:val="auto"/>
        </w:rPr>
      </w:pPr>
      <w:r>
        <w:rPr>
          <w:rFonts w:ascii="Arial" w:cs="Arial" w:eastAsia="Arial" w:hAnsi="Arial"/>
          <w:sz w:val="13"/>
          <w:szCs w:val="13"/>
          <w:color w:val="auto"/>
        </w:rPr>
        <w:t>Experience with sophisticated, large-scale manufacturing increases our Board’s understanding of our distribution, supply chain and manufacturing facilities</w:t>
      </w:r>
    </w:p>
    <w:p>
      <w:pPr>
        <w:spacing w:after="0" w:line="27"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23628F"/>
        </w:rPr>
        <w:t>OPERATIONS AND INFRASTRUCTURE</w:t>
      </w:r>
    </w:p>
    <w:p>
      <w:pPr>
        <w:spacing w:after="0" w:line="15" w:lineRule="exact"/>
        <w:rPr>
          <w:sz w:val="20"/>
          <w:szCs w:val="20"/>
          <w:color w:val="auto"/>
        </w:rPr>
      </w:pPr>
    </w:p>
    <w:p>
      <w:pPr>
        <w:ind w:left="520" w:right="3040"/>
        <w:spacing w:after="0" w:line="258" w:lineRule="auto"/>
        <w:rPr>
          <w:sz w:val="20"/>
          <w:szCs w:val="20"/>
          <w:color w:val="auto"/>
        </w:rPr>
      </w:pPr>
      <w:r>
        <w:rPr>
          <w:rFonts w:ascii="Arial" w:cs="Arial" w:eastAsia="Arial" w:hAnsi="Arial"/>
          <w:sz w:val="13"/>
          <w:szCs w:val="13"/>
          <w:color w:val="auto"/>
        </w:rPr>
        <w:t>Experience with complex, global operations assists our Board in fostering our operational excellence and adapting to evolving market conditions</w:t>
      </w:r>
    </w:p>
    <w:p>
      <w:pPr>
        <w:spacing w:after="0" w:line="27"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23628F"/>
        </w:rPr>
        <w:t>TECHNOLOGY/INNOVATION</w:t>
      </w:r>
    </w:p>
    <w:p>
      <w:pPr>
        <w:spacing w:after="0" w:line="15" w:lineRule="exact"/>
        <w:rPr>
          <w:sz w:val="20"/>
          <w:szCs w:val="20"/>
          <w:color w:val="auto"/>
        </w:rPr>
      </w:pPr>
    </w:p>
    <w:p>
      <w:pPr>
        <w:ind w:left="520" w:right="3540"/>
        <w:spacing w:after="0" w:line="258" w:lineRule="auto"/>
        <w:rPr>
          <w:sz w:val="20"/>
          <w:szCs w:val="20"/>
          <w:color w:val="auto"/>
        </w:rPr>
      </w:pPr>
      <w:r>
        <w:rPr>
          <w:rFonts w:ascii="Arial" w:cs="Arial" w:eastAsia="Arial" w:hAnsi="Arial"/>
          <w:sz w:val="13"/>
          <w:szCs w:val="13"/>
          <w:color w:val="auto"/>
        </w:rPr>
        <w:t>Experience in researching, developing or designing leading-edge technologies is critical for the continued growth and innovation of our business</w:t>
      </w:r>
    </w:p>
    <w:p>
      <w:pPr>
        <w:spacing w:after="0" w:line="27"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23628F"/>
        </w:rPr>
        <w:t>GLOBAL EXPERIENCE</w:t>
      </w:r>
    </w:p>
    <w:p>
      <w:pPr>
        <w:spacing w:after="0" w:line="15" w:lineRule="exact"/>
        <w:rPr>
          <w:sz w:val="20"/>
          <w:szCs w:val="20"/>
          <w:color w:val="auto"/>
        </w:rPr>
      </w:pPr>
    </w:p>
    <w:p>
      <w:pPr>
        <w:ind w:left="520" w:right="3000"/>
        <w:spacing w:after="0" w:line="258" w:lineRule="auto"/>
        <w:rPr>
          <w:sz w:val="20"/>
          <w:szCs w:val="20"/>
          <w:color w:val="auto"/>
        </w:rPr>
      </w:pPr>
      <w:r>
        <w:rPr>
          <w:rFonts w:ascii="Arial" w:cs="Arial" w:eastAsia="Arial" w:hAnsi="Arial"/>
          <w:sz w:val="13"/>
          <w:szCs w:val="13"/>
          <w:color w:val="auto"/>
        </w:rPr>
        <w:t>Experience with businesses with substantial international operations provides critical business and cultural perspectives to our Board and is important in understanding the strategic opportunities and risks relating to our business</w:t>
      </w:r>
    </w:p>
    <w:p>
      <w:pPr>
        <w:spacing w:after="0" w:line="27"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23628F"/>
        </w:rPr>
        <w:t>SALES/MARKETING</w:t>
      </w:r>
    </w:p>
    <w:p>
      <w:pPr>
        <w:spacing w:after="0" w:line="15" w:lineRule="exact"/>
        <w:rPr>
          <w:sz w:val="20"/>
          <w:szCs w:val="20"/>
          <w:color w:val="auto"/>
        </w:rPr>
      </w:pPr>
    </w:p>
    <w:p>
      <w:pPr>
        <w:ind w:left="520" w:right="3780"/>
        <w:spacing w:after="0" w:line="258" w:lineRule="auto"/>
        <w:rPr>
          <w:sz w:val="20"/>
          <w:szCs w:val="20"/>
          <w:color w:val="auto"/>
        </w:rPr>
      </w:pPr>
      <w:r>
        <w:rPr>
          <w:rFonts w:ascii="Arial" w:cs="Arial" w:eastAsia="Arial" w:hAnsi="Arial"/>
          <w:sz w:val="13"/>
          <w:szCs w:val="13"/>
          <w:color w:val="auto"/>
        </w:rPr>
        <w:t>Experience developing and executing on strategies to grow sales and market share assists our Board in advising management as we seek to develop new products and new markets for our products</w:t>
      </w:r>
    </w:p>
    <w:p>
      <w:pPr>
        <w:spacing w:after="0" w:line="27"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23628F"/>
        </w:rPr>
        <w:t>FINANCE AND ACCOUNTING</w:t>
      </w:r>
    </w:p>
    <w:p>
      <w:pPr>
        <w:spacing w:after="0" w:line="15" w:lineRule="exact"/>
        <w:rPr>
          <w:sz w:val="20"/>
          <w:szCs w:val="20"/>
          <w:color w:val="auto"/>
        </w:rPr>
      </w:pPr>
    </w:p>
    <w:p>
      <w:pPr>
        <w:ind w:left="520" w:right="2980"/>
        <w:spacing w:after="0" w:line="258" w:lineRule="auto"/>
        <w:rPr>
          <w:sz w:val="20"/>
          <w:szCs w:val="20"/>
          <w:color w:val="auto"/>
        </w:rPr>
      </w:pPr>
      <w:r>
        <w:rPr>
          <w:rFonts w:ascii="Arial" w:cs="Arial" w:eastAsia="Arial" w:hAnsi="Arial"/>
          <w:sz w:val="13"/>
          <w:szCs w:val="13"/>
          <w:color w:val="auto"/>
        </w:rPr>
        <w:t>Experience overseeing accounting and financial reporting is key to our Board’s oversight of our financial reporting process and internal controls</w:t>
      </w:r>
    </w:p>
    <w:p>
      <w:pPr>
        <w:spacing w:after="0" w:line="27"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23628F"/>
        </w:rPr>
        <w:t>CYBERSECURITY</w:t>
      </w:r>
    </w:p>
    <w:p>
      <w:pPr>
        <w:spacing w:after="0" w:line="15" w:lineRule="exact"/>
        <w:rPr>
          <w:sz w:val="20"/>
          <w:szCs w:val="20"/>
          <w:color w:val="auto"/>
        </w:rPr>
      </w:pPr>
    </w:p>
    <w:p>
      <w:pPr>
        <w:ind w:left="520" w:right="3480"/>
        <w:spacing w:after="0" w:line="258" w:lineRule="auto"/>
        <w:rPr>
          <w:sz w:val="20"/>
          <w:szCs w:val="20"/>
          <w:color w:val="auto"/>
        </w:rPr>
      </w:pPr>
      <w:r>
        <w:rPr>
          <w:rFonts w:ascii="Arial" w:cs="Arial" w:eastAsia="Arial" w:hAnsi="Arial"/>
          <w:sz w:val="13"/>
          <w:szCs w:val="13"/>
          <w:color w:val="auto"/>
        </w:rPr>
        <w:t>Experience understanding and managing information technology and cybersecurity threats is increasingly important to mitigate risks to our business</w:t>
      </w:r>
    </w:p>
    <w:p>
      <w:pPr>
        <w:spacing w:after="0" w:line="27"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23628F"/>
        </w:rPr>
        <w:t>RISK MANAGEMENT</w:t>
      </w:r>
    </w:p>
    <w:p>
      <w:pPr>
        <w:spacing w:after="0" w:line="15" w:lineRule="exact"/>
        <w:rPr>
          <w:sz w:val="20"/>
          <w:szCs w:val="20"/>
          <w:color w:val="auto"/>
        </w:rPr>
      </w:pPr>
    </w:p>
    <w:p>
      <w:pPr>
        <w:ind w:left="520" w:right="3560"/>
        <w:spacing w:after="0" w:line="258" w:lineRule="auto"/>
        <w:rPr>
          <w:sz w:val="20"/>
          <w:szCs w:val="20"/>
          <w:color w:val="auto"/>
        </w:rPr>
      </w:pPr>
      <w:r>
        <w:rPr>
          <w:rFonts w:ascii="Arial" w:cs="Arial" w:eastAsia="Arial" w:hAnsi="Arial"/>
          <w:sz w:val="13"/>
          <w:szCs w:val="13"/>
          <w:color w:val="auto"/>
        </w:rPr>
        <w:t>Experience in assessing and managing enterprise risks is critical to our Board’s role in overseeing our enterprise risk management program</w:t>
      </w:r>
    </w:p>
    <w:p>
      <w:pPr>
        <w:spacing w:after="0" w:line="27"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23628F"/>
        </w:rPr>
        <w:t>CORPORATE SUSTAINABILITY AND RESPONSIBILITY</w:t>
      </w:r>
    </w:p>
    <w:p>
      <w:pPr>
        <w:spacing w:after="0" w:line="15" w:lineRule="exact"/>
        <w:rPr>
          <w:sz w:val="20"/>
          <w:szCs w:val="20"/>
          <w:color w:val="auto"/>
        </w:rPr>
      </w:pPr>
    </w:p>
    <w:p>
      <w:pPr>
        <w:ind w:left="520" w:right="3280"/>
        <w:spacing w:after="0" w:line="258" w:lineRule="auto"/>
        <w:rPr>
          <w:sz w:val="20"/>
          <w:szCs w:val="20"/>
          <w:color w:val="auto"/>
        </w:rPr>
      </w:pPr>
      <w:r>
        <w:rPr>
          <w:rFonts w:ascii="Arial" w:cs="Arial" w:eastAsia="Arial" w:hAnsi="Arial"/>
          <w:sz w:val="13"/>
          <w:szCs w:val="13"/>
          <w:color w:val="auto"/>
        </w:rPr>
        <w:t>Experience in assessing corporate social responsibility initiatives is critical to our Board’s role in overseeing our corporate responsibility and sustainability policies and programs</w:t>
      </w:r>
    </w:p>
    <w:p>
      <w:pPr>
        <w:spacing w:after="0" w:line="27"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23628F"/>
        </w:rPr>
        <w:t>STRATEGY PLANNING Experience</w:t>
      </w:r>
    </w:p>
    <w:p>
      <w:pPr>
        <w:spacing w:after="0" w:line="15" w:lineRule="exact"/>
        <w:rPr>
          <w:sz w:val="20"/>
          <w:szCs w:val="20"/>
          <w:color w:val="auto"/>
        </w:rPr>
      </w:pPr>
    </w:p>
    <w:p>
      <w:pPr>
        <w:ind w:left="520"/>
        <w:spacing w:after="0"/>
        <w:rPr>
          <w:sz w:val="20"/>
          <w:szCs w:val="20"/>
          <w:color w:val="auto"/>
        </w:rPr>
      </w:pPr>
      <w:r>
        <w:rPr>
          <w:rFonts w:ascii="Arial" w:cs="Arial" w:eastAsia="Arial" w:hAnsi="Arial"/>
          <w:sz w:val="13"/>
          <w:szCs w:val="13"/>
          <w:color w:val="auto"/>
        </w:rPr>
        <w:t>setting and executing long-term corporate strategy is critical as we continue to grow our business</w:t>
      </w:r>
    </w:p>
    <w:p>
      <w:pPr>
        <w:spacing w:after="0" w:line="159"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23628F"/>
        </w:rPr>
        <w:t>HUMAN CAPITAL MANAGEMENT</w:t>
      </w:r>
    </w:p>
    <w:p>
      <w:pPr>
        <w:spacing w:after="0" w:line="15" w:lineRule="exact"/>
        <w:rPr>
          <w:sz w:val="20"/>
          <w:szCs w:val="20"/>
          <w:color w:val="auto"/>
        </w:rPr>
      </w:pPr>
    </w:p>
    <w:p>
      <w:pPr>
        <w:ind w:left="520" w:right="3100"/>
        <w:spacing w:after="0" w:line="258" w:lineRule="auto"/>
        <w:rPr>
          <w:sz w:val="20"/>
          <w:szCs w:val="20"/>
          <w:color w:val="auto"/>
        </w:rPr>
      </w:pPr>
      <w:r>
        <w:rPr>
          <w:rFonts w:ascii="Arial" w:cs="Arial" w:eastAsia="Arial" w:hAnsi="Arial"/>
          <w:sz w:val="13"/>
          <w:szCs w:val="13"/>
          <w:color w:val="auto"/>
        </w:rPr>
        <w:t>Experience in human capital management in large organizations assists our Board in overseeing succession planning, talent development and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128270" cy="1371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8270" cy="137160"/>
                    </a:xfrm>
                    <a:prstGeom prst="rect">
                      <a:avLst/>
                    </a:prstGeom>
                    <a:noFill/>
                  </pic:spPr>
                </pic:pic>
              </a:graphicData>
            </a:graphic>
          </wp:anchor>
        </w:drawing>
      </w:r>
    </w:p>
    <w:p>
      <w:pPr>
        <w:spacing w:after="0" w:line="266" w:lineRule="exact"/>
        <w:rPr>
          <w:sz w:val="20"/>
          <w:szCs w:val="20"/>
          <w:color w:val="auto"/>
        </w:rPr>
      </w:pPr>
    </w:p>
    <w:p>
      <w:pPr>
        <w:ind w:left="380"/>
        <w:spacing w:after="0"/>
        <w:rPr>
          <w:sz w:val="20"/>
          <w:szCs w:val="20"/>
          <w:color w:val="auto"/>
        </w:rPr>
      </w:pPr>
      <w:r>
        <w:rPr>
          <w:rFonts w:ascii="Arial" w:cs="Arial" w:eastAsia="Arial" w:hAnsi="Arial"/>
          <w:sz w:val="13"/>
          <w:szCs w:val="13"/>
          <w:color w:val="auto"/>
        </w:rPr>
        <w:t>indicates “Technical or Managerial Expertise” (expertise derived from direct and hands-on experience or direct managerial experience with the subject matter during his/her career)</w:t>
      </w:r>
    </w:p>
    <w:p>
      <w:pPr>
        <w:spacing w:after="0" w:line="40" w:lineRule="exact"/>
        <w:rPr>
          <w:sz w:val="20"/>
          <w:szCs w:val="20"/>
          <w:color w:val="auto"/>
        </w:rPr>
      </w:pPr>
    </w:p>
    <w:p>
      <w:pPr>
        <w:ind w:left="380" w:right="160"/>
        <w:spacing w:after="0" w:line="258" w:lineRule="auto"/>
        <w:rPr>
          <w:sz w:val="20"/>
          <w:szCs w:val="20"/>
          <w:color w:val="auto"/>
        </w:rPr>
      </w:pPr>
      <w:r>
        <w:rPr>
          <w:rFonts w:ascii="Arial" w:cs="Arial" w:eastAsia="Arial" w:hAnsi="Arial"/>
          <w:sz w:val="13"/>
          <w:szCs w:val="13"/>
          <w:color w:val="auto"/>
        </w:rPr>
        <w:t>indicates “Working Knowledge” (experience derived through: (i) board or relevant committee membership at our company or another public company; (ii) executive leadership or board membership of a public company in the relevant industry; or (iii) consulting, investment banking, private equity investing or legal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4800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4800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137160" cy="1200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37160" cy="12001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980" w:right="960"/>
        <w:spacing w:after="0" w:line="264" w:lineRule="auto"/>
        <w:rPr>
          <w:sz w:val="20"/>
          <w:szCs w:val="20"/>
          <w:color w:val="auto"/>
        </w:rPr>
      </w:pPr>
      <w:r>
        <w:rPr>
          <w:rFonts w:ascii="Arial" w:cs="Arial" w:eastAsia="Arial" w:hAnsi="Arial"/>
          <w:sz w:val="18"/>
          <w:szCs w:val="18"/>
          <w:b w:val="1"/>
          <w:bCs w:val="1"/>
          <w:color w:val="auto"/>
        </w:rPr>
        <w:t>Our Board is highly engaged and well qualified, and all director nominees possess the skills and experiences necessary to oversee our evolving and growing business.</w:t>
      </w:r>
    </w:p>
    <w:p>
      <w:pPr>
        <w:spacing w:after="0" w:line="287" w:lineRule="exact"/>
        <w:rPr>
          <w:sz w:val="20"/>
          <w:szCs w:val="20"/>
          <w:color w:val="auto"/>
        </w:rPr>
      </w:pPr>
    </w:p>
    <w:p>
      <w:pPr>
        <w:ind w:left="440" w:hanging="432"/>
        <w:spacing w:after="0"/>
        <w:tabs>
          <w:tab w:leader="none" w:pos="440" w:val="left"/>
        </w:tabs>
        <w:numPr>
          <w:ilvl w:val="0"/>
          <w:numId w:val="89"/>
        </w:numPr>
        <w:rPr>
          <w:rFonts w:ascii="Arial" w:cs="Arial" w:eastAsia="Arial" w:hAnsi="Arial"/>
          <w:sz w:val="18"/>
          <w:szCs w:val="18"/>
          <w:b w:val="1"/>
          <w:bCs w:val="1"/>
          <w:color w:val="23628F"/>
        </w:rPr>
      </w:pPr>
      <w:r>
        <w:rPr>
          <w:rFonts w:ascii="Arial" w:cs="Arial" w:eastAsia="Arial" w:hAnsi="Arial"/>
          <w:sz w:val="13"/>
          <w:szCs w:val="13"/>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153275"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ind w:left="8720"/>
        <w:spacing w:after="0"/>
        <w:rPr>
          <w:sz w:val="20"/>
          <w:szCs w:val="20"/>
          <w:color w:val="auto"/>
        </w:rPr>
      </w:pPr>
      <w:r>
        <w:rPr>
          <w:rFonts w:ascii="Arial" w:cs="Arial" w:eastAsia="Arial" w:hAnsi="Arial"/>
          <w:sz w:val="13"/>
          <w:szCs w:val="13"/>
          <w:color w:val="23628F"/>
        </w:rPr>
        <w:t>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234440" cy="685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34440" cy="68580"/>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DIRECTOR INDEPENDENCE</w:t>
      </w:r>
    </w:p>
    <w:p>
      <w:pPr>
        <w:spacing w:after="0" w:line="252" w:lineRule="exact"/>
        <w:rPr>
          <w:sz w:val="20"/>
          <w:szCs w:val="20"/>
          <w:color w:val="auto"/>
        </w:rPr>
      </w:pPr>
    </w:p>
    <w:p>
      <w:pPr>
        <w:ind w:right="60"/>
        <w:spacing w:after="0"/>
        <w:rPr>
          <w:sz w:val="20"/>
          <w:szCs w:val="20"/>
          <w:color w:val="auto"/>
        </w:rPr>
      </w:pPr>
      <w:r>
        <w:rPr>
          <w:rFonts w:ascii="Arial" w:cs="Arial" w:eastAsia="Arial" w:hAnsi="Arial"/>
          <w:sz w:val="13"/>
          <w:szCs w:val="13"/>
          <w:color w:val="auto"/>
        </w:rPr>
        <w:t>Our Board of Directors has reviewed and discussed information provided by the directors and our company with regard to each director’s business and personal activities, as well as those of the director’s immediate family members, as they may relate to our company or our management. The purpose of this review is to determine whether there are any transactions or relationships that would be inconsistent with a determination that a director is independent under the listing standards of the Nasdaq Stock Market. Based on its review, our Board has affirmatively determined that, except for serving as a member of our Board of Directors, none of the non-employee director nominees for the Annual Meeting (Messrs. Cole, Doluca or Massengill, or Mses. Alexy, Cote, Price or Streeter) has any relationship that, in the opinion of our Board, would interfere with such director’s exercise of independent judgment in carrying out his or her responsibilities as a director, and that each such director qualifies as “independent” as defined by the listing standards of the Nasdaq Stock Market. Our Board also previously affirmatively determined that each of the other individuals who served as a non-employee director during any part of fiscal 2020 (Messrs. DeNero, Lambert and Lauer) qualified as “independent” as defined by the listing standards of the Nasdaq Stock Market during the period of his service in fiscal 2020. Mr. Goeckeler is currently a full-time, executive-level employee of our company and, therefore, is not “independent” as defined by the listing standards of the Nasdaq Stock Market.</w:t>
      </w:r>
    </w:p>
    <w:p>
      <w:pPr>
        <w:spacing w:after="0" w:line="176" w:lineRule="exact"/>
        <w:rPr>
          <w:sz w:val="20"/>
          <w:szCs w:val="20"/>
          <w:color w:val="auto"/>
        </w:rPr>
      </w:pPr>
    </w:p>
    <w:p>
      <w:pPr>
        <w:spacing w:after="0"/>
        <w:rPr>
          <w:sz w:val="20"/>
          <w:szCs w:val="20"/>
          <w:color w:val="auto"/>
        </w:rPr>
      </w:pPr>
      <w:r>
        <w:rPr>
          <w:rFonts w:ascii="Arial" w:cs="Arial" w:eastAsia="Arial" w:hAnsi="Arial"/>
          <w:sz w:val="31"/>
          <w:szCs w:val="31"/>
          <w:b w:val="1"/>
          <w:bCs w:val="1"/>
          <w:color w:val="567EA5"/>
        </w:rPr>
        <w:t>DIRECTOR NOMINATIONS AND BOARD REFRESHMENT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1234440" cy="685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34440" cy="68580"/>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KEY DIRECTOR CRITERIA</w:t>
      </w:r>
    </w:p>
    <w:p>
      <w:pPr>
        <w:spacing w:after="0" w:line="252" w:lineRule="exact"/>
        <w:rPr>
          <w:sz w:val="20"/>
          <w:szCs w:val="20"/>
          <w:color w:val="auto"/>
        </w:rPr>
      </w:pPr>
    </w:p>
    <w:p>
      <w:pPr>
        <w:ind w:right="100"/>
        <w:spacing w:after="0" w:line="241" w:lineRule="auto"/>
        <w:rPr>
          <w:sz w:val="20"/>
          <w:szCs w:val="20"/>
          <w:color w:val="auto"/>
        </w:rPr>
      </w:pPr>
      <w:r>
        <w:rPr>
          <w:rFonts w:ascii="Arial" w:cs="Arial" w:eastAsia="Arial" w:hAnsi="Arial"/>
          <w:sz w:val="13"/>
          <w:szCs w:val="13"/>
          <w:color w:val="auto"/>
        </w:rPr>
        <w:t>The Governance Committee has adopted a policy regarding critical factors to be considered in selecting director nominees, which include: the nominee’s personal and professional ethics, integrity and values; the nominee’s intellect, judgment, foresight, skills, experience (including understanding of marketing, finance, our technology and other elements relevant to the success of a company such as ours) and achievements, all of which are viewed in the context of the overall composition of our Board of Directors; the absence of any conflict of interest (whether due to a business or personal relationship) or legal impediment to, or restriction on, the nominee serving as a director; having a majority of independent directors on our Board; and representation of the long-term interests of our stockholders as a whole and a diversity of backgrounds and expertise, which are most needed and beneficial to our Board and our company. Although our Board of Directors has not established specific diversity guidelines, the Governance Committee is committed to Board diversity and takes into account the personal characteristics, experience and skills of current and prospective directors, including gender, race and ethnicity, to ensure that a broad range of perspectives is represented on our Board to effectively perform its governance role and oversee the execution of our strategy.</w:t>
      </w:r>
    </w:p>
    <w:p>
      <w:pPr>
        <w:spacing w:after="0" w:line="203" w:lineRule="exact"/>
        <w:rPr>
          <w:sz w:val="20"/>
          <w:szCs w:val="20"/>
          <w:color w:val="auto"/>
        </w:rPr>
      </w:pPr>
    </w:p>
    <w:p>
      <w:pPr>
        <w:ind w:right="40"/>
        <w:spacing w:after="0" w:line="243" w:lineRule="auto"/>
        <w:rPr>
          <w:sz w:val="20"/>
          <w:szCs w:val="20"/>
          <w:color w:val="auto"/>
        </w:rPr>
      </w:pPr>
      <w:r>
        <w:rPr>
          <w:rFonts w:ascii="Arial" w:cs="Arial" w:eastAsia="Arial" w:hAnsi="Arial"/>
          <w:sz w:val="13"/>
          <w:szCs w:val="13"/>
          <w:color w:val="auto"/>
        </w:rPr>
        <w:t>As further detailed below, the Governance Committee annually evaluates the size and composition of our Board and assesses whether the composition appropriately aligns with our evolving business and strategic needs. The focus of this exercise is on ensuring that our Board is composed of directors who possess a wide variety of relevant skills, expertise and backgrounds, bring diverse viewpoints and perspectives and effectively represent the long-term interests of stockholders. Through this process, our Board, upon the recommendation of the Governance Committee, develops a list of qualifications and skills sought in director candidates. Specific director criteria evolve over time to reflect our strategic and business needs and the changing composition of our Board.</w:t>
      </w:r>
    </w:p>
    <w:p>
      <w:pPr>
        <w:spacing w:after="0" w:line="18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23628F"/>
        </w:rPr>
        <w:t>2020 PROXY STATEMENT</w:t>
      </w:r>
      <w:r>
        <w:rPr>
          <w:sz w:val="20"/>
          <w:szCs w:val="20"/>
          <w:color w:val="auto"/>
        </w:rPr>
        <w:tab/>
      </w:r>
      <w:r>
        <w:rPr>
          <w:rFonts w:ascii="Arial" w:cs="Arial" w:eastAsia="Arial" w:hAnsi="Arial"/>
          <w:sz w:val="16"/>
          <w:szCs w:val="16"/>
          <w:b w:val="1"/>
          <w:bCs w:val="1"/>
          <w:color w:val="23628F"/>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153275" cy="20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23628F"/>
        </w:rPr>
        <w:t>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234440" cy="685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34440" cy="68580"/>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DIRECTOR NOMINATION PROCESS</w:t>
      </w:r>
    </w:p>
    <w:p>
      <w:pPr>
        <w:spacing w:after="0" w:line="277"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61C4AF"/>
        </w:rPr>
        <w:t>Assess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-92075</wp:posOffset>
            </wp:positionV>
            <wp:extent cx="171450" cy="7626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71450" cy="762635"/>
                    </a:xfrm>
                    <a:prstGeom prst="rect">
                      <a:avLst/>
                    </a:prstGeom>
                    <a:noFill/>
                  </pic:spPr>
                </pic:pic>
              </a:graphicData>
            </a:graphic>
          </wp:anchor>
        </w:drawing>
      </w:r>
    </w:p>
    <w:p>
      <w:pPr>
        <w:spacing w:after="0" w:line="9" w:lineRule="exact"/>
        <w:rPr>
          <w:sz w:val="20"/>
          <w:szCs w:val="20"/>
          <w:color w:val="auto"/>
        </w:rPr>
      </w:pPr>
    </w:p>
    <w:p>
      <w:pPr>
        <w:ind w:left="420" w:right="40"/>
        <w:spacing w:after="0" w:line="242" w:lineRule="auto"/>
        <w:rPr>
          <w:sz w:val="20"/>
          <w:szCs w:val="20"/>
          <w:color w:val="auto"/>
        </w:rPr>
      </w:pPr>
      <w:r>
        <w:rPr>
          <w:rFonts w:ascii="Arial" w:cs="Arial" w:eastAsia="Arial" w:hAnsi="Arial"/>
          <w:sz w:val="13"/>
          <w:szCs w:val="13"/>
          <w:color w:val="auto"/>
        </w:rPr>
        <w:t>Our Board of Directors, led by the Governance Committee, evaluates the size and composition of our Board at least annually, giving consideration to evolving skills, perspective and experience needed on our Board to perform its governance and oversight role as the business transforms and the underlying risks change over time. Among other factors, the Governance Committee considers our strategy and needs, as well as our directors’ skills, expertise, experiences, gender, race, ethnicity, tenure and age. As part of the process, our Board assesses the skills and expertise of our current directors to then develop criteria for potential candidates to be additive and complementary to the overall composition of our Board. Specific director criteria evolve over time to reflect our strategic and business needs and the changing composition of our Board. Please see the section entitled “Board Processes and Policies—Board Evaluation” below for additional information on our Board’s self-assessment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214630</wp:posOffset>
            </wp:positionV>
            <wp:extent cx="2957195" cy="19113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957195" cy="191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83CEBD"/>
        </w:rPr>
        <w:t>Identify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-92075</wp:posOffset>
            </wp:positionV>
            <wp:extent cx="179705" cy="3854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79705" cy="385445"/>
                    </a:xfrm>
                    <a:prstGeom prst="rect">
                      <a:avLst/>
                    </a:prstGeom>
                    <a:noFill/>
                  </pic:spPr>
                </pic:pic>
              </a:graphicData>
            </a:graphic>
          </wp:anchor>
        </w:drawing>
      </w:r>
    </w:p>
    <w:p>
      <w:pPr>
        <w:spacing w:after="0" w:line="9" w:lineRule="exact"/>
        <w:rPr>
          <w:sz w:val="20"/>
          <w:szCs w:val="20"/>
          <w:color w:val="auto"/>
        </w:rPr>
      </w:pPr>
    </w:p>
    <w:p>
      <w:pPr>
        <w:ind w:left="420" w:right="360"/>
        <w:spacing w:after="0" w:line="258" w:lineRule="auto"/>
        <w:rPr>
          <w:sz w:val="20"/>
          <w:szCs w:val="20"/>
          <w:color w:val="auto"/>
        </w:rPr>
      </w:pPr>
      <w:r>
        <w:rPr>
          <w:rFonts w:ascii="Arial" w:cs="Arial" w:eastAsia="Arial" w:hAnsi="Arial"/>
          <w:sz w:val="13"/>
          <w:szCs w:val="13"/>
          <w:color w:val="auto"/>
        </w:rPr>
        <w:t>The Governance Committee is authorized to use any methods it deems appropriate for identifying candidates for membership on our Board of Directors, including considering recommendations from incumbent directors, management or stockholders and engaging the services of an outside search firm to identify suitable potential director candidates.</w:t>
      </w:r>
    </w:p>
    <w:p>
      <w:pPr>
        <w:spacing w:after="0" w:line="351"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567EA5"/>
        </w:rPr>
        <w:t>Evaluate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-92075</wp:posOffset>
            </wp:positionV>
            <wp:extent cx="171450" cy="5740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71450" cy="574040"/>
                    </a:xfrm>
                    <a:prstGeom prst="rect">
                      <a:avLst/>
                    </a:prstGeom>
                    <a:noFill/>
                  </pic:spPr>
                </pic:pic>
              </a:graphicData>
            </a:graphic>
          </wp:anchor>
        </w:drawing>
      </w:r>
    </w:p>
    <w:p>
      <w:pPr>
        <w:spacing w:after="0" w:line="9" w:lineRule="exact"/>
        <w:rPr>
          <w:sz w:val="20"/>
          <w:szCs w:val="20"/>
          <w:color w:val="auto"/>
        </w:rPr>
      </w:pPr>
    </w:p>
    <w:p>
      <w:pPr>
        <w:ind w:left="420"/>
        <w:spacing w:after="0" w:line="245" w:lineRule="auto"/>
        <w:rPr>
          <w:sz w:val="20"/>
          <w:szCs w:val="20"/>
          <w:color w:val="auto"/>
        </w:rPr>
      </w:pPr>
      <w:r>
        <w:rPr>
          <w:rFonts w:ascii="Arial" w:cs="Arial" w:eastAsia="Arial" w:hAnsi="Arial"/>
          <w:sz w:val="13"/>
          <w:szCs w:val="13"/>
          <w:color w:val="auto"/>
        </w:rPr>
        <w:t>The Governance Committee has established a process for evaluating director candidates that it follows regardless of who recommends a candidate for consideration. Through this process, the Governance Committee considers a candidate’s skills and experience and other available information regarding each candidate. For incumbent director candidates, this process includes consideration of the results of the annual Board and committee evaluations. See the section entitled “Board Processes and Policies—Board Evaluation” below. Following the evaluation, the Governance Committee recommends nominees to our Board.</w:t>
      </w:r>
    </w:p>
    <w:p>
      <w:pPr>
        <w:spacing w:after="0" w:line="359"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23628F"/>
        </w:rPr>
        <w:t>Nominate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-92075</wp:posOffset>
            </wp:positionV>
            <wp:extent cx="171450" cy="3683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71450" cy="368300"/>
                    </a:xfrm>
                    <a:prstGeom prst="rect">
                      <a:avLst/>
                    </a:prstGeom>
                    <a:noFill/>
                  </pic:spPr>
                </pic:pic>
              </a:graphicData>
            </a:graphic>
          </wp:anchor>
        </w:drawing>
      </w:r>
    </w:p>
    <w:p>
      <w:pPr>
        <w:spacing w:after="0" w:line="9" w:lineRule="exact"/>
        <w:rPr>
          <w:sz w:val="20"/>
          <w:szCs w:val="20"/>
          <w:color w:val="auto"/>
        </w:rPr>
      </w:pPr>
    </w:p>
    <w:p>
      <w:pPr>
        <w:ind w:left="420" w:right="160"/>
        <w:spacing w:after="0" w:line="258" w:lineRule="auto"/>
        <w:rPr>
          <w:sz w:val="20"/>
          <w:szCs w:val="20"/>
          <w:color w:val="auto"/>
        </w:rPr>
      </w:pPr>
      <w:r>
        <w:rPr>
          <w:rFonts w:ascii="Arial" w:cs="Arial" w:eastAsia="Arial" w:hAnsi="Arial"/>
          <w:sz w:val="13"/>
          <w:szCs w:val="13"/>
          <w:color w:val="auto"/>
        </w:rPr>
        <w:t>Our Board of Directors considers the Governance Committee’s recommended nominees, analyzes their independence and qualifications and selects nominees to be presented to our stockholders for election to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1234440" cy="685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34440" cy="6858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STOCKHOLDER NOMINATIONS AND RECOMMENDATIONS OF DIRECTOR CANDIDATES</w:t>
      </w:r>
    </w:p>
    <w:p>
      <w:pPr>
        <w:spacing w:after="0" w:line="252" w:lineRule="exact"/>
        <w:rPr>
          <w:sz w:val="20"/>
          <w:szCs w:val="20"/>
          <w:color w:val="auto"/>
        </w:rPr>
      </w:pPr>
    </w:p>
    <w:p>
      <w:pPr>
        <w:ind w:right="40"/>
        <w:spacing w:after="0" w:line="248" w:lineRule="auto"/>
        <w:rPr>
          <w:sz w:val="20"/>
          <w:szCs w:val="20"/>
          <w:color w:val="auto"/>
        </w:rPr>
      </w:pPr>
      <w:r>
        <w:rPr>
          <w:rFonts w:ascii="Arial" w:cs="Arial" w:eastAsia="Arial" w:hAnsi="Arial"/>
          <w:sz w:val="13"/>
          <w:szCs w:val="13"/>
          <w:color w:val="auto"/>
        </w:rPr>
        <w:t>The Governance Committee may receive recommendations for director candidates from our stockholders. Additionally, our stockholders may nominate director candidates for inclusion in our proxy materials pursuant to the proxy access right set forth in our By-laws or may nominate directors for election at future annual meetings of our stockholders pursuant to the advance notice provisions set forth in our By-laws, in each case as described further below.</w:t>
      </w:r>
    </w:p>
    <w:p>
      <w:pPr>
        <w:spacing w:after="0" w:line="194" w:lineRule="exact"/>
        <w:rPr>
          <w:sz w:val="20"/>
          <w:szCs w:val="20"/>
          <w:color w:val="auto"/>
        </w:rPr>
      </w:pPr>
    </w:p>
    <w:p>
      <w:pPr>
        <w:ind w:left="440" w:hanging="432"/>
        <w:spacing w:after="0"/>
        <w:tabs>
          <w:tab w:leader="none" w:pos="440" w:val="left"/>
        </w:tabs>
        <w:numPr>
          <w:ilvl w:val="0"/>
          <w:numId w:val="90"/>
        </w:numPr>
        <w:rPr>
          <w:rFonts w:ascii="Arial" w:cs="Arial" w:eastAsia="Arial" w:hAnsi="Arial"/>
          <w:sz w:val="18"/>
          <w:szCs w:val="18"/>
          <w:b w:val="1"/>
          <w:bCs w:val="1"/>
          <w:color w:val="23628F"/>
        </w:rPr>
      </w:pPr>
      <w:r>
        <w:rPr>
          <w:rFonts w:ascii="Arial" w:cs="Arial" w:eastAsia="Arial" w:hAnsi="Arial"/>
          <w:sz w:val="13"/>
          <w:szCs w:val="13"/>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153275"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ind w:left="8720"/>
        <w:spacing w:after="0"/>
        <w:rPr>
          <w:sz w:val="20"/>
          <w:szCs w:val="20"/>
          <w:color w:val="auto"/>
        </w:rPr>
      </w:pPr>
      <w:r>
        <w:rPr>
          <w:rFonts w:ascii="Arial" w:cs="Arial" w:eastAsia="Arial" w:hAnsi="Arial"/>
          <w:sz w:val="13"/>
          <w:szCs w:val="13"/>
          <w:color w:val="23628F"/>
        </w:rPr>
        <w:t>CORPORATE GOVERNANCE MATTERS</w:t>
      </w:r>
    </w:p>
    <w:p>
      <w:pPr>
        <w:spacing w:after="0" w:line="182" w:lineRule="exact"/>
        <w:rPr>
          <w:sz w:val="20"/>
          <w:szCs w:val="20"/>
          <w:color w:val="auto"/>
        </w:rPr>
      </w:pPr>
    </w:p>
    <w:p>
      <w:pPr>
        <w:spacing w:after="0"/>
        <w:rPr>
          <w:sz w:val="20"/>
          <w:szCs w:val="20"/>
          <w:color w:val="auto"/>
        </w:rPr>
      </w:pPr>
      <w:r>
        <w:rPr>
          <w:rFonts w:ascii="Arial" w:cs="Arial" w:eastAsia="Arial" w:hAnsi="Arial"/>
          <w:sz w:val="24"/>
          <w:szCs w:val="24"/>
          <w:b w:val="1"/>
          <w:bCs w:val="1"/>
          <w:color w:val="CC7300"/>
        </w:rPr>
        <w:t>Stockholder Recommendations of Director Candidates</w:t>
      </w:r>
    </w:p>
    <w:p>
      <w:pPr>
        <w:spacing w:after="0" w:line="257" w:lineRule="exact"/>
        <w:rPr>
          <w:sz w:val="20"/>
          <w:szCs w:val="20"/>
          <w:color w:val="auto"/>
        </w:rPr>
      </w:pPr>
    </w:p>
    <w:p>
      <w:pPr>
        <w:spacing w:after="0" w:line="241" w:lineRule="auto"/>
        <w:rPr>
          <w:sz w:val="20"/>
          <w:szCs w:val="20"/>
          <w:color w:val="auto"/>
        </w:rPr>
      </w:pPr>
      <w:r>
        <w:rPr>
          <w:rFonts w:ascii="Arial" w:cs="Arial" w:eastAsia="Arial" w:hAnsi="Arial"/>
          <w:sz w:val="13"/>
          <w:szCs w:val="13"/>
          <w:color w:val="auto"/>
        </w:rPr>
        <w:t>A stockholder may recommend a director candidate to the Governance Committee by delivering a written notice to our Secretary at our principal executive offices and including the following in the notice: the name and address of the stockholder as they appear on our books or other proof of share ownership; the class and number of shares of our common stock beneficially owned by the stockholder as of the date the stockholder gives written notice; a description of all arrangements or understandings between the stockholder and the director candidate and any other person(s) pursuant to which the recommendation or nomination is to be made by the stockholder; the name, age, business address and residence address of the director candidate and a description of the director candidate’s business experience for at least the previous five years; the principal occupation or employment of the director candidate; the class and number of shares of our common stock beneficially owned by the director candidate; the consent of the director candidate to serve as a member of our Board of Directors if appointed or elected; and any other information required to be disclosed with respect to a director nominee in solicitations for proxies for the election of directors pursuant to applicable rules of the SEC.</w:t>
      </w:r>
    </w:p>
    <w:p>
      <w:pPr>
        <w:spacing w:after="0" w:line="353" w:lineRule="exact"/>
        <w:rPr>
          <w:sz w:val="20"/>
          <w:szCs w:val="20"/>
          <w:color w:val="auto"/>
        </w:rPr>
      </w:pPr>
    </w:p>
    <w:p>
      <w:pPr>
        <w:jc w:val="both"/>
        <w:ind w:right="180"/>
        <w:spacing w:after="0" w:line="248" w:lineRule="auto"/>
        <w:rPr>
          <w:sz w:val="20"/>
          <w:szCs w:val="20"/>
          <w:color w:val="auto"/>
        </w:rPr>
      </w:pPr>
      <w:r>
        <w:rPr>
          <w:rFonts w:ascii="Arial" w:cs="Arial" w:eastAsia="Arial" w:hAnsi="Arial"/>
          <w:sz w:val="13"/>
          <w:szCs w:val="13"/>
          <w:color w:val="auto"/>
        </w:rPr>
        <w:t>The Governance Committee may require additional information as it deems reasonably required to determine the eligibility of the director candidate to serve as a member of our Board of Directors. Stockholders recommending candidates for consideration by our Board in connection with the next annual meeting of stockholders should submit their written recommendation no later than June 1 of the year of that meeting.</w:t>
      </w:r>
    </w:p>
    <w:p>
      <w:pPr>
        <w:spacing w:after="0" w:line="198" w:lineRule="exact"/>
        <w:rPr>
          <w:sz w:val="20"/>
          <w:szCs w:val="20"/>
          <w:color w:val="auto"/>
        </w:rPr>
      </w:pPr>
    </w:p>
    <w:p>
      <w:pPr>
        <w:ind w:right="200"/>
        <w:spacing w:after="0" w:line="248" w:lineRule="auto"/>
        <w:rPr>
          <w:sz w:val="20"/>
          <w:szCs w:val="20"/>
          <w:color w:val="auto"/>
        </w:rPr>
      </w:pPr>
      <w:r>
        <w:rPr>
          <w:rFonts w:ascii="Arial" w:cs="Arial" w:eastAsia="Arial" w:hAnsi="Arial"/>
          <w:sz w:val="13"/>
          <w:szCs w:val="13"/>
          <w:color w:val="auto"/>
        </w:rPr>
        <w:t>The Governance Committee will evaluate director candidates recommended by stockholders for election to our Board in the same manner and using the same criteria as it uses for any other director candidate. If the Governance Committee determines that a stockholder-recommended candidate is suitable for membership on our Board of Directors, it will include the candidate in the pool of candidates to be considered for nomination upon the occurrence of the next vacancy on our Board or in connection with the next annual meeting of stockholders.</w:t>
      </w:r>
    </w:p>
    <w:p>
      <w:pPr>
        <w:spacing w:after="0" w:line="165" w:lineRule="exact"/>
        <w:rPr>
          <w:sz w:val="20"/>
          <w:szCs w:val="20"/>
          <w:color w:val="auto"/>
        </w:rPr>
      </w:pPr>
    </w:p>
    <w:p>
      <w:pPr>
        <w:spacing w:after="0"/>
        <w:rPr>
          <w:sz w:val="20"/>
          <w:szCs w:val="20"/>
          <w:color w:val="auto"/>
        </w:rPr>
      </w:pPr>
      <w:r>
        <w:rPr>
          <w:rFonts w:ascii="Arial" w:cs="Arial" w:eastAsia="Arial" w:hAnsi="Arial"/>
          <w:sz w:val="24"/>
          <w:szCs w:val="24"/>
          <w:b w:val="1"/>
          <w:bCs w:val="1"/>
          <w:color w:val="CC7300"/>
        </w:rPr>
        <w:t>Proxy Access</w:t>
      </w:r>
    </w:p>
    <w:p>
      <w:pPr>
        <w:spacing w:after="0" w:line="257" w:lineRule="exact"/>
        <w:rPr>
          <w:sz w:val="20"/>
          <w:szCs w:val="20"/>
          <w:color w:val="auto"/>
        </w:rPr>
      </w:pPr>
    </w:p>
    <w:p>
      <w:pPr>
        <w:ind w:right="100"/>
        <w:spacing w:after="0" w:line="241" w:lineRule="auto"/>
        <w:rPr>
          <w:sz w:val="20"/>
          <w:szCs w:val="20"/>
          <w:color w:val="auto"/>
        </w:rPr>
      </w:pPr>
      <w:r>
        <w:rPr>
          <w:rFonts w:ascii="Arial" w:cs="Arial" w:eastAsia="Arial" w:hAnsi="Arial"/>
          <w:sz w:val="13"/>
          <w:szCs w:val="13"/>
          <w:color w:val="auto"/>
        </w:rPr>
        <w:t>Our By-laws provide for proxy access, a means for our stockholders to include stockholder-nominated director candidates in our proxy materials for annual meetings of stockholders. A stockholder, or group of not more than 20 stockholders (collectively, an “eligible stockholder”), meeting specified eligibility requirements is generally permitted to nominate the greater of: (i) two director nominees; and (ii) 20% of the number of directors on our Board. In order to be eligible to use the proxy access process, an eligible stockholder must, among other requirements, have owned 3% or more of our outstanding common stock continuously for at least three years and deliver written notice of the nomination to our Secretary in the manner described in Section 2.14 of our By-laws and within the time periods set forth in this Proxy Statement in the section entitled “Additional Information—General Information About the Annual Meeting—Submission of Stockholder Proposals and Director Nominations.” Use of the proxy access process to submit stockholder nominees is subject to additional eligibility, procedural and disclosure requirements set forth in Section 2.14 of our By-laws.</w:t>
      </w:r>
    </w:p>
    <w:p>
      <w:pPr>
        <w:spacing w:after="0" w:line="173" w:lineRule="exact"/>
        <w:rPr>
          <w:sz w:val="20"/>
          <w:szCs w:val="20"/>
          <w:color w:val="auto"/>
        </w:rPr>
      </w:pPr>
    </w:p>
    <w:tbl>
      <w:tblPr>
        <w:tblLayout w:type="fixed"/>
        <w:tblInd w:w="560" w:type="dxa"/>
        <w:tblCellMar>
          <w:top w:w="0" w:type="dxa"/>
          <w:left w:w="0" w:type="dxa"/>
          <w:bottom w:w="0" w:type="dxa"/>
          <w:right w:w="0" w:type="dxa"/>
        </w:tblCellMar>
      </w:tblPr>
      <w:tr>
        <w:trPr>
          <w:trHeight w:val="243"/>
        </w:trPr>
        <w:tc>
          <w:tcPr>
            <w:tcW w:w="5000" w:type="dxa"/>
            <w:vAlign w:val="bottom"/>
          </w:tcPr>
          <w:p>
            <w:pPr>
              <w:spacing w:after="0"/>
              <w:rPr>
                <w:sz w:val="20"/>
                <w:szCs w:val="20"/>
                <w:color w:val="auto"/>
              </w:rPr>
            </w:pPr>
            <w:r>
              <w:rPr>
                <w:rFonts w:ascii="Arial" w:cs="Arial" w:eastAsia="Arial" w:hAnsi="Arial"/>
                <w:sz w:val="13"/>
                <w:szCs w:val="13"/>
                <w:color w:val="auto"/>
              </w:rPr>
              <w:t xml:space="preserve">An individual or group of stockholders representing </w:t>
            </w:r>
            <w:r>
              <w:rPr>
                <w:rFonts w:ascii="Arial" w:cs="Arial" w:eastAsia="Arial" w:hAnsi="Arial"/>
                <w:sz w:val="21"/>
                <w:szCs w:val="21"/>
                <w:b w:val="1"/>
                <w:bCs w:val="1"/>
                <w:color w:val="23628F"/>
              </w:rPr>
              <w:t>3%</w:t>
            </w:r>
            <w:r>
              <w:rPr>
                <w:rFonts w:ascii="Arial" w:cs="Arial" w:eastAsia="Arial" w:hAnsi="Arial"/>
                <w:sz w:val="13"/>
                <w:szCs w:val="13"/>
                <w:color w:val="auto"/>
              </w:rPr>
              <w:t xml:space="preserve"> of outstanding</w:t>
            </w:r>
          </w:p>
        </w:tc>
        <w:tc>
          <w:tcPr>
            <w:tcW w:w="5160" w:type="dxa"/>
            <w:vAlign w:val="bottom"/>
          </w:tcPr>
          <w:p>
            <w:pPr>
              <w:ind w:left="740"/>
              <w:spacing w:after="0"/>
              <w:rPr>
                <w:sz w:val="20"/>
                <w:szCs w:val="20"/>
                <w:color w:val="auto"/>
              </w:rPr>
            </w:pPr>
            <w:r>
              <w:rPr>
                <w:rFonts w:ascii="Arial" w:cs="Arial" w:eastAsia="Arial" w:hAnsi="Arial"/>
                <w:sz w:val="13"/>
                <w:szCs w:val="13"/>
                <w:color w:val="auto"/>
              </w:rPr>
              <w:t xml:space="preserve">Has the ability to nominate the greater of </w:t>
            </w:r>
            <w:r>
              <w:rPr>
                <w:rFonts w:ascii="Arial" w:cs="Arial" w:eastAsia="Arial" w:hAnsi="Arial"/>
                <w:sz w:val="21"/>
                <w:szCs w:val="21"/>
                <w:b w:val="1"/>
                <w:bCs w:val="1"/>
                <w:color w:val="23628F"/>
              </w:rPr>
              <w:t>2 nominees</w:t>
            </w:r>
            <w:r>
              <w:rPr>
                <w:rFonts w:ascii="Arial" w:cs="Arial" w:eastAsia="Arial" w:hAnsi="Arial"/>
                <w:sz w:val="13"/>
                <w:szCs w:val="13"/>
                <w:color w:val="auto"/>
              </w:rPr>
              <w:t xml:space="preserve"> or </w:t>
            </w:r>
            <w:r>
              <w:rPr>
                <w:rFonts w:ascii="Arial" w:cs="Arial" w:eastAsia="Arial" w:hAnsi="Arial"/>
                <w:sz w:val="21"/>
                <w:szCs w:val="21"/>
                <w:b w:val="1"/>
                <w:bCs w:val="1"/>
                <w:color w:val="23628F"/>
              </w:rPr>
              <w:t>20%</w:t>
            </w:r>
            <w:r>
              <w:rPr>
                <w:rFonts w:ascii="Arial" w:cs="Arial" w:eastAsia="Arial" w:hAnsi="Arial"/>
                <w:sz w:val="13"/>
                <w:szCs w:val="13"/>
                <w:color w:val="auto"/>
              </w:rPr>
              <w:t xml:space="preserve"> of</w:t>
            </w:r>
          </w:p>
        </w:tc>
        <w:tc>
          <w:tcPr>
            <w:tcW w:w="0" w:type="dxa"/>
            <w:vAlign w:val="bottom"/>
          </w:tcPr>
          <w:p>
            <w:pPr>
              <w:spacing w:after="0"/>
              <w:rPr>
                <w:sz w:val="1"/>
                <w:szCs w:val="1"/>
                <w:color w:val="auto"/>
              </w:rPr>
            </w:pPr>
          </w:p>
        </w:tc>
      </w:tr>
      <w:tr>
        <w:trPr>
          <w:trHeight w:val="154"/>
        </w:trPr>
        <w:tc>
          <w:tcPr>
            <w:tcW w:w="5000" w:type="dxa"/>
            <w:vAlign w:val="bottom"/>
          </w:tcPr>
          <w:p>
            <w:pPr>
              <w:spacing w:after="0" w:line="154" w:lineRule="exact"/>
              <w:rPr>
                <w:sz w:val="20"/>
                <w:szCs w:val="20"/>
                <w:color w:val="auto"/>
              </w:rPr>
            </w:pPr>
            <w:r>
              <w:rPr>
                <w:rFonts w:ascii="Arial" w:cs="Arial" w:eastAsia="Arial" w:hAnsi="Arial"/>
                <w:sz w:val="11"/>
                <w:szCs w:val="11"/>
                <w:color w:val="auto"/>
              </w:rPr>
              <w:t xml:space="preserve">shares for </w:t>
            </w:r>
            <w:r>
              <w:rPr>
                <w:rFonts w:ascii="Arial" w:cs="Arial" w:eastAsia="Arial" w:hAnsi="Arial"/>
                <w:sz w:val="17"/>
                <w:szCs w:val="17"/>
                <w:b w:val="1"/>
                <w:bCs w:val="1"/>
                <w:color w:val="23628F"/>
              </w:rPr>
              <w:t>3 years</w:t>
            </w:r>
          </w:p>
        </w:tc>
        <w:tc>
          <w:tcPr>
            <w:tcW w:w="5160" w:type="dxa"/>
            <w:vAlign w:val="bottom"/>
            <w:vMerge w:val="restart"/>
          </w:tcPr>
          <w:p>
            <w:pPr>
              <w:ind w:left="740"/>
              <w:spacing w:after="0"/>
              <w:rPr>
                <w:sz w:val="20"/>
                <w:szCs w:val="20"/>
                <w:color w:val="auto"/>
              </w:rPr>
            </w:pPr>
            <w:r>
              <w:rPr>
                <w:rFonts w:ascii="Arial" w:cs="Arial" w:eastAsia="Arial" w:hAnsi="Arial"/>
                <w:sz w:val="13"/>
                <w:szCs w:val="13"/>
                <w:color w:val="auto"/>
              </w:rPr>
              <w:t>directors</w:t>
            </w:r>
          </w:p>
        </w:tc>
        <w:tc>
          <w:tcPr>
            <w:tcW w:w="0" w:type="dxa"/>
            <w:vAlign w:val="bottom"/>
          </w:tcPr>
          <w:p>
            <w:pPr>
              <w:spacing w:after="0"/>
              <w:rPr>
                <w:sz w:val="1"/>
                <w:szCs w:val="1"/>
                <w:color w:val="auto"/>
              </w:rPr>
            </w:pPr>
          </w:p>
        </w:tc>
      </w:tr>
      <w:tr>
        <w:trPr>
          <w:trHeight w:val="40"/>
        </w:trPr>
        <w:tc>
          <w:tcPr>
            <w:tcW w:w="5000" w:type="dxa"/>
            <w:vAlign w:val="bottom"/>
          </w:tcPr>
          <w:p>
            <w:pPr>
              <w:spacing w:after="0"/>
              <w:rPr>
                <w:sz w:val="3"/>
                <w:szCs w:val="3"/>
                <w:color w:val="auto"/>
              </w:rPr>
            </w:pPr>
          </w:p>
        </w:tc>
        <w:tc>
          <w:tcPr>
            <w:tcW w:w="51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240030" cy="2400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-213360</wp:posOffset>
            </wp:positionV>
            <wp:extent cx="660400" cy="2146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60400" cy="214630"/>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Arial" w:cs="Arial" w:eastAsia="Arial" w:hAnsi="Arial"/>
          <w:sz w:val="24"/>
          <w:szCs w:val="24"/>
          <w:b w:val="1"/>
          <w:bCs w:val="1"/>
          <w:color w:val="CC7300"/>
        </w:rPr>
        <w:t>Other Director Nominations</w:t>
      </w:r>
    </w:p>
    <w:p>
      <w:pPr>
        <w:spacing w:after="0" w:line="257" w:lineRule="exact"/>
        <w:rPr>
          <w:sz w:val="20"/>
          <w:szCs w:val="20"/>
          <w:color w:val="auto"/>
        </w:rPr>
      </w:pPr>
    </w:p>
    <w:p>
      <w:pPr>
        <w:ind w:right="20"/>
        <w:spacing w:after="0" w:line="243" w:lineRule="auto"/>
        <w:rPr>
          <w:sz w:val="20"/>
          <w:szCs w:val="20"/>
          <w:color w:val="auto"/>
        </w:rPr>
      </w:pPr>
      <w:r>
        <w:rPr>
          <w:rFonts w:ascii="Arial" w:cs="Arial" w:eastAsia="Arial" w:hAnsi="Arial"/>
          <w:sz w:val="13"/>
          <w:szCs w:val="13"/>
          <w:color w:val="auto"/>
        </w:rPr>
        <w:t>Stockholders who wish to nominate a person for election as a director in connection with an annual meeting of stockholders (as opposed to making a recommendation to the Governance Committee as described above) and who do not intend for the nomination to be included in our proxy materials pursuant to the proxy access process described above must comply with the advance notice requirement set forth in our By-laws. Pursuant to this advance notice requirement, a stockholder must deliver written notice of the nomination to our Secretary in the manner described in Section 2.11 of our By-laws and within the time periods set forth in this Proxy Statement in the section entitled “Additional Information—General Information About the Annual Meeting—Submission of Stockholder Proposals and Director Nominations.”</w:t>
      </w:r>
    </w:p>
    <w:p>
      <w:pPr>
        <w:spacing w:after="0" w:line="18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23628F"/>
        </w:rPr>
        <w:t>2020 PROXY STATEMENT</w:t>
      </w:r>
      <w:r>
        <w:rPr>
          <w:sz w:val="20"/>
          <w:szCs w:val="20"/>
          <w:color w:val="auto"/>
        </w:rPr>
        <w:tab/>
      </w:r>
      <w:r>
        <w:rPr>
          <w:rFonts w:ascii="Arial" w:cs="Arial" w:eastAsia="Arial" w:hAnsi="Arial"/>
          <w:sz w:val="16"/>
          <w:szCs w:val="16"/>
          <w:b w:val="1"/>
          <w:bCs w:val="1"/>
          <w:color w:val="23628F"/>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153275"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23628F"/>
        </w:rPr>
        <w:t>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234440" cy="685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34440" cy="68580"/>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BOARD REFRESHMENT</w:t>
      </w:r>
    </w:p>
    <w:p>
      <w:pPr>
        <w:spacing w:after="0" w:line="252" w:lineRule="exact"/>
        <w:rPr>
          <w:sz w:val="20"/>
          <w:szCs w:val="20"/>
          <w:color w:val="auto"/>
        </w:rPr>
      </w:pPr>
    </w:p>
    <w:p>
      <w:pPr>
        <w:ind w:right="120"/>
        <w:spacing w:after="0" w:line="242" w:lineRule="auto"/>
        <w:rPr>
          <w:sz w:val="20"/>
          <w:szCs w:val="20"/>
          <w:color w:val="auto"/>
        </w:rPr>
      </w:pPr>
      <w:r>
        <w:rPr>
          <w:rFonts w:ascii="Arial" w:cs="Arial" w:eastAsia="Arial" w:hAnsi="Arial"/>
          <w:sz w:val="13"/>
          <w:szCs w:val="13"/>
          <w:color w:val="auto"/>
        </w:rPr>
        <w:t>Our Board of Directors believes that periodic Board refreshment can provide new experiences and fresh perspectives to our Board and is most effective if it is sufficiently balanced to maintain continuity among Board members that will allow for the sharing of historical perspectives and experiences relevant to our company. Our Board seeks to achieve this balance through its director succession planning process and director retirement policy described below. Our Board also utilizes the annual Board and individual director assessment process discussed below under “Board Processes and Policies—Board Evaluation” to help inform its assessment of our Board’s composition and Board refreshment needs. In keeping with our commitment to Board refreshment, we have currently engaged an executive search firm to assist us in identifying and evaluating potential independent director nominees to join our Board of Directors.</w:t>
      </w:r>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b w:val="1"/>
          <w:bCs w:val="1"/>
          <w:color w:val="CC7300"/>
        </w:rPr>
        <w:t>Succession Planning</w:t>
      </w:r>
    </w:p>
    <w:p>
      <w:pPr>
        <w:spacing w:after="0" w:line="257" w:lineRule="exact"/>
        <w:rPr>
          <w:sz w:val="20"/>
          <w:szCs w:val="20"/>
          <w:color w:val="auto"/>
        </w:rPr>
      </w:pPr>
    </w:p>
    <w:p>
      <w:pPr>
        <w:ind w:right="80"/>
        <w:spacing w:after="0" w:line="243" w:lineRule="auto"/>
        <w:rPr>
          <w:sz w:val="20"/>
          <w:szCs w:val="20"/>
          <w:color w:val="auto"/>
        </w:rPr>
      </w:pPr>
      <w:r>
        <w:rPr>
          <w:rFonts w:ascii="Arial" w:cs="Arial" w:eastAsia="Arial" w:hAnsi="Arial"/>
          <w:sz w:val="13"/>
          <w:szCs w:val="13"/>
          <w:color w:val="auto"/>
        </w:rPr>
        <w:t>Our Board of Directors is focused on ensuring that it has members with diverse skills, expertise, experience, tenure, age and backgrounds, including gender, race and ethnicity, because a broad range of perspectives is critical to effective corporate governance and overseeing the execution of our strategy. The Governance Committee has developed a long-range succession plan to identify and recruit new directors, and our Board has appointed five new directors in the past three years, including the reappointment of Ms. Price, who previously served on our Board from July 2014 to February 2019. The Governance Committee also plans for the orderly succession of the Chairs of our Board’s committees, providing for their identification and development and the transition of responsibilities.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23628F"/>
        </w:rPr>
        <w:t>PASSING OF LEN J. LAUER</w:t>
      </w:r>
    </w:p>
    <w:p>
      <w:pPr>
        <w:spacing w:after="0" w:line="230" w:lineRule="exact"/>
        <w:rPr>
          <w:sz w:val="20"/>
          <w:szCs w:val="20"/>
          <w:color w:val="auto"/>
        </w:rPr>
      </w:pPr>
    </w:p>
    <w:p>
      <w:pPr>
        <w:ind w:right="20"/>
        <w:spacing w:after="0" w:line="245" w:lineRule="auto"/>
        <w:rPr>
          <w:sz w:val="20"/>
          <w:szCs w:val="20"/>
          <w:color w:val="auto"/>
        </w:rPr>
      </w:pPr>
      <w:r>
        <w:rPr>
          <w:rFonts w:ascii="Arial" w:cs="Arial" w:eastAsia="Arial" w:hAnsi="Arial"/>
          <w:sz w:val="13"/>
          <w:szCs w:val="13"/>
          <w:color w:val="auto"/>
        </w:rPr>
        <w:t>Our former Lead Independent Director, Mr. Lauer, unexpectedly passed away in April 2020. Mr. Lauer also served as the Compensation and Talent Committee Chair and Governance Committee Chair. Aided by our succession planning process, our Board of Directors acted quickly to determine appropriate successors for Mr. Lauer’s leadership roles after evaluating the skills and experience of its members. Our Board appointed Ms. Cote as Lead Independent Director, Mr. Cole as Chair of the Compensation and Talent Committee and Ms. Streeter as Chair of the Governance Committee. In addition, Ms. Alexy was appointed to replace Mr. Cole as a member of the Governance Committee.</w:t>
      </w:r>
    </w:p>
    <w:p>
      <w:pPr>
        <w:spacing w:after="0" w:line="200" w:lineRule="exact"/>
        <w:rPr>
          <w:sz w:val="20"/>
          <w:szCs w:val="20"/>
          <w:color w:val="auto"/>
        </w:rPr>
      </w:pPr>
    </w:p>
    <w:p>
      <w:pPr>
        <w:ind w:right="120"/>
        <w:spacing w:after="0" w:line="242" w:lineRule="auto"/>
        <w:rPr>
          <w:sz w:val="20"/>
          <w:szCs w:val="20"/>
          <w:color w:val="auto"/>
        </w:rPr>
      </w:pPr>
      <w:r>
        <w:rPr>
          <w:rFonts w:ascii="Arial" w:cs="Arial" w:eastAsia="Arial" w:hAnsi="Arial"/>
          <w:sz w:val="13"/>
          <w:szCs w:val="13"/>
          <w:color w:val="auto"/>
        </w:rPr>
        <w:t>Ms. Cote’s deep executive experience, expertise in corporate governance and public company oversight and almost 20 years of service on our Board positions her well for our Lead Independent Director role. Mr. Cole’s experience setting and overseeing executive compensation in his prior roles as a chief executive officer and as a board member and compensation committee member at other public companies, as well as his understanding of our company and strategy from his six years of service on our Board, makes him well-qualified to serve as our Compensation and Talent Committee Chair. Ms. Streeter chaired the CEO Search Committee, leading the comprehensive process that resulted in the hiring of Mr. Goeckeler in March 2020. Her service on several public company boards and governance committees provide her corporate governance expertise, which, combined with her service on the Governance Committee for the past two years, makes her well qualified to serve as our Chair of the Governance Committee.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23628F"/>
        </w:rPr>
        <w:t>APPOINTMENT OF PAULA A. PRICE</w:t>
      </w:r>
    </w:p>
    <w:p>
      <w:pPr>
        <w:spacing w:after="0" w:line="230" w:lineRule="exact"/>
        <w:rPr>
          <w:sz w:val="20"/>
          <w:szCs w:val="20"/>
          <w:color w:val="auto"/>
        </w:rPr>
      </w:pPr>
    </w:p>
    <w:p>
      <w:pPr>
        <w:spacing w:after="0" w:line="245" w:lineRule="auto"/>
        <w:rPr>
          <w:sz w:val="20"/>
          <w:szCs w:val="20"/>
          <w:color w:val="auto"/>
        </w:rPr>
      </w:pPr>
      <w:r>
        <w:rPr>
          <w:rFonts w:ascii="Arial" w:cs="Arial" w:eastAsia="Arial" w:hAnsi="Arial"/>
          <w:sz w:val="13"/>
          <w:szCs w:val="13"/>
          <w:color w:val="auto"/>
        </w:rPr>
        <w:t>Ms. Price rejoined our Board of Directors in June 2020 and was appointed as a member of the Audit Committee. Ms. Price previously served on our Board from July 2014 to February 2019. Ms. Price brings more than 30 years of financial and operational experience from her service for some of the world’s most prominent retail brands. Ms. Price originally stepped down from our Board due to increased commitments as the chief financial officer of Macy’s, Inc. Now that she has transitioned out of that role, she returns to our Board with additional retail knowledge and experience, which is highly beneficial to us as retail is an important aspect of our overall strategy.</w:t>
      </w:r>
    </w:p>
    <w:p>
      <w:pPr>
        <w:spacing w:after="0" w:line="166" w:lineRule="exact"/>
        <w:rPr>
          <w:sz w:val="20"/>
          <w:szCs w:val="20"/>
          <w:color w:val="auto"/>
        </w:rPr>
      </w:pPr>
    </w:p>
    <w:p>
      <w:pPr>
        <w:spacing w:after="0"/>
        <w:rPr>
          <w:sz w:val="20"/>
          <w:szCs w:val="20"/>
          <w:color w:val="auto"/>
        </w:rPr>
      </w:pPr>
      <w:r>
        <w:rPr>
          <w:rFonts w:ascii="Arial" w:cs="Arial" w:eastAsia="Arial" w:hAnsi="Arial"/>
          <w:sz w:val="24"/>
          <w:szCs w:val="24"/>
          <w:b w:val="1"/>
          <w:bCs w:val="1"/>
          <w:color w:val="CC7300"/>
        </w:rPr>
        <w:t>Retirement Policy</w:t>
      </w:r>
    </w:p>
    <w:p>
      <w:pPr>
        <w:spacing w:after="0" w:line="257" w:lineRule="exact"/>
        <w:rPr>
          <w:sz w:val="20"/>
          <w:szCs w:val="20"/>
          <w:color w:val="auto"/>
        </w:rPr>
      </w:pPr>
    </w:p>
    <w:p>
      <w:pPr>
        <w:ind w:right="180"/>
        <w:spacing w:after="0" w:line="258" w:lineRule="auto"/>
        <w:rPr>
          <w:sz w:val="20"/>
          <w:szCs w:val="20"/>
          <w:color w:val="auto"/>
        </w:rPr>
      </w:pPr>
      <w:r>
        <w:rPr>
          <w:rFonts w:ascii="Arial" w:cs="Arial" w:eastAsia="Arial" w:hAnsi="Arial"/>
          <w:sz w:val="13"/>
          <w:szCs w:val="13"/>
          <w:color w:val="auto"/>
        </w:rPr>
        <w:t>To help facilitate the periodic refreshment of our Board of Directors, our Corporate Governance Guidelines provide that no director shall be nominated for re-election after the director has reached the age of 72, unless our Board determines in a particular instance that longer tenure is in the best interests of our company and our stockholders.</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color w:val="auto"/>
        </w:rPr>
        <w:t>In accordance with our retirement policy, Ms. Cote will reach retirement age in 2021.</w:t>
      </w:r>
    </w:p>
    <w:p>
      <w:pPr>
        <w:spacing w:after="0" w:line="211" w:lineRule="exact"/>
        <w:rPr>
          <w:sz w:val="20"/>
          <w:szCs w:val="20"/>
          <w:color w:val="auto"/>
        </w:rPr>
      </w:pPr>
    </w:p>
    <w:p>
      <w:pPr>
        <w:ind w:left="440" w:hanging="432"/>
        <w:spacing w:after="0"/>
        <w:tabs>
          <w:tab w:leader="none" w:pos="440" w:val="left"/>
        </w:tabs>
        <w:numPr>
          <w:ilvl w:val="0"/>
          <w:numId w:val="91"/>
        </w:numPr>
        <w:rPr>
          <w:rFonts w:ascii="Arial" w:cs="Arial" w:eastAsia="Arial" w:hAnsi="Arial"/>
          <w:sz w:val="18"/>
          <w:szCs w:val="18"/>
          <w:b w:val="1"/>
          <w:bCs w:val="1"/>
          <w:color w:val="23628F"/>
        </w:rPr>
      </w:pPr>
      <w:r>
        <w:rPr>
          <w:rFonts w:ascii="Arial" w:cs="Arial" w:eastAsia="Arial" w:hAnsi="Arial"/>
          <w:sz w:val="13"/>
          <w:szCs w:val="13"/>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153275"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right"/>
        <w:spacing w:after="0"/>
        <w:rPr>
          <w:sz w:val="20"/>
          <w:szCs w:val="20"/>
          <w:color w:val="auto"/>
        </w:rPr>
      </w:pPr>
      <w:r>
        <w:rPr>
          <w:rFonts w:ascii="Arial" w:cs="Arial" w:eastAsia="Arial" w:hAnsi="Arial"/>
          <w:sz w:val="13"/>
          <w:szCs w:val="13"/>
          <w:color w:val="23628F"/>
        </w:rPr>
        <w:t>CORPORATE GOVERNANCE MATTER</w:t>
      </w:r>
    </w:p>
    <w:p>
      <w:pPr>
        <w:spacing w:after="0" w:line="184" w:lineRule="exact"/>
        <w:rPr>
          <w:sz w:val="20"/>
          <w:szCs w:val="20"/>
          <w:color w:val="auto"/>
        </w:rPr>
      </w:pPr>
    </w:p>
    <w:p>
      <w:pPr>
        <w:spacing w:after="0"/>
        <w:rPr>
          <w:sz w:val="20"/>
          <w:szCs w:val="20"/>
          <w:color w:val="auto"/>
        </w:rPr>
      </w:pPr>
      <w:r>
        <w:rPr>
          <w:rFonts w:ascii="Arial" w:cs="Arial" w:eastAsia="Arial" w:hAnsi="Arial"/>
          <w:sz w:val="31"/>
          <w:szCs w:val="31"/>
          <w:b w:val="1"/>
          <w:bCs w:val="1"/>
          <w:color w:val="567EA5"/>
        </w:rPr>
        <w:t>BOARD’S ROLE AND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1234440" cy="685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34440" cy="68580"/>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STOCKHOLDER ENGAGEMENT</w:t>
      </w:r>
    </w:p>
    <w:p>
      <w:pPr>
        <w:spacing w:after="0" w:line="252" w:lineRule="exact"/>
        <w:rPr>
          <w:sz w:val="20"/>
          <w:szCs w:val="20"/>
          <w:color w:val="auto"/>
        </w:rPr>
      </w:pPr>
    </w:p>
    <w:p>
      <w:pPr>
        <w:ind w:right="880"/>
        <w:spacing w:after="0" w:line="258" w:lineRule="auto"/>
        <w:rPr>
          <w:sz w:val="20"/>
          <w:szCs w:val="20"/>
          <w:color w:val="auto"/>
        </w:rPr>
      </w:pPr>
      <w:r>
        <w:rPr>
          <w:rFonts w:ascii="Arial" w:cs="Arial" w:eastAsia="Arial" w:hAnsi="Arial"/>
          <w:sz w:val="13"/>
          <w:szCs w:val="13"/>
          <w:color w:val="auto"/>
        </w:rPr>
        <w:t>Our Board of Directors and management are committed to regular engagement with our stockholders and soliciting their views and input on important performance, executive compensation, governance, environmental, social, human capital management and other matters.</w:t>
      </w:r>
    </w:p>
    <w:p>
      <w:pPr>
        <w:spacing w:after="0" w:line="176" w:lineRule="exact"/>
        <w:rPr>
          <w:sz w:val="20"/>
          <w:szCs w:val="20"/>
          <w:color w:val="auto"/>
        </w:rPr>
      </w:pPr>
    </w:p>
    <w:p>
      <w:pPr>
        <w:ind w:left="240" w:right="360" w:hanging="232"/>
        <w:spacing w:after="0" w:line="284" w:lineRule="auto"/>
        <w:tabs>
          <w:tab w:leader="none" w:pos="240" w:val="left"/>
        </w:tabs>
        <w:numPr>
          <w:ilvl w:val="0"/>
          <w:numId w:val="92"/>
        </w:numPr>
        <w:rPr>
          <w:rFonts w:ascii="Arial" w:cs="Arial" w:eastAsia="Arial" w:hAnsi="Arial"/>
          <w:sz w:val="13"/>
          <w:szCs w:val="13"/>
          <w:color w:val="61C4AF"/>
        </w:rPr>
      </w:pPr>
      <w:r>
        <w:rPr>
          <w:rFonts w:ascii="Arial" w:cs="Arial" w:eastAsia="Arial" w:hAnsi="Arial"/>
          <w:sz w:val="13"/>
          <w:szCs w:val="13"/>
          <w:b w:val="1"/>
          <w:bCs w:val="1"/>
          <w:color w:val="61C4AF"/>
        </w:rPr>
        <w:t xml:space="preserve">Board-Driven Engagement. </w:t>
      </w:r>
      <w:r>
        <w:rPr>
          <w:rFonts w:ascii="Arial" w:cs="Arial" w:eastAsia="Arial" w:hAnsi="Arial"/>
          <w:sz w:val="13"/>
          <w:szCs w:val="13"/>
          <w:color w:val="000000"/>
        </w:rPr>
        <w:t>In addition to the Governance Committee’s oversight of the stockholder engagement process and the periodic review and assessment of stockholder</w:t>
      </w:r>
      <w:r>
        <w:rPr>
          <w:rFonts w:ascii="Arial" w:cs="Arial" w:eastAsia="Arial" w:hAnsi="Arial"/>
          <w:sz w:val="13"/>
          <w:szCs w:val="13"/>
          <w:b w:val="1"/>
          <w:bCs w:val="1"/>
          <w:color w:val="61C4AF"/>
        </w:rPr>
        <w:t xml:space="preserve"> </w:t>
      </w:r>
      <w:r>
        <w:rPr>
          <w:rFonts w:ascii="Arial" w:cs="Arial" w:eastAsia="Arial" w:hAnsi="Arial"/>
          <w:sz w:val="13"/>
          <w:szCs w:val="13"/>
          <w:color w:val="000000"/>
        </w:rPr>
        <w:t>input, our directors also engage directly with our stockholders by periodically participating in stockholder outreach, as appropriate.</w:t>
      </w:r>
    </w:p>
    <w:p>
      <w:pPr>
        <w:spacing w:after="0" w:line="10" w:lineRule="exact"/>
        <w:rPr>
          <w:rFonts w:ascii="Arial" w:cs="Arial" w:eastAsia="Arial" w:hAnsi="Arial"/>
          <w:sz w:val="13"/>
          <w:szCs w:val="13"/>
          <w:color w:val="61C4AF"/>
        </w:rPr>
      </w:pPr>
    </w:p>
    <w:p>
      <w:pPr>
        <w:ind w:left="240" w:right="80" w:hanging="232"/>
        <w:spacing w:after="0" w:line="284" w:lineRule="auto"/>
        <w:tabs>
          <w:tab w:leader="none" w:pos="240" w:val="left"/>
        </w:tabs>
        <w:numPr>
          <w:ilvl w:val="0"/>
          <w:numId w:val="92"/>
        </w:numPr>
        <w:rPr>
          <w:rFonts w:ascii="Arial" w:cs="Arial" w:eastAsia="Arial" w:hAnsi="Arial"/>
          <w:sz w:val="13"/>
          <w:szCs w:val="13"/>
          <w:color w:val="61C4AF"/>
        </w:rPr>
      </w:pPr>
      <w:r>
        <w:rPr>
          <w:rFonts w:ascii="Arial" w:cs="Arial" w:eastAsia="Arial" w:hAnsi="Arial"/>
          <w:sz w:val="13"/>
          <w:szCs w:val="13"/>
          <w:b w:val="1"/>
          <w:bCs w:val="1"/>
          <w:color w:val="61C4AF"/>
        </w:rPr>
        <w:t xml:space="preserve">Year-Round Engagement and Board Reporting. </w:t>
      </w:r>
      <w:r>
        <w:rPr>
          <w:rFonts w:ascii="Arial" w:cs="Arial" w:eastAsia="Arial" w:hAnsi="Arial"/>
          <w:sz w:val="13"/>
          <w:szCs w:val="13"/>
          <w:color w:val="000000"/>
        </w:rPr>
        <w:t>Our executive management members and directors, together with our investor relations and legal teams, conduct outreach to</w:t>
      </w:r>
      <w:r>
        <w:rPr>
          <w:rFonts w:ascii="Arial" w:cs="Arial" w:eastAsia="Arial" w:hAnsi="Arial"/>
          <w:sz w:val="13"/>
          <w:szCs w:val="13"/>
          <w:b w:val="1"/>
          <w:bCs w:val="1"/>
          <w:color w:val="61C4AF"/>
        </w:rPr>
        <w:t xml:space="preserve"> </w:t>
      </w:r>
      <w:r>
        <w:rPr>
          <w:rFonts w:ascii="Arial" w:cs="Arial" w:eastAsia="Arial" w:hAnsi="Arial"/>
          <w:sz w:val="13"/>
          <w:szCs w:val="13"/>
          <w:color w:val="000000"/>
        </w:rPr>
        <w:t>stockholders throughout the year to obtain their input on key matters and keep our management and Board informed about the issues that our stockholders tell us matter most to them.</w:t>
      </w:r>
    </w:p>
    <w:p>
      <w:pPr>
        <w:spacing w:after="0" w:line="10" w:lineRule="exact"/>
        <w:rPr>
          <w:rFonts w:ascii="Arial" w:cs="Arial" w:eastAsia="Arial" w:hAnsi="Arial"/>
          <w:sz w:val="13"/>
          <w:szCs w:val="13"/>
          <w:color w:val="61C4AF"/>
        </w:rPr>
      </w:pPr>
    </w:p>
    <w:p>
      <w:pPr>
        <w:ind w:left="240" w:hanging="232"/>
        <w:spacing w:after="0" w:line="253" w:lineRule="auto"/>
        <w:tabs>
          <w:tab w:leader="none" w:pos="240" w:val="left"/>
        </w:tabs>
        <w:numPr>
          <w:ilvl w:val="0"/>
          <w:numId w:val="92"/>
        </w:numPr>
        <w:rPr>
          <w:rFonts w:ascii="Arial" w:cs="Arial" w:eastAsia="Arial" w:hAnsi="Arial"/>
          <w:sz w:val="13"/>
          <w:szCs w:val="13"/>
          <w:color w:val="61C4AF"/>
        </w:rPr>
      </w:pPr>
      <w:r>
        <w:rPr>
          <w:rFonts w:ascii="Arial" w:cs="Arial" w:eastAsia="Arial" w:hAnsi="Arial"/>
          <w:sz w:val="13"/>
          <w:szCs w:val="13"/>
          <w:b w:val="1"/>
          <w:bCs w:val="1"/>
          <w:color w:val="61C4AF"/>
        </w:rPr>
        <w:t xml:space="preserve">Transparency and Informed Compensation Decisions and Governance Enhancements. </w:t>
      </w:r>
      <w:r>
        <w:rPr>
          <w:rFonts w:ascii="Arial" w:cs="Arial" w:eastAsia="Arial" w:hAnsi="Arial"/>
          <w:sz w:val="13"/>
          <w:szCs w:val="13"/>
          <w:color w:val="000000"/>
        </w:rPr>
        <w:t>The Compensation and Talent and Governance Committees routinely review our executive</w:t>
      </w:r>
      <w:r>
        <w:rPr>
          <w:rFonts w:ascii="Arial" w:cs="Arial" w:eastAsia="Arial" w:hAnsi="Arial"/>
          <w:sz w:val="13"/>
          <w:szCs w:val="13"/>
          <w:b w:val="1"/>
          <w:bCs w:val="1"/>
          <w:color w:val="61C4AF"/>
        </w:rPr>
        <w:t xml:space="preserve"> </w:t>
      </w:r>
      <w:r>
        <w:rPr>
          <w:rFonts w:ascii="Arial" w:cs="Arial" w:eastAsia="Arial" w:hAnsi="Arial"/>
          <w:sz w:val="13"/>
          <w:szCs w:val="13"/>
          <w:color w:val="000000"/>
        </w:rPr>
        <w:t>compensation design and governance practices and policies, respectively, with an eye towards continual improvement and enhancements. Stockholder input is regularly shared with our Board, its committees and management, facilitating a dialogue that provides stockholders with transparency into our executive compensation design and governance practices and considerations, and informs our company’s enhancement of those practices.</w:t>
      </w:r>
    </w:p>
    <w:p>
      <w:pPr>
        <w:spacing w:after="0" w:line="162"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2020 Stockholder Engagement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634"/>
        </w:trPr>
        <w:tc>
          <w:tcPr>
            <w:tcW w:w="2700" w:type="dxa"/>
            <w:vAlign w:val="bottom"/>
            <w:shd w:val="clear" w:color="auto" w:fill="53778D"/>
          </w:tcPr>
          <w:p>
            <w:pPr>
              <w:ind w:left="1240"/>
              <w:spacing w:after="0"/>
              <w:rPr>
                <w:sz w:val="20"/>
                <w:szCs w:val="20"/>
                <w:color w:val="auto"/>
              </w:rPr>
            </w:pPr>
            <w:r>
              <w:rPr>
                <w:rFonts w:ascii="Arial" w:cs="Arial" w:eastAsia="Arial" w:hAnsi="Arial"/>
                <w:sz w:val="13"/>
                <w:szCs w:val="13"/>
                <w:b w:val="1"/>
                <w:bCs w:val="1"/>
                <w:color w:val="FFFFFF"/>
              </w:rPr>
              <w:t>Fall</w:t>
            </w:r>
          </w:p>
        </w:tc>
        <w:tc>
          <w:tcPr>
            <w:tcW w:w="260" w:type="dxa"/>
            <w:vAlign w:val="bottom"/>
          </w:tcPr>
          <w:p>
            <w:pPr>
              <w:spacing w:after="0"/>
              <w:rPr>
                <w:sz w:val="24"/>
                <w:szCs w:val="24"/>
                <w:color w:val="auto"/>
              </w:rPr>
            </w:pPr>
          </w:p>
        </w:tc>
        <w:tc>
          <w:tcPr>
            <w:tcW w:w="2580" w:type="dxa"/>
            <w:vAlign w:val="bottom"/>
            <w:shd w:val="clear" w:color="auto" w:fill="6EAFA7"/>
          </w:tcPr>
          <w:p>
            <w:pPr>
              <w:ind w:left="1080"/>
              <w:spacing w:after="0"/>
              <w:rPr>
                <w:sz w:val="20"/>
                <w:szCs w:val="20"/>
                <w:color w:val="auto"/>
              </w:rPr>
            </w:pPr>
            <w:r>
              <w:rPr>
                <w:rFonts w:ascii="Arial" w:cs="Arial" w:eastAsia="Arial" w:hAnsi="Arial"/>
                <w:sz w:val="13"/>
                <w:szCs w:val="13"/>
                <w:b w:val="1"/>
                <w:bCs w:val="1"/>
                <w:color w:val="FFFFFF"/>
              </w:rPr>
              <w:t>Winter</w:t>
            </w:r>
          </w:p>
        </w:tc>
        <w:tc>
          <w:tcPr>
            <w:tcW w:w="220" w:type="dxa"/>
            <w:vAlign w:val="bottom"/>
          </w:tcPr>
          <w:p>
            <w:pPr>
              <w:spacing w:after="0"/>
              <w:rPr>
                <w:sz w:val="24"/>
                <w:szCs w:val="24"/>
                <w:color w:val="auto"/>
              </w:rPr>
            </w:pPr>
          </w:p>
        </w:tc>
        <w:tc>
          <w:tcPr>
            <w:tcW w:w="2580" w:type="dxa"/>
            <w:vAlign w:val="bottom"/>
            <w:shd w:val="clear" w:color="auto" w:fill="64C2AF"/>
          </w:tcPr>
          <w:p>
            <w:pPr>
              <w:ind w:left="1080"/>
              <w:spacing w:after="0"/>
              <w:rPr>
                <w:sz w:val="20"/>
                <w:szCs w:val="20"/>
                <w:color w:val="auto"/>
              </w:rPr>
            </w:pPr>
            <w:r>
              <w:rPr>
                <w:rFonts w:ascii="Arial" w:cs="Arial" w:eastAsia="Arial" w:hAnsi="Arial"/>
                <w:sz w:val="13"/>
                <w:szCs w:val="13"/>
                <w:b w:val="1"/>
                <w:bCs w:val="1"/>
                <w:color w:val="FFFFFF"/>
              </w:rPr>
              <w:t>Spring</w:t>
            </w:r>
          </w:p>
        </w:tc>
        <w:tc>
          <w:tcPr>
            <w:tcW w:w="220" w:type="dxa"/>
            <w:vAlign w:val="bottom"/>
          </w:tcPr>
          <w:p>
            <w:pPr>
              <w:spacing w:after="0"/>
              <w:rPr>
                <w:sz w:val="24"/>
                <w:szCs w:val="24"/>
                <w:color w:val="auto"/>
              </w:rPr>
            </w:pPr>
          </w:p>
        </w:tc>
        <w:tc>
          <w:tcPr>
            <w:tcW w:w="2680" w:type="dxa"/>
            <w:vAlign w:val="bottom"/>
            <w:shd w:val="clear" w:color="auto" w:fill="61C4AF"/>
          </w:tcPr>
          <w:p>
            <w:pPr>
              <w:ind w:left="1060"/>
              <w:spacing w:after="0"/>
              <w:rPr>
                <w:sz w:val="20"/>
                <w:szCs w:val="20"/>
                <w:color w:val="auto"/>
              </w:rPr>
            </w:pPr>
            <w:r>
              <w:rPr>
                <w:rFonts w:ascii="Arial" w:cs="Arial" w:eastAsia="Arial" w:hAnsi="Arial"/>
                <w:sz w:val="13"/>
                <w:szCs w:val="13"/>
                <w:b w:val="1"/>
                <w:bCs w:val="1"/>
                <w:color w:val="FFFFFF"/>
              </w:rPr>
              <w:t>Summer</w:t>
            </w:r>
          </w:p>
        </w:tc>
      </w:tr>
      <w:tr>
        <w:trPr>
          <w:trHeight w:val="55"/>
        </w:trPr>
        <w:tc>
          <w:tcPr>
            <w:tcW w:w="2700" w:type="dxa"/>
            <w:vAlign w:val="bottom"/>
            <w:shd w:val="clear" w:color="auto" w:fill="53778D"/>
          </w:tcPr>
          <w:p>
            <w:pPr>
              <w:spacing w:after="0"/>
              <w:rPr>
                <w:sz w:val="4"/>
                <w:szCs w:val="4"/>
                <w:color w:val="auto"/>
              </w:rPr>
            </w:pPr>
          </w:p>
        </w:tc>
        <w:tc>
          <w:tcPr>
            <w:tcW w:w="260" w:type="dxa"/>
            <w:vAlign w:val="bottom"/>
          </w:tcPr>
          <w:p>
            <w:pPr>
              <w:spacing w:after="0"/>
              <w:rPr>
                <w:sz w:val="4"/>
                <w:szCs w:val="4"/>
                <w:color w:val="auto"/>
              </w:rPr>
            </w:pPr>
          </w:p>
        </w:tc>
        <w:tc>
          <w:tcPr>
            <w:tcW w:w="2580" w:type="dxa"/>
            <w:vAlign w:val="bottom"/>
            <w:shd w:val="clear" w:color="auto" w:fill="6EAFA7"/>
          </w:tcPr>
          <w:p>
            <w:pPr>
              <w:spacing w:after="0"/>
              <w:rPr>
                <w:sz w:val="4"/>
                <w:szCs w:val="4"/>
                <w:color w:val="auto"/>
              </w:rPr>
            </w:pPr>
          </w:p>
        </w:tc>
        <w:tc>
          <w:tcPr>
            <w:tcW w:w="220" w:type="dxa"/>
            <w:vAlign w:val="bottom"/>
          </w:tcPr>
          <w:p>
            <w:pPr>
              <w:spacing w:after="0"/>
              <w:rPr>
                <w:sz w:val="4"/>
                <w:szCs w:val="4"/>
                <w:color w:val="auto"/>
              </w:rPr>
            </w:pPr>
          </w:p>
        </w:tc>
        <w:tc>
          <w:tcPr>
            <w:tcW w:w="2580" w:type="dxa"/>
            <w:vAlign w:val="bottom"/>
            <w:shd w:val="clear" w:color="auto" w:fill="64C2AF"/>
          </w:tcPr>
          <w:p>
            <w:pPr>
              <w:spacing w:after="0"/>
              <w:rPr>
                <w:sz w:val="4"/>
                <w:szCs w:val="4"/>
                <w:color w:val="auto"/>
              </w:rPr>
            </w:pPr>
          </w:p>
        </w:tc>
        <w:tc>
          <w:tcPr>
            <w:tcW w:w="220" w:type="dxa"/>
            <w:vAlign w:val="bottom"/>
          </w:tcPr>
          <w:p>
            <w:pPr>
              <w:spacing w:after="0"/>
              <w:rPr>
                <w:sz w:val="4"/>
                <w:szCs w:val="4"/>
                <w:color w:val="auto"/>
              </w:rPr>
            </w:pPr>
          </w:p>
        </w:tc>
        <w:tc>
          <w:tcPr>
            <w:tcW w:w="2680" w:type="dxa"/>
            <w:vAlign w:val="bottom"/>
            <w:shd w:val="clear" w:color="auto" w:fill="61C4A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0</wp:posOffset>
            </wp:positionV>
            <wp:extent cx="8255" cy="16630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255" cy="166306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0</wp:posOffset>
            </wp:positionV>
            <wp:extent cx="8890" cy="16630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890" cy="1663065"/>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0</wp:posOffset>
            </wp:positionV>
            <wp:extent cx="8890" cy="16630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890" cy="1663065"/>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-385445</wp:posOffset>
            </wp:positionV>
            <wp:extent cx="231140" cy="1885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31140" cy="18859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-393700</wp:posOffset>
            </wp:positionV>
            <wp:extent cx="214630" cy="2146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-393700</wp:posOffset>
            </wp:positionV>
            <wp:extent cx="214630" cy="2146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14630" cy="21463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-393700</wp:posOffset>
            </wp:positionV>
            <wp:extent cx="197485" cy="2146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97485" cy="21463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91" w:lineRule="exact"/>
        <w:rPr>
          <w:sz w:val="20"/>
          <w:szCs w:val="20"/>
          <w:color w:val="auto"/>
        </w:rPr>
      </w:pPr>
    </w:p>
    <w:p>
      <w:pPr>
        <w:ind w:left="280" w:hanging="236"/>
        <w:spacing w:after="0" w:line="244" w:lineRule="auto"/>
        <w:tabs>
          <w:tab w:leader="none" w:pos="257" w:val="left"/>
        </w:tabs>
        <w:numPr>
          <w:ilvl w:val="0"/>
          <w:numId w:val="93"/>
        </w:numPr>
        <w:rPr>
          <w:rFonts w:ascii="Arial" w:cs="Arial" w:eastAsia="Arial" w:hAnsi="Arial"/>
          <w:sz w:val="13"/>
          <w:szCs w:val="13"/>
          <w:color w:val="61C4AF"/>
        </w:rPr>
      </w:pPr>
      <w:r>
        <w:rPr>
          <w:rFonts w:ascii="Arial" w:cs="Arial" w:eastAsia="Arial" w:hAnsi="Arial"/>
          <w:sz w:val="13"/>
          <w:szCs w:val="13"/>
          <w:b w:val="1"/>
          <w:bCs w:val="1"/>
          <w:color w:val="auto"/>
        </w:rPr>
        <w:t xml:space="preserve">October 2019: </w:t>
      </w:r>
      <w:r>
        <w:rPr>
          <w:rFonts w:ascii="Arial" w:cs="Arial" w:eastAsia="Arial" w:hAnsi="Arial"/>
          <w:sz w:val="13"/>
          <w:szCs w:val="13"/>
          <w:color w:val="auto"/>
        </w:rPr>
        <w:t>Active Board-led</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engagement with over </w:t>
      </w:r>
      <w:r>
        <w:rPr>
          <w:rFonts w:ascii="Arial" w:cs="Arial" w:eastAsia="Arial" w:hAnsi="Arial"/>
          <w:sz w:val="13"/>
          <w:szCs w:val="13"/>
          <w:b w:val="1"/>
          <w:bCs w:val="1"/>
          <w:color w:val="auto"/>
        </w:rPr>
        <w:t>20%</w:t>
      </w:r>
      <w:r>
        <w:rPr>
          <w:rFonts w:ascii="Arial" w:cs="Arial" w:eastAsia="Arial" w:hAnsi="Arial"/>
          <w:sz w:val="13"/>
          <w:szCs w:val="13"/>
          <w:color w:val="auto"/>
        </w:rPr>
        <w:t xml:space="preserve"> of our stockholders to discuss the executive compensation and governance items to be considered at our 2019 annual meeting of stockholders, in addition to sustainability and other areas of investor focus</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233" w:hanging="233"/>
        <w:spacing w:after="0" w:line="244" w:lineRule="auto"/>
        <w:tabs>
          <w:tab w:leader="none" w:pos="210" w:val="left"/>
        </w:tabs>
        <w:numPr>
          <w:ilvl w:val="0"/>
          <w:numId w:val="94"/>
        </w:numPr>
        <w:rPr>
          <w:rFonts w:ascii="Arial" w:cs="Arial" w:eastAsia="Arial" w:hAnsi="Arial"/>
          <w:sz w:val="13"/>
          <w:szCs w:val="13"/>
          <w:color w:val="61C4AF"/>
        </w:rPr>
      </w:pPr>
      <w:r>
        <w:rPr>
          <w:rFonts w:ascii="Arial" w:cs="Arial" w:eastAsia="Arial" w:hAnsi="Arial"/>
          <w:sz w:val="13"/>
          <w:szCs w:val="13"/>
          <w:b w:val="1"/>
          <w:bCs w:val="1"/>
          <w:color w:val="auto"/>
        </w:rPr>
        <w:t xml:space="preserve">January/February 2020: </w:t>
      </w:r>
      <w:r>
        <w:rPr>
          <w:rFonts w:ascii="Arial" w:cs="Arial" w:eastAsia="Arial" w:hAnsi="Arial"/>
          <w:sz w:val="13"/>
          <w:szCs w:val="13"/>
          <w:color w:val="auto"/>
        </w:rPr>
        <w:t>Reached</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out to investors representing </w:t>
      </w:r>
      <w:r>
        <w:rPr>
          <w:rFonts w:ascii="Arial" w:cs="Arial" w:eastAsia="Arial" w:hAnsi="Arial"/>
          <w:sz w:val="13"/>
          <w:szCs w:val="13"/>
          <w:b w:val="1"/>
          <w:bCs w:val="1"/>
          <w:color w:val="auto"/>
        </w:rPr>
        <w:t>37%</w:t>
      </w:r>
      <w:r>
        <w:rPr>
          <w:rFonts w:ascii="Arial" w:cs="Arial" w:eastAsia="Arial" w:hAnsi="Arial"/>
          <w:sz w:val="13"/>
          <w:szCs w:val="13"/>
          <w:color w:val="auto"/>
        </w:rPr>
        <w:t xml:space="preserve"> of shares outstanding and conducted engagements with stockholders representing </w:t>
      </w:r>
      <w:r>
        <w:rPr>
          <w:rFonts w:ascii="Arial" w:cs="Arial" w:eastAsia="Arial" w:hAnsi="Arial"/>
          <w:sz w:val="13"/>
          <w:szCs w:val="13"/>
          <w:b w:val="1"/>
          <w:bCs w:val="1"/>
          <w:color w:val="auto"/>
        </w:rPr>
        <w:t>19%</w:t>
      </w:r>
      <w:r>
        <w:rPr>
          <w:rFonts w:ascii="Arial" w:cs="Arial" w:eastAsia="Arial" w:hAnsi="Arial"/>
          <w:sz w:val="13"/>
          <w:szCs w:val="13"/>
          <w:color w:val="auto"/>
        </w:rPr>
        <w:t xml:space="preserve"> of shares outstanding to specifically discuss sustainability-related focus areas and help inform our go-forward practices</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225" w:right="60" w:hanging="225"/>
        <w:spacing w:after="0" w:line="246" w:lineRule="auto"/>
        <w:tabs>
          <w:tab w:leader="none" w:pos="202" w:val="left"/>
        </w:tabs>
        <w:numPr>
          <w:ilvl w:val="0"/>
          <w:numId w:val="95"/>
        </w:numPr>
        <w:rPr>
          <w:rFonts w:ascii="Arial" w:cs="Arial" w:eastAsia="Arial" w:hAnsi="Arial"/>
          <w:sz w:val="13"/>
          <w:szCs w:val="13"/>
          <w:color w:val="61C4AF"/>
        </w:rPr>
      </w:pPr>
      <w:r>
        <w:rPr>
          <w:rFonts w:ascii="Arial" w:cs="Arial" w:eastAsia="Arial" w:hAnsi="Arial"/>
          <w:sz w:val="13"/>
          <w:szCs w:val="13"/>
          <w:b w:val="1"/>
          <w:bCs w:val="1"/>
          <w:color w:val="auto"/>
        </w:rPr>
        <w:t xml:space="preserve">March 2020: </w:t>
      </w:r>
      <w:r>
        <w:rPr>
          <w:rFonts w:ascii="Arial" w:cs="Arial" w:eastAsia="Arial" w:hAnsi="Arial"/>
          <w:sz w:val="13"/>
          <w:szCs w:val="13"/>
          <w:color w:val="auto"/>
        </w:rPr>
        <w:t>Reviewed feedback</w:t>
      </w:r>
      <w:r>
        <w:rPr>
          <w:rFonts w:ascii="Arial" w:cs="Arial" w:eastAsia="Arial" w:hAnsi="Arial"/>
          <w:sz w:val="13"/>
          <w:szCs w:val="13"/>
          <w:b w:val="1"/>
          <w:bCs w:val="1"/>
          <w:color w:val="auto"/>
        </w:rPr>
        <w:t xml:space="preserve"> </w:t>
      </w:r>
      <w:r>
        <w:rPr>
          <w:rFonts w:ascii="Arial" w:cs="Arial" w:eastAsia="Arial" w:hAnsi="Arial"/>
          <w:sz w:val="13"/>
          <w:szCs w:val="13"/>
          <w:color w:val="auto"/>
        </w:rPr>
        <w:t>and vote results from 2019 annual meeting and stockholder feedback from January and February 2020 and discussed possible changes to governance, compensation and sustainability practices</w:t>
      </w:r>
    </w:p>
    <w:p>
      <w:pPr>
        <w:spacing w:after="0" w:line="34" w:lineRule="exact"/>
        <w:rPr>
          <w:rFonts w:ascii="Arial" w:cs="Arial" w:eastAsia="Arial" w:hAnsi="Arial"/>
          <w:sz w:val="13"/>
          <w:szCs w:val="13"/>
          <w:color w:val="61C4AF"/>
        </w:rPr>
      </w:pPr>
    </w:p>
    <w:p>
      <w:pPr>
        <w:ind w:left="225" w:hanging="225"/>
        <w:spacing w:after="0" w:line="244" w:lineRule="auto"/>
        <w:tabs>
          <w:tab w:leader="none" w:pos="202" w:val="left"/>
        </w:tabs>
        <w:numPr>
          <w:ilvl w:val="0"/>
          <w:numId w:val="95"/>
        </w:numPr>
        <w:rPr>
          <w:rFonts w:ascii="Arial" w:cs="Arial" w:eastAsia="Arial" w:hAnsi="Arial"/>
          <w:sz w:val="13"/>
          <w:szCs w:val="13"/>
          <w:color w:val="61C4AF"/>
        </w:rPr>
      </w:pPr>
      <w:r>
        <w:rPr>
          <w:rFonts w:ascii="Arial" w:cs="Arial" w:eastAsia="Arial" w:hAnsi="Arial"/>
          <w:sz w:val="13"/>
          <w:szCs w:val="13"/>
          <w:b w:val="1"/>
          <w:bCs w:val="1"/>
          <w:color w:val="auto"/>
        </w:rPr>
        <w:t xml:space="preserve">May 2020: </w:t>
      </w:r>
      <w:r>
        <w:rPr>
          <w:rFonts w:ascii="Arial" w:cs="Arial" w:eastAsia="Arial" w:hAnsi="Arial"/>
          <w:sz w:val="13"/>
          <w:szCs w:val="13"/>
          <w:color w:val="auto"/>
        </w:rPr>
        <w:t>Reached out to investors</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representing </w:t>
      </w:r>
      <w:r>
        <w:rPr>
          <w:rFonts w:ascii="Arial" w:cs="Arial" w:eastAsia="Arial" w:hAnsi="Arial"/>
          <w:sz w:val="13"/>
          <w:szCs w:val="13"/>
          <w:b w:val="1"/>
          <w:bCs w:val="1"/>
          <w:color w:val="auto"/>
        </w:rPr>
        <w:t>60%</w:t>
      </w:r>
      <w:r>
        <w:rPr>
          <w:rFonts w:ascii="Arial" w:cs="Arial" w:eastAsia="Arial" w:hAnsi="Arial"/>
          <w:sz w:val="13"/>
          <w:szCs w:val="13"/>
          <w:color w:val="auto"/>
        </w:rPr>
        <w:t xml:space="preserve"> of shares outstanding to schedule calls to solicit feedback on our sustainability initiatives and potential executive compensation changes to our fiscal 2021 program being considered by the Compensation and Talent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-3676015</wp:posOffset>
            </wp:positionH>
            <wp:positionV relativeFrom="paragraph">
              <wp:posOffset>434340</wp:posOffset>
            </wp:positionV>
            <wp:extent cx="7153275"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230" w:right="140" w:hanging="230"/>
        <w:spacing w:after="0" w:line="242" w:lineRule="auto"/>
        <w:tabs>
          <w:tab w:leader="none" w:pos="208" w:val="left"/>
        </w:tabs>
        <w:numPr>
          <w:ilvl w:val="0"/>
          <w:numId w:val="96"/>
        </w:numPr>
        <w:rPr>
          <w:rFonts w:ascii="Arial" w:cs="Arial" w:eastAsia="Arial" w:hAnsi="Arial"/>
          <w:sz w:val="13"/>
          <w:szCs w:val="13"/>
          <w:color w:val="61C4AF"/>
        </w:rPr>
      </w:pPr>
      <w:r>
        <w:rPr>
          <w:rFonts w:ascii="Arial" w:cs="Arial" w:eastAsia="Arial" w:hAnsi="Arial"/>
          <w:sz w:val="13"/>
          <w:szCs w:val="13"/>
          <w:b w:val="1"/>
          <w:bCs w:val="1"/>
          <w:color w:val="auto"/>
        </w:rPr>
        <w:t xml:space="preserve">July/August 2020: </w:t>
      </w:r>
      <w:r>
        <w:rPr>
          <w:rFonts w:ascii="Arial" w:cs="Arial" w:eastAsia="Arial" w:hAnsi="Arial"/>
          <w:sz w:val="13"/>
          <w:szCs w:val="13"/>
          <w:color w:val="auto"/>
        </w:rPr>
        <w:t>Conducted</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meetings with </w:t>
      </w:r>
      <w:r>
        <w:rPr>
          <w:rFonts w:ascii="Arial" w:cs="Arial" w:eastAsia="Arial" w:hAnsi="Arial"/>
          <w:sz w:val="13"/>
          <w:szCs w:val="13"/>
          <w:b w:val="1"/>
          <w:bCs w:val="1"/>
          <w:color w:val="auto"/>
        </w:rPr>
        <w:t>14 of our top 25</w:t>
      </w:r>
      <w:r>
        <w:rPr>
          <w:rFonts w:ascii="Arial" w:cs="Arial" w:eastAsia="Arial" w:hAnsi="Arial"/>
          <w:sz w:val="13"/>
          <w:szCs w:val="13"/>
          <w:color w:val="auto"/>
        </w:rPr>
        <w:t xml:space="preserve"> </w:t>
      </w:r>
      <w:r>
        <w:rPr>
          <w:rFonts w:ascii="Arial" w:cs="Arial" w:eastAsia="Arial" w:hAnsi="Arial"/>
          <w:sz w:val="13"/>
          <w:szCs w:val="13"/>
          <w:b w:val="1"/>
          <w:bCs w:val="1"/>
          <w:color w:val="auto"/>
        </w:rPr>
        <w:t>holders</w:t>
      </w:r>
      <w:r>
        <w:rPr>
          <w:rFonts w:ascii="Arial" w:cs="Arial" w:eastAsia="Arial" w:hAnsi="Arial"/>
          <w:sz w:val="13"/>
          <w:szCs w:val="13"/>
          <w:color w:val="auto"/>
        </w:rPr>
        <w:t>, as well as several other</w:t>
      </w:r>
      <w:r>
        <w:rPr>
          <w:rFonts w:ascii="Arial" w:cs="Arial" w:eastAsia="Arial" w:hAnsi="Arial"/>
          <w:sz w:val="13"/>
          <w:szCs w:val="13"/>
          <w:b w:val="1"/>
          <w:bCs w:val="1"/>
          <w:color w:val="auto"/>
        </w:rPr>
        <w:t xml:space="preserve"> </w:t>
      </w:r>
      <w:r>
        <w:rPr>
          <w:rFonts w:ascii="Arial" w:cs="Arial" w:eastAsia="Arial" w:hAnsi="Arial"/>
          <w:sz w:val="13"/>
          <w:szCs w:val="13"/>
          <w:color w:val="auto"/>
        </w:rPr>
        <w:t>holders composed of investors with a variety of investment styles and geographic locations. Our Chair of the Compensation and Talent Committee, an independent director, led several meetings with stockholders, and shared stockholder feedback with the Compensation and Talent and Governance Committees, as well as our Board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23628F"/>
        </w:rPr>
        <w:t>2020 PROXY STATEMENT</w:t>
      </w:r>
      <w:r>
        <w:rPr>
          <w:sz w:val="20"/>
          <w:szCs w:val="20"/>
          <w:color w:val="auto"/>
        </w:rPr>
        <w:tab/>
      </w:r>
      <w:r>
        <w:rPr>
          <w:rFonts w:ascii="Arial" w:cs="Arial" w:eastAsia="Arial" w:hAnsi="Arial"/>
          <w:sz w:val="16"/>
          <w:szCs w:val="16"/>
          <w:b w:val="1"/>
          <w:bCs w:val="1"/>
          <w:color w:val="23628F"/>
        </w:rPr>
        <w:t>27</w:t>
      </w:r>
    </w:p>
    <w:p>
      <w:pPr>
        <w:sectPr>
          <w:pgSz w:w="11900" w:h="16838" w:orient="portrait"/>
          <w:cols w:equalWidth="0" w:num="4">
            <w:col w:w="2540" w:space="447"/>
            <w:col w:w="2393" w:space="415"/>
            <w:col w:w="2385" w:space="410"/>
            <w:col w:w="2650"/>
          </w:cols>
          <w:pgMar w:left="320" w:top="121" w:right="3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23628F"/>
        </w:rPr>
        <w:t>CORPORATE GOVERNANCE MATTER</w:t>
      </w:r>
    </w:p>
    <w:p>
      <w:pPr>
        <w:spacing w:after="0" w:line="199" w:lineRule="exact"/>
        <w:rPr>
          <w:sz w:val="20"/>
          <w:szCs w:val="20"/>
          <w:color w:val="auto"/>
        </w:rPr>
      </w:pPr>
    </w:p>
    <w:p>
      <w:pPr>
        <w:spacing w:after="0" w:line="247" w:lineRule="auto"/>
        <w:rPr>
          <w:sz w:val="20"/>
          <w:szCs w:val="20"/>
          <w:color w:val="auto"/>
        </w:rPr>
      </w:pPr>
      <w:r>
        <w:rPr>
          <w:rFonts w:ascii="Arial" w:cs="Arial" w:eastAsia="Arial" w:hAnsi="Arial"/>
          <w:sz w:val="13"/>
          <w:szCs w:val="13"/>
          <w:color w:val="auto"/>
        </w:rPr>
        <w:t xml:space="preserve">As a continuation of our robust Board-driven stockholder engagement program, over the past year, we reached out to over 30 of our stockholders representing approximately </w:t>
      </w:r>
      <w:r>
        <w:rPr>
          <w:rFonts w:ascii="Arial" w:cs="Arial" w:eastAsia="Arial" w:hAnsi="Arial"/>
          <w:sz w:val="13"/>
          <w:szCs w:val="13"/>
          <w:b w:val="1"/>
          <w:bCs w:val="1"/>
          <w:color w:val="auto"/>
        </w:rPr>
        <w:t>60%</w:t>
      </w:r>
      <w:r>
        <w:rPr>
          <w:rFonts w:ascii="Arial" w:cs="Arial" w:eastAsia="Arial" w:hAnsi="Arial"/>
          <w:sz w:val="13"/>
          <w:szCs w:val="13"/>
          <w:color w:val="auto"/>
        </w:rPr>
        <w:t xml:space="preserve"> of shares outstanding. Our engagement team conducted calls with </w:t>
      </w:r>
      <w:r>
        <w:rPr>
          <w:rFonts w:ascii="Arial" w:cs="Arial" w:eastAsia="Arial" w:hAnsi="Arial"/>
          <w:sz w:val="13"/>
          <w:szCs w:val="13"/>
          <w:b w:val="1"/>
          <w:bCs w:val="1"/>
          <w:color w:val="auto"/>
        </w:rPr>
        <w:t>14 of our top 25</w:t>
      </w:r>
      <w:r>
        <w:rPr>
          <w:rFonts w:ascii="Arial" w:cs="Arial" w:eastAsia="Arial" w:hAnsi="Arial"/>
          <w:sz w:val="13"/>
          <w:szCs w:val="13"/>
          <w:color w:val="auto"/>
        </w:rPr>
        <w:t xml:space="preserve"> holders, as well as several other holders, composed of investors with a variety of investment styles and geographic locations. The remainder of the stockholders we contacted confirmed that a follow-up discussion was not necessary at that time or did not respond. Our Chair of the Compensation and Talent Committee, an independent director, led several of these stockholder calls. In addition, we added a new cycle of stockholder engagement this year specifically focused on sustainability topics, reaching out to stockholders representing approximately </w:t>
      </w:r>
      <w:r>
        <w:rPr>
          <w:rFonts w:ascii="Arial" w:cs="Arial" w:eastAsia="Arial" w:hAnsi="Arial"/>
          <w:sz w:val="13"/>
          <w:szCs w:val="13"/>
          <w:b w:val="1"/>
          <w:bCs w:val="1"/>
          <w:color w:val="auto"/>
        </w:rPr>
        <w:t>37%</w:t>
      </w:r>
      <w:r>
        <w:rPr>
          <w:rFonts w:ascii="Arial" w:cs="Arial" w:eastAsia="Arial" w:hAnsi="Arial"/>
          <w:sz w:val="13"/>
          <w:szCs w:val="13"/>
          <w:color w:val="auto"/>
        </w:rPr>
        <w:t xml:space="preserve"> of shares outstanding and conducting calls with investors representing approximately </w:t>
      </w:r>
      <w:r>
        <w:rPr>
          <w:rFonts w:ascii="Arial" w:cs="Arial" w:eastAsia="Arial" w:hAnsi="Arial"/>
          <w:sz w:val="13"/>
          <w:szCs w:val="13"/>
          <w:b w:val="1"/>
          <w:bCs w:val="1"/>
          <w:color w:val="auto"/>
        </w:rPr>
        <w:t>19%</w:t>
      </w:r>
      <w:r>
        <w:rPr>
          <w:rFonts w:ascii="Arial" w:cs="Arial" w:eastAsia="Arial" w:hAnsi="Arial"/>
          <w:sz w:val="13"/>
          <w:szCs w:val="13"/>
          <w:color w:val="auto"/>
        </w:rPr>
        <w:t xml:space="preserve"> of shares outstanding.</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23628F"/>
        </w:rPr>
        <w:t>BY THE NUMBERS: SUMMER 2020 STOCKHOLDER ENGAGEMENT EFFORT</w:t>
      </w:r>
    </w:p>
    <w:p>
      <w:pPr>
        <w:sectPr>
          <w:pgSz w:w="11900" w:h="16838" w:orient="portrait"/>
          <w:cols w:equalWidth="0" w:num="1">
            <w:col w:w="11240"/>
          </w:cols>
          <w:pgMar w:left="320" w:top="121" w:right="339" w:bottom="1440" w:gutter="0" w:footer="0" w:header="0"/>
        </w:sectPr>
      </w:pPr>
    </w:p>
    <w:p>
      <w:pPr>
        <w:spacing w:after="0" w:line="212"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We reached out</w:t>
      </w:r>
    </w:p>
    <w:p>
      <w:pPr>
        <w:spacing w:after="0" w:line="13"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to stockholders</w:t>
      </w:r>
    </w:p>
    <w:p>
      <w:pPr>
        <w:ind w:left="2800"/>
        <w:spacing w:after="0"/>
        <w:rPr>
          <w:sz w:val="20"/>
          <w:szCs w:val="20"/>
          <w:color w:val="auto"/>
        </w:rPr>
      </w:pPr>
      <w:r>
        <w:rPr>
          <w:rFonts w:ascii="Arial" w:cs="Arial" w:eastAsia="Arial" w:hAnsi="Arial"/>
          <w:sz w:val="16"/>
          <w:szCs w:val="16"/>
          <w:b w:val="1"/>
          <w:bCs w:val="1"/>
          <w:color w:val="auto"/>
        </w:rPr>
        <w:t>representing 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78105</wp:posOffset>
            </wp:positionV>
            <wp:extent cx="1105535" cy="10972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105535" cy="10972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engagement</w:t>
      </w:r>
    </w:p>
    <w:p>
      <w:pPr>
        <w:spacing w:after="0" w:line="4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192405</wp:posOffset>
            </wp:positionV>
            <wp:extent cx="1114425" cy="11226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114425" cy="1122680"/>
                    </a:xfrm>
                    <a:prstGeom prst="rect">
                      <a:avLst/>
                    </a:prstGeom>
                    <a:noFill/>
                  </pic:spPr>
                </pic:pic>
              </a:graphicData>
            </a:graphic>
          </wp:anchor>
        </w:drawing>
      </w:r>
    </w:p>
    <w:p>
      <w:pPr>
        <w:spacing w:after="0" w:line="379" w:lineRule="exact"/>
        <w:rPr>
          <w:sz w:val="20"/>
          <w:szCs w:val="20"/>
          <w:color w:val="auto"/>
        </w:rPr>
      </w:pPr>
    </w:p>
    <w:p>
      <w:pPr>
        <w:sectPr>
          <w:pgSz w:w="11900" w:h="16838" w:orient="portrait"/>
          <w:cols w:equalWidth="0" w:num="2">
            <w:col w:w="6340" w:space="720"/>
            <w:col w:w="418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3"/>
          <w:szCs w:val="13"/>
          <w:color w:val="auto"/>
        </w:rPr>
        <w:t>While our discussions with investors covered a variety of topics, there were a few key areas of focus in our conversations:</w:t>
      </w:r>
    </w:p>
    <w:p>
      <w:pPr>
        <w:spacing w:after="0" w:line="215" w:lineRule="exact"/>
        <w:rPr>
          <w:sz w:val="20"/>
          <w:szCs w:val="20"/>
          <w:color w:val="auto"/>
        </w:rPr>
      </w:pPr>
    </w:p>
    <w:p>
      <w:pPr>
        <w:ind w:left="240" w:hanging="232"/>
        <w:spacing w:after="0"/>
        <w:tabs>
          <w:tab w:leader="none" w:pos="240" w:val="left"/>
        </w:tabs>
        <w:numPr>
          <w:ilvl w:val="0"/>
          <w:numId w:val="97"/>
        </w:numPr>
        <w:rPr>
          <w:rFonts w:ascii="Arial" w:cs="Arial" w:eastAsia="Arial" w:hAnsi="Arial"/>
          <w:sz w:val="13"/>
          <w:szCs w:val="13"/>
          <w:color w:val="61C4AF"/>
        </w:rPr>
      </w:pPr>
      <w:r>
        <w:rPr>
          <w:rFonts w:ascii="Arial" w:cs="Arial" w:eastAsia="Arial" w:hAnsi="Arial"/>
          <w:sz w:val="13"/>
          <w:szCs w:val="13"/>
          <w:color w:val="auto"/>
        </w:rPr>
        <w:t>updates to Board composition and Board and committee leadership roles, as well as Board succession;</w:t>
      </w:r>
    </w:p>
    <w:p>
      <w:pPr>
        <w:spacing w:after="0" w:line="66" w:lineRule="exact"/>
        <w:rPr>
          <w:rFonts w:ascii="Arial" w:cs="Arial" w:eastAsia="Arial" w:hAnsi="Arial"/>
          <w:sz w:val="13"/>
          <w:szCs w:val="13"/>
          <w:color w:val="61C4AF"/>
        </w:rPr>
      </w:pPr>
    </w:p>
    <w:p>
      <w:pPr>
        <w:ind w:left="240" w:hanging="232"/>
        <w:spacing w:after="0"/>
        <w:tabs>
          <w:tab w:leader="none" w:pos="240" w:val="left"/>
        </w:tabs>
        <w:numPr>
          <w:ilvl w:val="0"/>
          <w:numId w:val="97"/>
        </w:numPr>
        <w:rPr>
          <w:rFonts w:ascii="Arial" w:cs="Arial" w:eastAsia="Arial" w:hAnsi="Arial"/>
          <w:sz w:val="13"/>
          <w:szCs w:val="13"/>
          <w:color w:val="61C4AF"/>
        </w:rPr>
      </w:pPr>
      <w:r>
        <w:rPr>
          <w:rFonts w:ascii="Arial" w:cs="Arial" w:eastAsia="Arial" w:hAnsi="Arial"/>
          <w:sz w:val="13"/>
          <w:szCs w:val="13"/>
          <w:color w:val="auto"/>
        </w:rPr>
        <w:t>leadership transition with Mr. Goeckeler’s appointment as our Chief Executive Officer following a comprehensive search process;</w:t>
      </w:r>
    </w:p>
    <w:p>
      <w:pPr>
        <w:spacing w:after="0" w:line="66" w:lineRule="exact"/>
        <w:rPr>
          <w:rFonts w:ascii="Arial" w:cs="Arial" w:eastAsia="Arial" w:hAnsi="Arial"/>
          <w:sz w:val="13"/>
          <w:szCs w:val="13"/>
          <w:color w:val="61C4AF"/>
        </w:rPr>
      </w:pPr>
    </w:p>
    <w:p>
      <w:pPr>
        <w:ind w:left="240" w:hanging="232"/>
        <w:spacing w:after="0"/>
        <w:tabs>
          <w:tab w:leader="none" w:pos="240" w:val="left"/>
        </w:tabs>
        <w:numPr>
          <w:ilvl w:val="0"/>
          <w:numId w:val="97"/>
        </w:numPr>
        <w:rPr>
          <w:rFonts w:ascii="Arial" w:cs="Arial" w:eastAsia="Arial" w:hAnsi="Arial"/>
          <w:sz w:val="13"/>
          <w:szCs w:val="13"/>
          <w:color w:val="61C4AF"/>
        </w:rPr>
      </w:pPr>
      <w:r>
        <w:rPr>
          <w:rFonts w:ascii="Arial" w:cs="Arial" w:eastAsia="Arial" w:hAnsi="Arial"/>
          <w:sz w:val="13"/>
          <w:szCs w:val="13"/>
          <w:color w:val="auto"/>
        </w:rPr>
        <w:t>executive compensation philosophy and program design, including Mr. Goeckeler’s compensation package and how investor feedback drove recent program enhancements;</w:t>
      </w:r>
    </w:p>
    <w:p>
      <w:pPr>
        <w:spacing w:after="0" w:line="66" w:lineRule="exact"/>
        <w:rPr>
          <w:rFonts w:ascii="Arial" w:cs="Arial" w:eastAsia="Arial" w:hAnsi="Arial"/>
          <w:sz w:val="13"/>
          <w:szCs w:val="13"/>
          <w:color w:val="61C4AF"/>
        </w:rPr>
      </w:pPr>
    </w:p>
    <w:p>
      <w:pPr>
        <w:ind w:left="240" w:hanging="232"/>
        <w:spacing w:after="0"/>
        <w:tabs>
          <w:tab w:leader="none" w:pos="240" w:val="left"/>
        </w:tabs>
        <w:numPr>
          <w:ilvl w:val="0"/>
          <w:numId w:val="97"/>
        </w:numPr>
        <w:rPr>
          <w:rFonts w:ascii="Arial" w:cs="Arial" w:eastAsia="Arial" w:hAnsi="Arial"/>
          <w:sz w:val="13"/>
          <w:szCs w:val="13"/>
          <w:color w:val="61C4AF"/>
        </w:rPr>
      </w:pPr>
      <w:r>
        <w:rPr>
          <w:rFonts w:ascii="Arial" w:cs="Arial" w:eastAsia="Arial" w:hAnsi="Arial"/>
          <w:sz w:val="13"/>
          <w:szCs w:val="13"/>
          <w:color w:val="auto"/>
        </w:rPr>
        <w:t>Board oversight and guidance during the COVID-19 pandemic and any long-term changes to our practices or operations that may result from the pandemic;</w:t>
      </w:r>
    </w:p>
    <w:p>
      <w:pPr>
        <w:spacing w:after="0" w:line="66" w:lineRule="exact"/>
        <w:rPr>
          <w:rFonts w:ascii="Arial" w:cs="Arial" w:eastAsia="Arial" w:hAnsi="Arial"/>
          <w:sz w:val="13"/>
          <w:szCs w:val="13"/>
          <w:color w:val="61C4AF"/>
        </w:rPr>
      </w:pPr>
    </w:p>
    <w:p>
      <w:pPr>
        <w:ind w:left="240" w:hanging="232"/>
        <w:spacing w:after="0"/>
        <w:tabs>
          <w:tab w:leader="none" w:pos="240" w:val="left"/>
        </w:tabs>
        <w:numPr>
          <w:ilvl w:val="0"/>
          <w:numId w:val="97"/>
        </w:numPr>
        <w:rPr>
          <w:rFonts w:ascii="Arial" w:cs="Arial" w:eastAsia="Arial" w:hAnsi="Arial"/>
          <w:sz w:val="13"/>
          <w:szCs w:val="13"/>
          <w:color w:val="61C4AF"/>
        </w:rPr>
      </w:pPr>
      <w:r>
        <w:rPr>
          <w:rFonts w:ascii="Arial" w:cs="Arial" w:eastAsia="Arial" w:hAnsi="Arial"/>
          <w:sz w:val="13"/>
          <w:szCs w:val="13"/>
          <w:color w:val="auto"/>
        </w:rPr>
        <w:t>culture, diversity and inclusion at Western Digital, including recent developments and enhanced disclosure in our 2020 Sustainability Report; and</w:t>
      </w:r>
    </w:p>
    <w:p>
      <w:pPr>
        <w:spacing w:after="0" w:line="66" w:lineRule="exact"/>
        <w:rPr>
          <w:rFonts w:ascii="Arial" w:cs="Arial" w:eastAsia="Arial" w:hAnsi="Arial"/>
          <w:sz w:val="13"/>
          <w:szCs w:val="13"/>
          <w:color w:val="61C4AF"/>
        </w:rPr>
      </w:pPr>
    </w:p>
    <w:p>
      <w:pPr>
        <w:ind w:left="240" w:hanging="232"/>
        <w:spacing w:after="0"/>
        <w:tabs>
          <w:tab w:leader="none" w:pos="240" w:val="left"/>
        </w:tabs>
        <w:numPr>
          <w:ilvl w:val="0"/>
          <w:numId w:val="97"/>
        </w:numPr>
        <w:rPr>
          <w:rFonts w:ascii="Arial" w:cs="Arial" w:eastAsia="Arial" w:hAnsi="Arial"/>
          <w:sz w:val="13"/>
          <w:szCs w:val="13"/>
          <w:color w:val="61C4AF"/>
        </w:rPr>
      </w:pPr>
      <w:r>
        <w:rPr>
          <w:rFonts w:ascii="Arial" w:cs="Arial" w:eastAsia="Arial" w:hAnsi="Arial"/>
          <w:sz w:val="13"/>
          <w:szCs w:val="13"/>
          <w:color w:val="auto"/>
        </w:rPr>
        <w:t>with respect to our specific sustainability outreach, our ongoing progress and disclosures regarding sustainability and human capital management.</w:t>
      </w:r>
    </w:p>
    <w:p>
      <w:pPr>
        <w:spacing w:after="0" w:line="215" w:lineRule="exact"/>
        <w:rPr>
          <w:sz w:val="20"/>
          <w:szCs w:val="20"/>
          <w:color w:val="auto"/>
        </w:rPr>
      </w:pPr>
    </w:p>
    <w:p>
      <w:pPr>
        <w:jc w:val="both"/>
        <w:ind w:right="200"/>
        <w:spacing w:after="0" w:line="248" w:lineRule="auto"/>
        <w:rPr>
          <w:sz w:val="20"/>
          <w:szCs w:val="20"/>
          <w:color w:val="auto"/>
        </w:rPr>
      </w:pPr>
      <w:r>
        <w:rPr>
          <w:rFonts w:ascii="Arial" w:cs="Arial" w:eastAsia="Arial" w:hAnsi="Arial"/>
          <w:sz w:val="13"/>
          <w:szCs w:val="13"/>
          <w:color w:val="auto"/>
        </w:rPr>
        <w:t>Stockholders generally provided positive feedback on our response to the COVID-19 pandemic, the diversity of our Board, which is 50% female, recent Board leadership transitions and ongoing Board refreshment efforts and sustainability initiatives. For a discussion on stockholder feedback relating to compensation matters, please refer to page 50 in the section entitled “Executive Compensation—Compensation Discussion and Analysis.” These views were shared with our Board and its committees, where applicable, for their consideration.</w:t>
      </w:r>
    </w:p>
    <w:p>
      <w:pPr>
        <w:spacing w:after="0" w:line="194" w:lineRule="exact"/>
        <w:rPr>
          <w:sz w:val="20"/>
          <w:szCs w:val="20"/>
          <w:color w:val="auto"/>
        </w:rPr>
      </w:pPr>
    </w:p>
    <w:p>
      <w:pPr>
        <w:ind w:left="440" w:hanging="432"/>
        <w:spacing w:after="0"/>
        <w:tabs>
          <w:tab w:leader="none" w:pos="440" w:val="left"/>
        </w:tabs>
        <w:numPr>
          <w:ilvl w:val="0"/>
          <w:numId w:val="98"/>
        </w:numPr>
        <w:rPr>
          <w:rFonts w:ascii="Arial" w:cs="Arial" w:eastAsia="Arial" w:hAnsi="Arial"/>
          <w:sz w:val="18"/>
          <w:szCs w:val="18"/>
          <w:b w:val="1"/>
          <w:bCs w:val="1"/>
          <w:color w:val="23628F"/>
        </w:rPr>
      </w:pPr>
      <w:r>
        <w:rPr>
          <w:rFonts w:ascii="Arial" w:cs="Arial" w:eastAsia="Arial" w:hAnsi="Arial"/>
          <w:sz w:val="13"/>
          <w:szCs w:val="13"/>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153275"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right"/>
        <w:spacing w:after="0"/>
        <w:rPr>
          <w:sz w:val="20"/>
          <w:szCs w:val="20"/>
          <w:color w:val="auto"/>
        </w:rPr>
      </w:pPr>
      <w:r>
        <w:rPr>
          <w:rFonts w:ascii="Arial" w:cs="Arial" w:eastAsia="Arial" w:hAnsi="Arial"/>
          <w:sz w:val="13"/>
          <w:szCs w:val="13"/>
          <w:color w:val="23628F"/>
        </w:rPr>
        <w:t>CORPORATE GOVERNANCE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234440" cy="685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34440" cy="68580"/>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CORPORATE RESPONSIBILITY AND SUSTAINABILITY</w:t>
      </w:r>
    </w:p>
    <w:p>
      <w:pPr>
        <w:spacing w:after="0" w:line="252" w:lineRule="exact"/>
        <w:rPr>
          <w:sz w:val="20"/>
          <w:szCs w:val="20"/>
          <w:color w:val="auto"/>
        </w:rPr>
      </w:pPr>
    </w:p>
    <w:p>
      <w:pPr>
        <w:ind w:right="20"/>
        <w:spacing w:after="0" w:line="243" w:lineRule="auto"/>
        <w:rPr>
          <w:sz w:val="20"/>
          <w:szCs w:val="20"/>
          <w:color w:val="auto"/>
        </w:rPr>
      </w:pPr>
      <w:r>
        <w:rPr>
          <w:rFonts w:ascii="Arial" w:cs="Arial" w:eastAsia="Arial" w:hAnsi="Arial"/>
          <w:sz w:val="13"/>
          <w:szCs w:val="13"/>
          <w:color w:val="auto"/>
        </w:rPr>
        <w:t>We believe responsible and sustainable business practices support our long-term success as a company. Certainly, those practices help keep our communities and our environment vibrant and healthy. But they also lead us to more efficient and resilient business operations. They help us meet our customers’ efficiency targets. They reduce risks of misconduct and legal liability. They enhance the reliability of our supply chain. And they improve the health, well-being, engagement and productivity of our employees. We believe that being an industry leader is not just about having talented employees or innovative products. It is also about doing business the right way, every day. That is why our commitment to sound corporate responsibility is deeply rooted in all aspects of our business.</w:t>
      </w:r>
    </w:p>
    <w:p>
      <w:pPr>
        <w:spacing w:after="0" w:line="202" w:lineRule="exact"/>
        <w:rPr>
          <w:sz w:val="20"/>
          <w:szCs w:val="20"/>
          <w:color w:val="auto"/>
        </w:rPr>
      </w:pPr>
    </w:p>
    <w:p>
      <w:pPr>
        <w:ind w:right="60"/>
        <w:spacing w:after="0" w:line="245" w:lineRule="auto"/>
        <w:rPr>
          <w:sz w:val="20"/>
          <w:szCs w:val="20"/>
          <w:color w:val="auto"/>
        </w:rPr>
      </w:pPr>
      <w:r>
        <w:rPr>
          <w:rFonts w:ascii="Arial" w:cs="Arial" w:eastAsia="Arial" w:hAnsi="Arial"/>
          <w:sz w:val="13"/>
          <w:szCs w:val="13"/>
          <w:color w:val="auto"/>
        </w:rPr>
        <w:t>We are happy to share more details about our recent progress in this area through our 2020 Sustainability Report located on our Corporate Sustainability page at www.westerndigital.com. Our 2020 Sustainability Report topics were selected based on an updated 2020 materiality assessment, which incorporated input from investors, customers and other stakeholders, as well as strategic priorities. This is our first report that aligns with both SASB and GRI standards. As further described below, the Governance Committee oversees our corporate responsibility and sustainability policies and programs pursuant to its charter. Below are some highlights from our 2020 Sustainability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557212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557212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61C4AF"/>
        </w:rPr>
        <w:t>Human Rights and Labor</w:t>
      </w:r>
    </w:p>
    <w:p>
      <w:pPr>
        <w:spacing w:after="0" w:line="38" w:lineRule="exact"/>
        <w:rPr>
          <w:sz w:val="20"/>
          <w:szCs w:val="20"/>
          <w:color w:val="auto"/>
        </w:rPr>
      </w:pPr>
    </w:p>
    <w:p>
      <w:pPr>
        <w:spacing w:after="0" w:line="247" w:lineRule="auto"/>
        <w:rPr>
          <w:sz w:val="20"/>
          <w:szCs w:val="20"/>
          <w:color w:val="auto"/>
        </w:rPr>
      </w:pPr>
      <w:r>
        <w:rPr>
          <w:rFonts w:ascii="Arial" w:cs="Arial" w:eastAsia="Arial" w:hAnsi="Arial"/>
          <w:sz w:val="13"/>
          <w:szCs w:val="13"/>
          <w:b w:val="1"/>
          <w:bCs w:val="1"/>
          <w:i w:val="1"/>
          <w:iCs w:val="1"/>
          <w:color w:val="61C4AF"/>
        </w:rPr>
        <w:t>Respecting human rights is a foundational aspect of how we do business. We work diligently to foster a working environment where Western Digital employees and employees of our suppliers can be treated with respect and dignity, and are provided with fair and safe working conditions.</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color w:val="auto"/>
        </w:rPr>
        <w:t>__________</w:t>
      </w:r>
    </w:p>
    <w:p>
      <w:pPr>
        <w:ind w:right="180"/>
        <w:spacing w:after="0" w:line="258" w:lineRule="auto"/>
        <w:rPr>
          <w:sz w:val="20"/>
          <w:szCs w:val="20"/>
          <w:color w:val="auto"/>
        </w:rPr>
      </w:pPr>
      <w:r>
        <w:rPr>
          <w:rFonts w:ascii="Arial" w:cs="Arial" w:eastAsia="Arial" w:hAnsi="Arial"/>
          <w:sz w:val="13"/>
          <w:szCs w:val="13"/>
          <w:color w:val="auto"/>
        </w:rPr>
        <w:t>Published a new Global Human Rights Policy, applicable both to our own operations and to our supply chain</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color w:val="auto"/>
        </w:rPr>
        <w:t>__________</w:t>
      </w:r>
    </w:p>
    <w:p>
      <w:pPr>
        <w:ind w:right="80"/>
        <w:spacing w:after="0" w:line="248" w:lineRule="auto"/>
        <w:rPr>
          <w:sz w:val="20"/>
          <w:szCs w:val="20"/>
          <w:color w:val="auto"/>
        </w:rPr>
      </w:pPr>
      <w:r>
        <w:rPr>
          <w:rFonts w:ascii="Arial" w:cs="Arial" w:eastAsia="Arial" w:hAnsi="Arial"/>
          <w:sz w:val="13"/>
          <w:szCs w:val="13"/>
          <w:color w:val="auto"/>
        </w:rPr>
        <w:t>Expanded our disclosure of human rights and labor management practices in our Modern Slavery Compliance Statement</w:t>
      </w:r>
    </w:p>
    <w:p>
      <w:pPr>
        <w:spacing w:after="0" w:line="197" w:lineRule="exact"/>
        <w:rPr>
          <w:sz w:val="20"/>
          <w:szCs w:val="20"/>
          <w:color w:val="auto"/>
        </w:rPr>
      </w:pPr>
    </w:p>
    <w:p>
      <w:pPr>
        <w:spacing w:after="0"/>
        <w:rPr>
          <w:sz w:val="20"/>
          <w:szCs w:val="20"/>
          <w:color w:val="auto"/>
        </w:rPr>
      </w:pPr>
      <w:r>
        <w:rPr>
          <w:rFonts w:ascii="Arial" w:cs="Arial" w:eastAsia="Arial" w:hAnsi="Arial"/>
          <w:sz w:val="13"/>
          <w:szCs w:val="13"/>
          <w:color w:val="auto"/>
        </w:rPr>
        <w:t>__________</w:t>
      </w:r>
    </w:p>
    <w:p>
      <w:pPr>
        <w:ind w:right="40"/>
        <w:spacing w:after="0" w:line="258" w:lineRule="auto"/>
        <w:rPr>
          <w:sz w:val="20"/>
          <w:szCs w:val="20"/>
          <w:color w:val="auto"/>
        </w:rPr>
      </w:pPr>
      <w:r>
        <w:rPr>
          <w:rFonts w:ascii="Arial" w:cs="Arial" w:eastAsia="Arial" w:hAnsi="Arial"/>
          <w:sz w:val="13"/>
          <w:szCs w:val="13"/>
          <w:color w:val="auto"/>
        </w:rPr>
        <w:t>Initiating a global human rights impact assessment in fiscal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61C4AF"/>
        </w:rPr>
        <w:t>Diversity and Inclusion</w:t>
      </w:r>
    </w:p>
    <w:p>
      <w:pPr>
        <w:spacing w:after="0" w:line="38" w:lineRule="exact"/>
        <w:rPr>
          <w:sz w:val="20"/>
          <w:szCs w:val="20"/>
          <w:color w:val="auto"/>
        </w:rPr>
      </w:pPr>
    </w:p>
    <w:p>
      <w:pPr>
        <w:ind w:right="20"/>
        <w:spacing w:after="0" w:line="253" w:lineRule="auto"/>
        <w:rPr>
          <w:sz w:val="20"/>
          <w:szCs w:val="20"/>
          <w:color w:val="auto"/>
        </w:rPr>
      </w:pPr>
      <w:r>
        <w:rPr>
          <w:rFonts w:ascii="Arial" w:cs="Arial" w:eastAsia="Arial" w:hAnsi="Arial"/>
          <w:sz w:val="13"/>
          <w:szCs w:val="13"/>
          <w:b w:val="1"/>
          <w:bCs w:val="1"/>
          <w:i w:val="1"/>
          <w:iCs w:val="1"/>
          <w:color w:val="61C4AF"/>
        </w:rPr>
        <w:t>Our people are Western Digital’s most valuable resource. We believe we can achieve the best business outcomes by empowering our diverse and talented employees to make an impact, together.</w:t>
      </w:r>
    </w:p>
    <w:p>
      <w:pPr>
        <w:spacing w:after="0" w:line="195" w:lineRule="exact"/>
        <w:rPr>
          <w:sz w:val="20"/>
          <w:szCs w:val="20"/>
          <w:color w:val="auto"/>
        </w:rPr>
      </w:pPr>
    </w:p>
    <w:p>
      <w:pPr>
        <w:spacing w:after="0"/>
        <w:rPr>
          <w:sz w:val="20"/>
          <w:szCs w:val="20"/>
          <w:color w:val="auto"/>
        </w:rPr>
      </w:pPr>
      <w:r>
        <w:rPr>
          <w:rFonts w:ascii="Arial" w:cs="Arial" w:eastAsia="Arial" w:hAnsi="Arial"/>
          <w:sz w:val="13"/>
          <w:szCs w:val="13"/>
          <w:color w:val="auto"/>
        </w:rPr>
        <w:t>__________</w:t>
      </w:r>
    </w:p>
    <w:p>
      <w:pPr>
        <w:ind w:right="120"/>
        <w:spacing w:after="0" w:line="245" w:lineRule="auto"/>
        <w:rPr>
          <w:sz w:val="20"/>
          <w:szCs w:val="20"/>
          <w:color w:val="auto"/>
        </w:rPr>
      </w:pPr>
      <w:r>
        <w:rPr>
          <w:rFonts w:ascii="Arial" w:cs="Arial" w:eastAsia="Arial" w:hAnsi="Arial"/>
          <w:sz w:val="13"/>
          <w:szCs w:val="13"/>
          <w:color w:val="auto"/>
        </w:rPr>
        <w:t>Recognized for the second consecutive year by Women’s Choice Award as a Best Company for Millennials, and received a perfect score from Human Rights Campaign in their Corporate Equality Index</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color w:val="auto"/>
        </w:rPr>
        <w:t>__________</w:t>
      </w:r>
    </w:p>
    <w:p>
      <w:pPr>
        <w:ind w:right="240"/>
        <w:spacing w:after="0" w:line="258" w:lineRule="auto"/>
        <w:rPr>
          <w:sz w:val="20"/>
          <w:szCs w:val="20"/>
          <w:color w:val="auto"/>
        </w:rPr>
      </w:pPr>
      <w:r>
        <w:rPr>
          <w:rFonts w:ascii="Arial" w:cs="Arial" w:eastAsia="Arial" w:hAnsi="Arial"/>
          <w:sz w:val="13"/>
          <w:szCs w:val="13"/>
          <w:color w:val="auto"/>
        </w:rPr>
        <w:t>Promoted a Global Anti-Harassment and Discrimination Policy with associated training worldwide</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color w:val="auto"/>
        </w:rPr>
        <w:t>__________</w:t>
      </w:r>
    </w:p>
    <w:p>
      <w:pPr>
        <w:ind w:right="100"/>
        <w:spacing w:after="0" w:line="258" w:lineRule="auto"/>
        <w:rPr>
          <w:sz w:val="20"/>
          <w:szCs w:val="20"/>
          <w:color w:val="auto"/>
        </w:rPr>
      </w:pPr>
      <w:r>
        <w:rPr>
          <w:rFonts w:ascii="Arial" w:cs="Arial" w:eastAsia="Arial" w:hAnsi="Arial"/>
          <w:sz w:val="13"/>
          <w:szCs w:val="13"/>
          <w:color w:val="auto"/>
        </w:rPr>
        <w:t>Led in-person training on unconscious bias with members of our management team in the 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61C4AF"/>
        </w:rPr>
        <w:t>Energy and Emissions</w:t>
      </w:r>
    </w:p>
    <w:p>
      <w:pPr>
        <w:spacing w:after="0" w:line="38" w:lineRule="exact"/>
        <w:rPr>
          <w:sz w:val="20"/>
          <w:szCs w:val="20"/>
          <w:color w:val="auto"/>
        </w:rPr>
      </w:pPr>
    </w:p>
    <w:p>
      <w:pPr>
        <w:ind w:right="200"/>
        <w:spacing w:after="0" w:line="249" w:lineRule="auto"/>
        <w:rPr>
          <w:sz w:val="20"/>
          <w:szCs w:val="20"/>
          <w:color w:val="auto"/>
        </w:rPr>
      </w:pPr>
      <w:r>
        <w:rPr>
          <w:rFonts w:ascii="Arial" w:cs="Arial" w:eastAsia="Arial" w:hAnsi="Arial"/>
          <w:sz w:val="13"/>
          <w:szCs w:val="13"/>
          <w:b w:val="1"/>
          <w:bCs w:val="1"/>
          <w:i w:val="1"/>
          <w:iCs w:val="1"/>
          <w:color w:val="61C4AF"/>
        </w:rPr>
        <w:t>We aim to do our part in helping build an environmentally sustainable future by reducing our energy consumption, investing in conservation projects and managing our impacts on the environment.</w:t>
      </w:r>
    </w:p>
    <w:p>
      <w:pPr>
        <w:spacing w:after="0" w:line="198" w:lineRule="exact"/>
        <w:rPr>
          <w:sz w:val="20"/>
          <w:szCs w:val="20"/>
          <w:color w:val="auto"/>
        </w:rPr>
      </w:pPr>
    </w:p>
    <w:p>
      <w:pPr>
        <w:spacing w:after="0"/>
        <w:rPr>
          <w:sz w:val="20"/>
          <w:szCs w:val="20"/>
          <w:color w:val="auto"/>
        </w:rPr>
      </w:pPr>
      <w:r>
        <w:rPr>
          <w:rFonts w:ascii="Arial" w:cs="Arial" w:eastAsia="Arial" w:hAnsi="Arial"/>
          <w:sz w:val="13"/>
          <w:szCs w:val="13"/>
          <w:color w:val="auto"/>
        </w:rPr>
        <w:t>__________</w:t>
      </w:r>
    </w:p>
    <w:p>
      <w:pPr>
        <w:spacing w:after="0" w:line="258" w:lineRule="auto"/>
        <w:rPr>
          <w:sz w:val="20"/>
          <w:szCs w:val="20"/>
          <w:color w:val="auto"/>
        </w:rPr>
      </w:pPr>
      <w:r>
        <w:rPr>
          <w:rFonts w:ascii="Arial" w:cs="Arial" w:eastAsia="Arial" w:hAnsi="Arial"/>
          <w:sz w:val="13"/>
          <w:szCs w:val="13"/>
          <w:color w:val="auto"/>
        </w:rPr>
        <w:t>44% decrease in manufacturing energy intensity (kWh/PB) since 2016</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color w:val="auto"/>
        </w:rPr>
        <w:t>__________</w:t>
      </w:r>
    </w:p>
    <w:p>
      <w:pPr>
        <w:ind w:right="100"/>
        <w:spacing w:after="0" w:line="258" w:lineRule="auto"/>
        <w:rPr>
          <w:sz w:val="20"/>
          <w:szCs w:val="20"/>
          <w:color w:val="auto"/>
        </w:rPr>
      </w:pPr>
      <w:r>
        <w:rPr>
          <w:rFonts w:ascii="Arial" w:cs="Arial" w:eastAsia="Arial" w:hAnsi="Arial"/>
          <w:sz w:val="13"/>
          <w:szCs w:val="13"/>
          <w:color w:val="auto"/>
        </w:rPr>
        <w:t>Developing robust Scope 3 emissions data in fiscal 2021 in preparation for evaluation of targets</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color w:val="auto"/>
        </w:rPr>
        <w:t>__________</w:t>
      </w:r>
    </w:p>
    <w:p>
      <w:pPr>
        <w:spacing w:after="0" w:line="258" w:lineRule="auto"/>
        <w:rPr>
          <w:sz w:val="20"/>
          <w:szCs w:val="20"/>
          <w:color w:val="auto"/>
        </w:rPr>
      </w:pPr>
      <w:r>
        <w:rPr>
          <w:rFonts w:ascii="Arial" w:cs="Arial" w:eastAsia="Arial" w:hAnsi="Arial"/>
          <w:sz w:val="13"/>
          <w:szCs w:val="13"/>
          <w:color w:val="auto"/>
        </w:rPr>
        <w:t>Currently exceeding our target of 1.5% annual reduction in energy usage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61C4AF"/>
        </w:rPr>
        <w:t>Health and Safety/COVID-19</w:t>
      </w:r>
    </w:p>
    <w:p>
      <w:pPr>
        <w:spacing w:after="0" w:line="38" w:lineRule="exact"/>
        <w:rPr>
          <w:sz w:val="20"/>
          <w:szCs w:val="20"/>
          <w:color w:val="auto"/>
        </w:rPr>
      </w:pPr>
    </w:p>
    <w:p>
      <w:pPr>
        <w:ind w:right="40"/>
        <w:spacing w:after="0" w:line="247" w:lineRule="auto"/>
        <w:rPr>
          <w:sz w:val="20"/>
          <w:szCs w:val="20"/>
          <w:color w:val="auto"/>
        </w:rPr>
      </w:pPr>
      <w:r>
        <w:rPr>
          <w:rFonts w:ascii="Arial" w:cs="Arial" w:eastAsia="Arial" w:hAnsi="Arial"/>
          <w:sz w:val="13"/>
          <w:szCs w:val="13"/>
          <w:b w:val="1"/>
          <w:bCs w:val="1"/>
          <w:i w:val="1"/>
          <w:iCs w:val="1"/>
          <w:color w:val="61C4AF"/>
        </w:rPr>
        <w:t>As a company that has positioned itself to be the world’s leading data infrastructure company, we remained committed to provide essential infrastructure to support our world community during this worldwide pandemic. We did so with the health and safety of our employees as our first priority.</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color w:val="auto"/>
        </w:rPr>
        <w:t>__________</w:t>
      </w:r>
    </w:p>
    <w:p>
      <w:pPr>
        <w:ind w:right="120"/>
        <w:spacing w:after="0" w:line="258" w:lineRule="auto"/>
        <w:rPr>
          <w:sz w:val="20"/>
          <w:szCs w:val="20"/>
          <w:color w:val="auto"/>
        </w:rPr>
      </w:pPr>
      <w:r>
        <w:rPr>
          <w:rFonts w:ascii="Arial" w:cs="Arial" w:eastAsia="Arial" w:hAnsi="Arial"/>
          <w:sz w:val="13"/>
          <w:szCs w:val="13"/>
          <w:color w:val="auto"/>
        </w:rPr>
        <w:t>Promptly transitioned all possible employees to continue work from home</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color w:val="auto"/>
        </w:rPr>
        <w:t>__________</w:t>
      </w:r>
    </w:p>
    <w:p>
      <w:pPr>
        <w:jc w:val="both"/>
        <w:ind w:right="200"/>
        <w:spacing w:after="0" w:line="248" w:lineRule="auto"/>
        <w:rPr>
          <w:sz w:val="20"/>
          <w:szCs w:val="20"/>
          <w:color w:val="auto"/>
        </w:rPr>
      </w:pPr>
      <w:r>
        <w:rPr>
          <w:rFonts w:ascii="Arial" w:cs="Arial" w:eastAsia="Arial" w:hAnsi="Arial"/>
          <w:sz w:val="13"/>
          <w:szCs w:val="13"/>
          <w:color w:val="auto"/>
        </w:rPr>
        <w:t>Early adopter of PPE and temperature screening at our worldwide factories to protect essential employees and anyone visiting our sites</w:t>
      </w:r>
    </w:p>
    <w:p>
      <w:pPr>
        <w:spacing w:after="0" w:line="197" w:lineRule="exact"/>
        <w:rPr>
          <w:sz w:val="20"/>
          <w:szCs w:val="20"/>
          <w:color w:val="auto"/>
        </w:rPr>
      </w:pPr>
    </w:p>
    <w:p>
      <w:pPr>
        <w:spacing w:after="0"/>
        <w:rPr>
          <w:sz w:val="20"/>
          <w:szCs w:val="20"/>
          <w:color w:val="auto"/>
        </w:rPr>
      </w:pPr>
      <w:r>
        <w:rPr>
          <w:rFonts w:ascii="Arial" w:cs="Arial" w:eastAsia="Arial" w:hAnsi="Arial"/>
          <w:sz w:val="13"/>
          <w:szCs w:val="13"/>
          <w:color w:val="auto"/>
        </w:rPr>
        <w:t>__________</w:t>
      </w:r>
    </w:p>
    <w:p>
      <w:pPr>
        <w:ind w:right="240"/>
        <w:spacing w:after="0" w:line="258" w:lineRule="auto"/>
        <w:rPr>
          <w:sz w:val="20"/>
          <w:szCs w:val="20"/>
          <w:color w:val="auto"/>
        </w:rPr>
      </w:pPr>
      <w:r>
        <w:rPr>
          <w:rFonts w:ascii="Arial" w:cs="Arial" w:eastAsia="Arial" w:hAnsi="Arial"/>
          <w:sz w:val="13"/>
          <w:szCs w:val="13"/>
          <w:color w:val="auto"/>
        </w:rPr>
        <w:t>Provided emergency leave for employees impacted by COVID-19</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color w:val="auto"/>
        </w:rPr>
        <w:t>__________</w:t>
      </w:r>
    </w:p>
    <w:p>
      <w:pPr>
        <w:spacing w:after="0"/>
        <w:rPr>
          <w:sz w:val="20"/>
          <w:szCs w:val="20"/>
          <w:color w:val="auto"/>
        </w:rPr>
      </w:pPr>
      <w:r>
        <w:rPr>
          <w:rFonts w:ascii="Arial" w:cs="Arial" w:eastAsia="Arial" w:hAnsi="Arial"/>
          <w:sz w:val="13"/>
          <w:szCs w:val="13"/>
          <w:color w:val="auto"/>
        </w:rPr>
        <w:t>Offered premium pay for hourly essential workers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-2447290</wp:posOffset>
            </wp:positionH>
            <wp:positionV relativeFrom="paragraph">
              <wp:posOffset>400685</wp:posOffset>
            </wp:positionV>
            <wp:extent cx="7153275"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61C4AF"/>
        </w:rPr>
        <w:t>Lifecycle Impacts</w:t>
      </w:r>
    </w:p>
    <w:p>
      <w:pPr>
        <w:spacing w:after="0" w:line="38" w:lineRule="exact"/>
        <w:rPr>
          <w:sz w:val="20"/>
          <w:szCs w:val="20"/>
          <w:color w:val="auto"/>
        </w:rPr>
      </w:pPr>
    </w:p>
    <w:p>
      <w:pPr>
        <w:ind w:right="200"/>
        <w:spacing w:after="0" w:line="249" w:lineRule="auto"/>
        <w:rPr>
          <w:sz w:val="20"/>
          <w:szCs w:val="20"/>
          <w:color w:val="auto"/>
        </w:rPr>
      </w:pPr>
      <w:r>
        <w:rPr>
          <w:rFonts w:ascii="Arial" w:cs="Arial" w:eastAsia="Arial" w:hAnsi="Arial"/>
          <w:sz w:val="13"/>
          <w:szCs w:val="13"/>
          <w:b w:val="1"/>
          <w:bCs w:val="1"/>
          <w:i w:val="1"/>
          <w:iCs w:val="1"/>
          <w:color w:val="61C4AF"/>
        </w:rPr>
        <w:t>We care for our world at every step, everywhere we operate. Since our products are used widely throughout the world, we’re committed to delivering products designed and manufactured with long-term sustainability in mind.</w:t>
      </w:r>
    </w:p>
    <w:p>
      <w:pPr>
        <w:spacing w:after="0" w:line="198" w:lineRule="exact"/>
        <w:rPr>
          <w:sz w:val="20"/>
          <w:szCs w:val="20"/>
          <w:color w:val="auto"/>
        </w:rPr>
      </w:pPr>
    </w:p>
    <w:p>
      <w:pPr>
        <w:spacing w:after="0"/>
        <w:rPr>
          <w:sz w:val="20"/>
          <w:szCs w:val="20"/>
          <w:color w:val="auto"/>
        </w:rPr>
      </w:pPr>
      <w:r>
        <w:rPr>
          <w:rFonts w:ascii="Arial" w:cs="Arial" w:eastAsia="Arial" w:hAnsi="Arial"/>
          <w:sz w:val="13"/>
          <w:szCs w:val="13"/>
          <w:color w:val="auto"/>
        </w:rPr>
        <w:t>__________</w:t>
      </w:r>
    </w:p>
    <w:p>
      <w:pPr>
        <w:ind w:right="480"/>
        <w:spacing w:after="0" w:line="258" w:lineRule="auto"/>
        <w:rPr>
          <w:sz w:val="20"/>
          <w:szCs w:val="20"/>
          <w:color w:val="auto"/>
        </w:rPr>
      </w:pPr>
      <w:r>
        <w:rPr>
          <w:rFonts w:ascii="Arial" w:cs="Arial" w:eastAsia="Arial" w:hAnsi="Arial"/>
          <w:sz w:val="13"/>
          <w:szCs w:val="13"/>
          <w:color w:val="auto"/>
        </w:rPr>
        <w:t>Product takeback program launched in April 2020 to encourage and facilitate product recycling</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color w:val="auto"/>
        </w:rPr>
        <w:t>__________</w:t>
      </w:r>
    </w:p>
    <w:p>
      <w:pPr>
        <w:ind w:right="120"/>
        <w:spacing w:after="0" w:line="258" w:lineRule="auto"/>
        <w:rPr>
          <w:sz w:val="20"/>
          <w:szCs w:val="20"/>
          <w:color w:val="auto"/>
        </w:rPr>
      </w:pPr>
      <w:r>
        <w:rPr>
          <w:rFonts w:ascii="Arial" w:cs="Arial" w:eastAsia="Arial" w:hAnsi="Arial"/>
          <w:sz w:val="13"/>
          <w:szCs w:val="13"/>
          <w:color w:val="auto"/>
        </w:rPr>
        <w:t>Performing several ISO-conformant lifecycle assessments in fiscal 2021 to evaluate the impacts of our products</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color w:val="auto"/>
        </w:rPr>
        <w:t>__________</w:t>
      </w:r>
    </w:p>
    <w:p>
      <w:pPr>
        <w:ind w:right="580"/>
        <w:spacing w:after="0" w:line="258" w:lineRule="auto"/>
        <w:rPr>
          <w:sz w:val="20"/>
          <w:szCs w:val="20"/>
          <w:color w:val="auto"/>
        </w:rPr>
      </w:pPr>
      <w:r>
        <w:rPr>
          <w:rFonts w:ascii="Arial" w:cs="Arial" w:eastAsia="Arial" w:hAnsi="Arial"/>
          <w:sz w:val="13"/>
          <w:szCs w:val="13"/>
          <w:color w:val="auto"/>
        </w:rPr>
        <w:t>730,000 kg less paper used annually in packaging (compared to 2010 base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61C4AF"/>
        </w:rPr>
        <w:t>Integrity</w:t>
      </w:r>
    </w:p>
    <w:p>
      <w:pPr>
        <w:spacing w:after="0" w:line="38" w:lineRule="exact"/>
        <w:rPr>
          <w:sz w:val="20"/>
          <w:szCs w:val="20"/>
          <w:color w:val="auto"/>
        </w:rPr>
      </w:pPr>
    </w:p>
    <w:p>
      <w:pPr>
        <w:ind w:right="80"/>
        <w:spacing w:after="0" w:line="249" w:lineRule="auto"/>
        <w:rPr>
          <w:sz w:val="20"/>
          <w:szCs w:val="20"/>
          <w:color w:val="auto"/>
        </w:rPr>
      </w:pPr>
      <w:r>
        <w:rPr>
          <w:rFonts w:ascii="Arial" w:cs="Arial" w:eastAsia="Arial" w:hAnsi="Arial"/>
          <w:sz w:val="13"/>
          <w:szCs w:val="13"/>
          <w:b w:val="1"/>
          <w:bCs w:val="1"/>
          <w:i w:val="1"/>
          <w:iCs w:val="1"/>
          <w:color w:val="61C4AF"/>
        </w:rPr>
        <w:t>As a global company operating across a wide range of geographies, Western Digital is committed to doing business fairly and legally. We set a consistent tone across our organization to form our global culture of integrity.</w:t>
      </w:r>
    </w:p>
    <w:p>
      <w:pPr>
        <w:spacing w:after="0" w:line="198" w:lineRule="exact"/>
        <w:rPr>
          <w:sz w:val="20"/>
          <w:szCs w:val="20"/>
          <w:color w:val="auto"/>
        </w:rPr>
      </w:pPr>
    </w:p>
    <w:p>
      <w:pPr>
        <w:spacing w:after="0"/>
        <w:rPr>
          <w:sz w:val="20"/>
          <w:szCs w:val="20"/>
          <w:color w:val="auto"/>
        </w:rPr>
      </w:pPr>
      <w:r>
        <w:rPr>
          <w:rFonts w:ascii="Arial" w:cs="Arial" w:eastAsia="Arial" w:hAnsi="Arial"/>
          <w:sz w:val="13"/>
          <w:szCs w:val="13"/>
          <w:color w:val="auto"/>
        </w:rPr>
        <w:t>__________</w:t>
      </w:r>
    </w:p>
    <w:p>
      <w:pPr>
        <w:ind w:right="60"/>
        <w:spacing w:after="0" w:line="258" w:lineRule="auto"/>
        <w:rPr>
          <w:sz w:val="20"/>
          <w:szCs w:val="20"/>
          <w:color w:val="auto"/>
        </w:rPr>
      </w:pPr>
      <w:r>
        <w:rPr>
          <w:rFonts w:ascii="Arial" w:cs="Arial" w:eastAsia="Arial" w:hAnsi="Arial"/>
          <w:sz w:val="13"/>
          <w:szCs w:val="13"/>
          <w:color w:val="auto"/>
        </w:rPr>
        <w:t>Recognized by Ethisphere Institute for the 2nd consecutive year as one of the World’s Most Ethical Companies</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color w:val="auto"/>
        </w:rPr>
        <w:t>__________</w:t>
      </w:r>
    </w:p>
    <w:p>
      <w:pPr>
        <w:ind w:right="60"/>
        <w:spacing w:after="0" w:line="258" w:lineRule="auto"/>
        <w:rPr>
          <w:sz w:val="20"/>
          <w:szCs w:val="20"/>
          <w:color w:val="auto"/>
        </w:rPr>
      </w:pPr>
      <w:r>
        <w:rPr>
          <w:rFonts w:ascii="Arial" w:cs="Arial" w:eastAsia="Arial" w:hAnsi="Arial"/>
          <w:sz w:val="13"/>
          <w:szCs w:val="13"/>
          <w:color w:val="auto"/>
        </w:rPr>
        <w:t>100% of operations assessed for risks related to corruption since 2016</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color w:val="auto"/>
        </w:rPr>
        <w:t>__________</w:t>
      </w:r>
    </w:p>
    <w:p>
      <w:pPr>
        <w:ind w:right="260"/>
        <w:spacing w:after="0" w:line="258" w:lineRule="auto"/>
        <w:rPr>
          <w:sz w:val="20"/>
          <w:szCs w:val="20"/>
          <w:color w:val="auto"/>
        </w:rPr>
      </w:pPr>
      <w:r>
        <w:rPr>
          <w:rFonts w:ascii="Arial" w:cs="Arial" w:eastAsia="Arial" w:hAnsi="Arial"/>
          <w:sz w:val="13"/>
          <w:szCs w:val="13"/>
          <w:color w:val="auto"/>
        </w:rPr>
        <w:t>Zero reportable breaches of personal data in 2019 or to date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23628F"/>
        </w:rPr>
        <w:t>2020 PROXY STATEMENT</w:t>
      </w:r>
      <w:r>
        <w:rPr>
          <w:sz w:val="20"/>
          <w:szCs w:val="20"/>
          <w:color w:val="auto"/>
        </w:rPr>
        <w:tab/>
      </w:r>
      <w:r>
        <w:rPr>
          <w:rFonts w:ascii="Arial" w:cs="Arial" w:eastAsia="Arial" w:hAnsi="Arial"/>
          <w:sz w:val="16"/>
          <w:szCs w:val="16"/>
          <w:b w:val="1"/>
          <w:bCs w:val="1"/>
          <w:color w:val="23628F"/>
        </w:rPr>
        <w:t>29</w:t>
      </w:r>
    </w:p>
    <w:p>
      <w:pPr>
        <w:sectPr>
          <w:pgSz w:w="11900" w:h="16838" w:orient="portrait"/>
          <w:cols w:equalWidth="0" w:num="3">
            <w:col w:w="3560" w:space="300"/>
            <w:col w:w="3500" w:space="300"/>
            <w:col w:w="3580"/>
          </w:cols>
          <w:pgMar w:left="320" w:top="121" w:right="3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23628F"/>
        </w:rPr>
        <w:t>CORPORATE GOVERNANCE MATTER</w:t>
      </w:r>
    </w:p>
    <w:p>
      <w:pPr>
        <w:spacing w:after="0" w:line="182"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Oversight by Our Board of Directors</w:t>
      </w:r>
    </w:p>
    <w:p>
      <w:pPr>
        <w:spacing w:after="0" w:line="257" w:lineRule="exact"/>
        <w:rPr>
          <w:sz w:val="20"/>
          <w:szCs w:val="20"/>
          <w:color w:val="auto"/>
        </w:rPr>
      </w:pPr>
    </w:p>
    <w:p>
      <w:pPr>
        <w:ind w:right="100"/>
        <w:spacing w:after="0" w:line="245" w:lineRule="auto"/>
        <w:rPr>
          <w:sz w:val="20"/>
          <w:szCs w:val="20"/>
          <w:color w:val="auto"/>
        </w:rPr>
      </w:pPr>
      <w:r>
        <w:rPr>
          <w:rFonts w:ascii="Arial" w:cs="Arial" w:eastAsia="Arial" w:hAnsi="Arial"/>
          <w:sz w:val="13"/>
          <w:szCs w:val="13"/>
          <w:color w:val="auto"/>
        </w:rPr>
        <w:t>Sound corporate responsibility in all aspects of our business is a focus of our Board. The Governance Committee is responsible for assisting our Board in overseeing our corporate responsibility and sustainability policies and programs. The Governance Committee provides Board-level input on our social, environmental and human rights policies and programs. In addition, the Compensation and Talent Committee periodically reviews our human capital management policies, programs and initiatives, including those focusing on culture, diversity and inclusion.</w:t>
      </w:r>
    </w:p>
    <w:p>
      <w:pPr>
        <w:spacing w:after="0" w:line="319"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Unified Culture</w:t>
      </w:r>
    </w:p>
    <w:p>
      <w:pPr>
        <w:spacing w:after="0" w:line="257" w:lineRule="exact"/>
        <w:rPr>
          <w:sz w:val="20"/>
          <w:szCs w:val="20"/>
          <w:color w:val="auto"/>
        </w:rPr>
      </w:pPr>
    </w:p>
    <w:p>
      <w:pPr>
        <w:ind w:right="200"/>
        <w:spacing w:after="0" w:line="245" w:lineRule="auto"/>
        <w:rPr>
          <w:sz w:val="20"/>
          <w:szCs w:val="20"/>
          <w:color w:val="auto"/>
        </w:rPr>
      </w:pPr>
      <w:r>
        <w:rPr>
          <w:rFonts w:ascii="Arial" w:cs="Arial" w:eastAsia="Arial" w:hAnsi="Arial"/>
          <w:sz w:val="13"/>
          <w:szCs w:val="13"/>
          <w:color w:val="auto"/>
        </w:rPr>
        <w:t>Our employees drive our success and shape our future. To continue leading the data storage infrastructure industry, we rely on highly skilled individuals to drive our culture of innovation. We work diligently to foster a working environment where all of our employees, regardless of where in the world they are located or what roles they have, can be treated fairly and with respect and dignity, and are provided with safe working conditions. We strive to create an environment where employees feel connected and committed to our mission and vision: to be recognized as the world’s leading data infrastructure company, architecting how data enables the world to solve its biggest challenges.</w:t>
      </w:r>
    </w:p>
    <w:p>
      <w:pPr>
        <w:spacing w:after="0" w:line="200" w:lineRule="exact"/>
        <w:rPr>
          <w:sz w:val="20"/>
          <w:szCs w:val="20"/>
          <w:color w:val="auto"/>
        </w:rPr>
      </w:pPr>
    </w:p>
    <w:p>
      <w:pPr>
        <w:ind w:right="120"/>
        <w:spacing w:after="0" w:line="245" w:lineRule="auto"/>
        <w:rPr>
          <w:sz w:val="20"/>
          <w:szCs w:val="20"/>
          <w:color w:val="auto"/>
        </w:rPr>
      </w:pPr>
      <w:r>
        <w:rPr>
          <w:rFonts w:ascii="Arial" w:cs="Arial" w:eastAsia="Arial" w:hAnsi="Arial"/>
          <w:sz w:val="13"/>
          <w:szCs w:val="13"/>
          <w:color w:val="auto"/>
        </w:rPr>
        <w:t>This was another milestone year for our workforce, as we continued to focus on creating a unified culture that amplifies the best aspects of our three legacy companies and is anchored to our renewed mission and vision. After a robust listening effort across the organization, our executive team officially launched our “Culture Journey” in February 2020, introducing 11 global culture attributes linked to our values that are critical in achieving our mission and vision, including a focus on inclusivity as one of the culture attributes. Since then, our business leaders and employees have been embracing the attributes and bringing them to life.</w:t>
      </w:r>
    </w:p>
    <w:p>
      <w:pPr>
        <w:spacing w:after="0" w:line="200" w:lineRule="exact"/>
        <w:rPr>
          <w:sz w:val="20"/>
          <w:szCs w:val="20"/>
          <w:color w:val="auto"/>
        </w:rPr>
      </w:pPr>
    </w:p>
    <w:p>
      <w:pPr>
        <w:spacing w:after="0" w:line="245" w:lineRule="auto"/>
        <w:rPr>
          <w:sz w:val="20"/>
          <w:szCs w:val="20"/>
          <w:color w:val="auto"/>
        </w:rPr>
      </w:pPr>
      <w:r>
        <w:rPr>
          <w:rFonts w:ascii="Arial" w:cs="Arial" w:eastAsia="Arial" w:hAnsi="Arial"/>
          <w:sz w:val="13"/>
          <w:szCs w:val="13"/>
          <w:color w:val="auto"/>
        </w:rPr>
        <w:t>One of our other culture attributes focuses on giving back to the communities that support our employees and operations. Our Global Giving and Doing program is committed to maintaining Western Digital’s reputation as a good corporate citizen. Our charitable donations and volunteerism track the issues that mean the most to us. This year, given our focus on diversity and inclusion, we added a new equality focus to our giving program, which empowers employees to make an impact together, to help ensure that the communities where we live and work are safe and just for all.</w:t>
      </w:r>
    </w:p>
    <w:p>
      <w:pPr>
        <w:spacing w:after="0" w:line="200" w:lineRule="exact"/>
        <w:rPr>
          <w:sz w:val="20"/>
          <w:szCs w:val="20"/>
          <w:color w:val="auto"/>
        </w:rPr>
      </w:pPr>
    </w:p>
    <w:p>
      <w:pPr>
        <w:ind w:right="640"/>
        <w:spacing w:after="0" w:line="258" w:lineRule="auto"/>
        <w:rPr>
          <w:sz w:val="20"/>
          <w:szCs w:val="20"/>
          <w:color w:val="auto"/>
        </w:rPr>
      </w:pPr>
      <w:r>
        <w:rPr>
          <w:rFonts w:ascii="Arial" w:cs="Arial" w:eastAsia="Arial" w:hAnsi="Arial"/>
          <w:sz w:val="13"/>
          <w:szCs w:val="13"/>
          <w:color w:val="auto"/>
        </w:rPr>
        <w:t>As part of our Culture Journey and focus on people strategy, we also regularly review our talent attraction strategy, including our employer brand, employee value proposition and competition for talent. Our goal is to continue our positive track record of attracting and retaining talent.</w:t>
      </w:r>
    </w:p>
    <w:p>
      <w:pPr>
        <w:spacing w:after="0" w:line="158"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Diversity and Inclusion</w:t>
      </w:r>
    </w:p>
    <w:p>
      <w:pPr>
        <w:spacing w:after="0" w:line="257" w:lineRule="exact"/>
        <w:rPr>
          <w:sz w:val="20"/>
          <w:szCs w:val="20"/>
          <w:color w:val="auto"/>
        </w:rPr>
      </w:pPr>
    </w:p>
    <w:p>
      <w:pPr>
        <w:spacing w:after="0" w:line="241" w:lineRule="auto"/>
        <w:rPr>
          <w:sz w:val="20"/>
          <w:szCs w:val="20"/>
          <w:color w:val="auto"/>
        </w:rPr>
      </w:pPr>
      <w:r>
        <w:rPr>
          <w:rFonts w:ascii="Arial" w:cs="Arial" w:eastAsia="Arial" w:hAnsi="Arial"/>
          <w:sz w:val="13"/>
          <w:szCs w:val="13"/>
          <w:color w:val="auto"/>
        </w:rPr>
        <w:t>Western Digital, led by our executive team and Board of Directors, is committed to creating a culture of belonging for all of our employees—all genders, races, ages and any other dimensions of diversity—across all levels of our organization, starting with our Board. We believe that the more diverse our backgrounds and experiences, the greater our opportunity for success. Embracing this philosophy, we have continued executing on our global diversity and inclusion strategy and have made additional progress in a number of key areas. For example, we led in-person training on unconscious bias with members of our management team in the U.S., thereby heightening their awareness to the value that all employees bring to our work teams. We have also focused on enhancing our business resource groups by expanding their charters to strengthen their connection to business outcomes in areas such as attracting high-quality, diverse talent and creating opportunities to further innovation. These groups partner with our Diversity and Inclusion team and business leaders to raise awareness on issues of pay equity and employee advancement and to advocate for equality in general.</w:t>
      </w:r>
    </w:p>
    <w:p>
      <w:pPr>
        <w:spacing w:after="0" w:line="205" w:lineRule="exact"/>
        <w:rPr>
          <w:sz w:val="20"/>
          <w:szCs w:val="20"/>
          <w:color w:val="auto"/>
        </w:rPr>
      </w:pPr>
    </w:p>
    <w:p>
      <w:pPr>
        <w:ind w:right="80"/>
        <w:spacing w:after="0" w:line="245" w:lineRule="auto"/>
        <w:rPr>
          <w:sz w:val="20"/>
          <w:szCs w:val="20"/>
          <w:color w:val="auto"/>
        </w:rPr>
      </w:pPr>
      <w:r>
        <w:rPr>
          <w:rFonts w:ascii="Arial" w:cs="Arial" w:eastAsia="Arial" w:hAnsi="Arial"/>
          <w:sz w:val="13"/>
          <w:szCs w:val="13"/>
          <w:color w:val="auto"/>
        </w:rPr>
        <w:t>Our commitment to fairness and equality is reflected in our promotion of racial understanding amidst the social injustices seen across the U.S. during the second half of fiscal 2020. Led by our Chief Executive Officer, our executive team has engaged in open and honest dialogue with employees across our company on the importance of embracing diversity, practicing inclusion and eliminating racism. In addition, our Diversity and Inclusion team has focused on further developing its programs to improve processes, including reviewing our compensation practices. In the U.S., we review pay equity annually to assess the fairness of pay to women and underrepresented ethnic groups.</w:t>
      </w:r>
    </w:p>
    <w:p>
      <w:pPr>
        <w:spacing w:after="0" w:line="200" w:lineRule="exact"/>
        <w:rPr>
          <w:sz w:val="20"/>
          <w:szCs w:val="20"/>
          <w:color w:val="auto"/>
        </w:rPr>
      </w:pPr>
    </w:p>
    <w:p>
      <w:pPr>
        <w:ind w:right="40"/>
        <w:spacing w:after="0" w:line="245" w:lineRule="auto"/>
        <w:rPr>
          <w:sz w:val="20"/>
          <w:szCs w:val="20"/>
          <w:color w:val="auto"/>
        </w:rPr>
      </w:pPr>
      <w:r>
        <w:rPr>
          <w:rFonts w:ascii="Arial" w:cs="Arial" w:eastAsia="Arial" w:hAnsi="Arial"/>
          <w:sz w:val="13"/>
          <w:szCs w:val="13"/>
          <w:color w:val="auto"/>
        </w:rPr>
        <w:t>In fiscal 2021, we are continuing to focus on the attraction and retention of diverse talent. For example, we are dedicating staff to the development of a more diverse talent pipeline by enhancing our relationships with universities and professional organizations that focus on producing diverse candidates. We are expanding our women’s leadership program to address the development of women at all levels, and we are being intentional about including our male managers to support them in becoming more inclusive leaders. We recently published our workforce diversity data in our 2020 Sustainability Report.</w:t>
      </w:r>
    </w:p>
    <w:p>
      <w:pPr>
        <w:spacing w:after="0" w:line="195" w:lineRule="exact"/>
        <w:rPr>
          <w:sz w:val="20"/>
          <w:szCs w:val="20"/>
          <w:color w:val="auto"/>
        </w:rPr>
      </w:pPr>
    </w:p>
    <w:p>
      <w:pPr>
        <w:ind w:left="440" w:hanging="432"/>
        <w:spacing w:after="0"/>
        <w:tabs>
          <w:tab w:leader="none" w:pos="440" w:val="left"/>
        </w:tabs>
        <w:numPr>
          <w:ilvl w:val="0"/>
          <w:numId w:val="99"/>
        </w:numPr>
        <w:rPr>
          <w:rFonts w:ascii="Arial" w:cs="Arial" w:eastAsia="Arial" w:hAnsi="Arial"/>
          <w:sz w:val="18"/>
          <w:szCs w:val="18"/>
          <w:b w:val="1"/>
          <w:bCs w:val="1"/>
          <w:color w:val="23628F"/>
        </w:rPr>
      </w:pPr>
      <w:r>
        <w:rPr>
          <w:rFonts w:ascii="Arial" w:cs="Arial" w:eastAsia="Arial" w:hAnsi="Arial"/>
          <w:sz w:val="13"/>
          <w:szCs w:val="13"/>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153275"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right"/>
        <w:spacing w:after="0"/>
        <w:rPr>
          <w:sz w:val="20"/>
          <w:szCs w:val="20"/>
          <w:color w:val="auto"/>
        </w:rPr>
      </w:pPr>
      <w:r>
        <w:rPr>
          <w:rFonts w:ascii="Arial" w:cs="Arial" w:eastAsia="Arial" w:hAnsi="Arial"/>
          <w:sz w:val="13"/>
          <w:szCs w:val="13"/>
          <w:color w:val="23628F"/>
        </w:rPr>
        <w:t>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234440" cy="685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34440" cy="68580"/>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RISK OVERSIGHT AND COMPENSATION RISK ASSESSMENT</w:t>
      </w:r>
    </w:p>
    <w:p>
      <w:pPr>
        <w:spacing w:after="0" w:line="219"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Board’s Role in Risk Oversight</w:t>
      </w:r>
    </w:p>
    <w:p>
      <w:pPr>
        <w:spacing w:after="0" w:line="257" w:lineRule="exact"/>
        <w:rPr>
          <w:sz w:val="20"/>
          <w:szCs w:val="20"/>
          <w:color w:val="auto"/>
        </w:rPr>
      </w:pPr>
    </w:p>
    <w:p>
      <w:pPr>
        <w:ind w:right="160"/>
        <w:spacing w:after="0" w:line="243" w:lineRule="auto"/>
        <w:rPr>
          <w:sz w:val="20"/>
          <w:szCs w:val="20"/>
          <w:color w:val="auto"/>
        </w:rPr>
      </w:pPr>
      <w:r>
        <w:rPr>
          <w:rFonts w:ascii="Arial" w:cs="Arial" w:eastAsia="Arial" w:hAnsi="Arial"/>
          <w:sz w:val="13"/>
          <w:szCs w:val="13"/>
          <w:color w:val="auto"/>
        </w:rPr>
        <w:t>Our Board of Directors’ role in risk oversight involves both our full Board and its committees. Individual committees are charged with identifying potential risks to our company during the course of their respective committee work. If a committee identifies a potential risk during the course of its work, the potential risk is raised to the Audit Committee and full Board for inclusion in our enterprise risk management (“ERM”) process described below. Our Board of Directors believes that the processes it has established for overseeing risk would be effective under a variety of leadership frameworks, and therefore such processes do not materially affect its choice of leadership structure as described in the section entitled “Board Leadership Structure”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595757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595757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620"/>
        <w:spacing w:after="0"/>
        <w:rPr>
          <w:sz w:val="20"/>
          <w:szCs w:val="20"/>
          <w:color w:val="auto"/>
        </w:rPr>
      </w:pPr>
      <w:r>
        <w:rPr>
          <w:rFonts w:ascii="Arial" w:cs="Arial" w:eastAsia="Arial" w:hAnsi="Arial"/>
          <w:sz w:val="13"/>
          <w:szCs w:val="13"/>
          <w:b w:val="1"/>
          <w:bCs w:val="1"/>
          <w:color w:val="auto"/>
        </w:rPr>
        <w:t>Board of Directors</w:t>
      </w:r>
    </w:p>
    <w:p>
      <w:pPr>
        <w:spacing w:after="0" w:line="191" w:lineRule="exact"/>
        <w:rPr>
          <w:sz w:val="20"/>
          <w:szCs w:val="20"/>
          <w:color w:val="auto"/>
        </w:rPr>
      </w:pPr>
    </w:p>
    <w:p>
      <w:pPr>
        <w:ind w:left="620" w:right="1060"/>
        <w:spacing w:after="0" w:line="258" w:lineRule="auto"/>
        <w:rPr>
          <w:sz w:val="20"/>
          <w:szCs w:val="20"/>
          <w:color w:val="auto"/>
        </w:rPr>
      </w:pPr>
      <w:r>
        <w:rPr>
          <w:rFonts w:ascii="Arial" w:cs="Arial" w:eastAsia="Arial" w:hAnsi="Arial"/>
          <w:sz w:val="13"/>
          <w:szCs w:val="13"/>
          <w:color w:val="auto"/>
        </w:rPr>
        <w:t>Our Board as a whole is updated throughout the year on specific risks and mitigating measures in the course of its review of our strategy and business plan, and through reports to our Board by its respective committees and senior members of management.</w:t>
      </w:r>
    </w:p>
    <w:p>
      <w:pPr>
        <w:spacing w:after="0" w:line="200" w:lineRule="exact"/>
        <w:rPr>
          <w:sz w:val="20"/>
          <w:szCs w:val="20"/>
          <w:color w:val="auto"/>
        </w:rPr>
      </w:pPr>
    </w:p>
    <w:p>
      <w:pPr>
        <w:spacing w:after="0" w:line="31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567EA5"/>
        </w:rPr>
        <w:t>Audit Committee</w:t>
      </w:r>
    </w:p>
    <w:p>
      <w:pPr>
        <w:spacing w:after="0" w:line="163" w:lineRule="exact"/>
        <w:rPr>
          <w:sz w:val="20"/>
          <w:szCs w:val="20"/>
          <w:color w:val="auto"/>
        </w:rPr>
      </w:pPr>
    </w:p>
    <w:p>
      <w:pPr>
        <w:ind w:left="940" w:hanging="217"/>
        <w:spacing w:after="0"/>
        <w:tabs>
          <w:tab w:leader="none" w:pos="940" w:val="left"/>
        </w:tabs>
        <w:numPr>
          <w:ilvl w:val="0"/>
          <w:numId w:val="100"/>
        </w:numPr>
        <w:rPr>
          <w:rFonts w:ascii="Arial" w:cs="Arial" w:eastAsia="Arial" w:hAnsi="Arial"/>
          <w:sz w:val="13"/>
          <w:szCs w:val="13"/>
          <w:color w:val="567EA5"/>
        </w:rPr>
      </w:pPr>
      <w:r>
        <w:rPr>
          <w:rFonts w:ascii="Arial" w:cs="Arial" w:eastAsia="Arial" w:hAnsi="Arial"/>
          <w:sz w:val="13"/>
          <w:szCs w:val="13"/>
          <w:color w:val="auto"/>
        </w:rPr>
        <w:t>Oversees our ERM process on behalf of our Board</w:t>
      </w:r>
    </w:p>
    <w:p>
      <w:pPr>
        <w:ind w:left="940" w:hanging="217"/>
        <w:spacing w:after="0"/>
        <w:tabs>
          <w:tab w:leader="none" w:pos="940" w:val="left"/>
        </w:tabs>
        <w:numPr>
          <w:ilvl w:val="0"/>
          <w:numId w:val="100"/>
        </w:numPr>
        <w:rPr>
          <w:rFonts w:ascii="Arial" w:cs="Arial" w:eastAsia="Arial" w:hAnsi="Arial"/>
          <w:sz w:val="13"/>
          <w:szCs w:val="13"/>
          <w:color w:val="567EA5"/>
        </w:rPr>
      </w:pPr>
      <w:r>
        <w:rPr>
          <w:rFonts w:ascii="Arial" w:cs="Arial" w:eastAsia="Arial" w:hAnsi="Arial"/>
          <w:sz w:val="13"/>
          <w:szCs w:val="13"/>
          <w:color w:val="auto"/>
        </w:rPr>
        <w:t>Our chief audit executive, who reports directly to the Audit Committee, oversees and facilitates the ERM process as part of our strategic planning process</w:t>
      </w:r>
    </w:p>
    <w:p>
      <w:pPr>
        <w:ind w:left="960" w:right="1440" w:hanging="237"/>
        <w:spacing w:after="0" w:line="238" w:lineRule="auto"/>
        <w:tabs>
          <w:tab w:leader="none" w:pos="937" w:val="left"/>
        </w:tabs>
        <w:numPr>
          <w:ilvl w:val="0"/>
          <w:numId w:val="100"/>
        </w:numPr>
        <w:rPr>
          <w:rFonts w:ascii="Arial" w:cs="Arial" w:eastAsia="Arial" w:hAnsi="Arial"/>
          <w:sz w:val="13"/>
          <w:szCs w:val="13"/>
          <w:color w:val="567EA5"/>
        </w:rPr>
      </w:pPr>
      <w:r>
        <w:rPr>
          <w:rFonts w:ascii="Arial" w:cs="Arial" w:eastAsia="Arial" w:hAnsi="Arial"/>
          <w:sz w:val="13"/>
          <w:szCs w:val="13"/>
          <w:color w:val="auto"/>
        </w:rPr>
        <w:t>Reviews and discusses with management our risk assessment and enterprise risk management policies as related to the Audit Committee’s areas of responsibility</w:t>
      </w:r>
    </w:p>
    <w:p>
      <w:pPr>
        <w:ind w:left="940" w:hanging="217"/>
        <w:spacing w:after="0"/>
        <w:tabs>
          <w:tab w:leader="none" w:pos="940" w:val="left"/>
        </w:tabs>
        <w:numPr>
          <w:ilvl w:val="0"/>
          <w:numId w:val="100"/>
        </w:numPr>
        <w:rPr>
          <w:rFonts w:ascii="Arial" w:cs="Arial" w:eastAsia="Arial" w:hAnsi="Arial"/>
          <w:sz w:val="13"/>
          <w:szCs w:val="13"/>
          <w:color w:val="567EA5"/>
        </w:rPr>
      </w:pPr>
      <w:r>
        <w:rPr>
          <w:rFonts w:ascii="Arial" w:cs="Arial" w:eastAsia="Arial" w:hAnsi="Arial"/>
          <w:sz w:val="13"/>
          <w:szCs w:val="13"/>
          <w:color w:val="auto"/>
        </w:rPr>
        <w:t>Oversees the following additional risk topics:</w:t>
      </w:r>
    </w:p>
    <w:p>
      <w:pPr>
        <w:ind w:left="1160" w:hanging="221"/>
        <w:spacing w:after="0"/>
        <w:tabs>
          <w:tab w:leader="none" w:pos="1160" w:val="left"/>
        </w:tabs>
        <w:numPr>
          <w:ilvl w:val="1"/>
          <w:numId w:val="100"/>
        </w:numPr>
        <w:rPr>
          <w:rFonts w:ascii="Arial" w:cs="Arial" w:eastAsia="Arial" w:hAnsi="Arial"/>
          <w:sz w:val="13"/>
          <w:szCs w:val="13"/>
          <w:color w:val="567EA5"/>
        </w:rPr>
      </w:pPr>
      <w:r>
        <w:rPr>
          <w:rFonts w:ascii="Arial" w:cs="Arial" w:eastAsia="Arial" w:hAnsi="Arial"/>
          <w:sz w:val="13"/>
          <w:szCs w:val="13"/>
          <w:color w:val="auto"/>
        </w:rPr>
        <w:t>Financial reporting, accounting, internal controls and fraud</w:t>
      </w:r>
    </w:p>
    <w:p>
      <w:pPr>
        <w:ind w:left="1160" w:hanging="221"/>
        <w:spacing w:after="0"/>
        <w:tabs>
          <w:tab w:leader="none" w:pos="1160" w:val="left"/>
        </w:tabs>
        <w:numPr>
          <w:ilvl w:val="1"/>
          <w:numId w:val="100"/>
        </w:numPr>
        <w:rPr>
          <w:rFonts w:ascii="Arial" w:cs="Arial" w:eastAsia="Arial" w:hAnsi="Arial"/>
          <w:sz w:val="13"/>
          <w:szCs w:val="13"/>
          <w:color w:val="567EA5"/>
        </w:rPr>
      </w:pPr>
      <w:r>
        <w:rPr>
          <w:rFonts w:ascii="Arial" w:cs="Arial" w:eastAsia="Arial" w:hAnsi="Arial"/>
          <w:sz w:val="13"/>
          <w:szCs w:val="13"/>
          <w:color w:val="auto"/>
        </w:rPr>
        <w:t>Compliance with legal and regulatory requirements</w:t>
      </w:r>
    </w:p>
    <w:p>
      <w:pPr>
        <w:ind w:left="1160" w:hanging="221"/>
        <w:spacing w:after="0"/>
        <w:tabs>
          <w:tab w:leader="none" w:pos="1160" w:val="left"/>
        </w:tabs>
        <w:numPr>
          <w:ilvl w:val="1"/>
          <w:numId w:val="100"/>
        </w:numPr>
        <w:rPr>
          <w:rFonts w:ascii="Arial" w:cs="Arial" w:eastAsia="Arial" w:hAnsi="Arial"/>
          <w:sz w:val="13"/>
          <w:szCs w:val="13"/>
          <w:color w:val="567EA5"/>
        </w:rPr>
      </w:pPr>
      <w:r>
        <w:rPr>
          <w:rFonts w:ascii="Arial" w:cs="Arial" w:eastAsia="Arial" w:hAnsi="Arial"/>
          <w:sz w:val="13"/>
          <w:szCs w:val="13"/>
          <w:color w:val="auto"/>
        </w:rPr>
        <w:t>Cybersecurity, including quarterly updates from our Vice President of Information Security</w:t>
      </w:r>
    </w:p>
    <w:p>
      <w:pPr>
        <w:ind w:left="1160" w:hanging="221"/>
        <w:spacing w:after="0"/>
        <w:tabs>
          <w:tab w:leader="none" w:pos="1160" w:val="left"/>
        </w:tabs>
        <w:numPr>
          <w:ilvl w:val="1"/>
          <w:numId w:val="100"/>
        </w:numPr>
        <w:rPr>
          <w:rFonts w:ascii="Arial" w:cs="Arial" w:eastAsia="Arial" w:hAnsi="Arial"/>
          <w:sz w:val="13"/>
          <w:szCs w:val="13"/>
          <w:color w:val="567EA5"/>
        </w:rPr>
      </w:pPr>
      <w:r>
        <w:rPr>
          <w:rFonts w:ascii="Arial" w:cs="Arial" w:eastAsia="Arial" w:hAnsi="Arial"/>
          <w:sz w:val="13"/>
          <w:szCs w:val="13"/>
          <w:color w:val="auto"/>
        </w:rPr>
        <w:t>Tax and transfer pricing matters</w:t>
      </w:r>
    </w:p>
    <w:p>
      <w:pPr>
        <w:ind w:left="1160" w:hanging="221"/>
        <w:spacing w:after="0"/>
        <w:tabs>
          <w:tab w:leader="none" w:pos="1160" w:val="left"/>
        </w:tabs>
        <w:numPr>
          <w:ilvl w:val="1"/>
          <w:numId w:val="100"/>
        </w:numPr>
        <w:rPr>
          <w:rFonts w:ascii="Arial" w:cs="Arial" w:eastAsia="Arial" w:hAnsi="Arial"/>
          <w:sz w:val="13"/>
          <w:szCs w:val="13"/>
          <w:color w:val="567EA5"/>
        </w:rPr>
      </w:pPr>
      <w:r>
        <w:rPr>
          <w:rFonts w:ascii="Arial" w:cs="Arial" w:eastAsia="Arial" w:hAnsi="Arial"/>
          <w:sz w:val="13"/>
          <w:szCs w:val="13"/>
          <w:color w:val="auto"/>
        </w:rPr>
        <w:t>Global political and market conditions</w:t>
      </w:r>
    </w:p>
    <w:p>
      <w:pPr>
        <w:ind w:left="1180" w:right="720" w:hanging="241"/>
        <w:spacing w:after="0" w:line="258" w:lineRule="auto"/>
        <w:tabs>
          <w:tab w:leader="none" w:pos="1157" w:val="left"/>
        </w:tabs>
        <w:numPr>
          <w:ilvl w:val="1"/>
          <w:numId w:val="100"/>
        </w:numPr>
        <w:rPr>
          <w:rFonts w:ascii="Arial" w:cs="Arial" w:eastAsia="Arial" w:hAnsi="Arial"/>
          <w:sz w:val="13"/>
          <w:szCs w:val="13"/>
          <w:color w:val="567EA5"/>
        </w:rPr>
      </w:pPr>
      <w:r>
        <w:rPr>
          <w:rFonts w:ascii="Arial" w:cs="Arial" w:eastAsia="Arial" w:hAnsi="Arial"/>
          <w:sz w:val="13"/>
          <w:szCs w:val="13"/>
          <w:color w:val="auto"/>
        </w:rPr>
        <w:t>Other business risks, including strategic partner and supplier relationships, industry cycles, product development, expansion into new markets and other risks identified in our 2020 Annual Report on Form 10-K</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13"/>
          <w:szCs w:val="13"/>
          <w:b w:val="1"/>
          <w:bCs w:val="1"/>
          <w:color w:val="FFFFFF"/>
        </w:rPr>
        <w:t>ERM Process</w:t>
      </w:r>
    </w:p>
    <w:p>
      <w:pPr>
        <w:spacing w:after="0" w:line="272" w:lineRule="exact"/>
        <w:rPr>
          <w:sz w:val="20"/>
          <w:szCs w:val="20"/>
          <w:color w:val="auto"/>
        </w:rPr>
      </w:pPr>
    </w:p>
    <w:p>
      <w:pPr>
        <w:ind w:left="1200" w:right="1040" w:hanging="369"/>
        <w:spacing w:after="0" w:line="180" w:lineRule="auto"/>
        <w:tabs>
          <w:tab w:leader="none" w:pos="1200" w:val="left"/>
        </w:tabs>
        <w:numPr>
          <w:ilvl w:val="0"/>
          <w:numId w:val="101"/>
        </w:numPr>
        <w:rPr>
          <w:rFonts w:ascii="Arial" w:cs="Arial" w:eastAsia="Arial" w:hAnsi="Arial"/>
          <w:sz w:val="25"/>
          <w:szCs w:val="25"/>
          <w:b w:val="1"/>
          <w:bCs w:val="1"/>
          <w:color w:val="567EA5"/>
          <w:vertAlign w:val="subscript"/>
        </w:rPr>
      </w:pPr>
      <w:r>
        <w:rPr>
          <w:rFonts w:ascii="Arial" w:cs="Arial" w:eastAsia="Arial" w:hAnsi="Arial"/>
          <w:sz w:val="11"/>
          <w:szCs w:val="11"/>
          <w:color w:val="auto"/>
        </w:rPr>
        <w:t>Each of our major business unit and functional area heads, with the assistance of their staff, meet periodically with representatives from the ERM function to identify risks that could affect achievement of our business goals and strategy, and develop risk mitigation measures and contingency plans.</w:t>
      </w:r>
    </w:p>
    <w:p>
      <w:pPr>
        <w:sectPr>
          <w:pgSz w:w="11900" w:h="16838" w:orient="portrait"/>
          <w:cols w:equalWidth="0" w:num="1">
            <w:col w:w="11240"/>
          </w:cols>
          <w:pgMar w:left="320" w:top="121" w:right="339" w:bottom="1440" w:gutter="0" w:footer="0" w:header="0"/>
        </w:sectPr>
      </w:pPr>
    </w:p>
    <w:p>
      <w:pPr>
        <w:spacing w:after="0" w:line="65" w:lineRule="exact"/>
        <w:rPr>
          <w:sz w:val="20"/>
          <w:szCs w:val="20"/>
          <w:color w:val="auto"/>
        </w:rPr>
      </w:pPr>
    </w:p>
    <w:p>
      <w:pPr>
        <w:ind w:left="840"/>
        <w:spacing w:after="0"/>
        <w:rPr>
          <w:sz w:val="20"/>
          <w:szCs w:val="20"/>
          <w:color w:val="auto"/>
        </w:rPr>
      </w:pPr>
      <w:r>
        <w:rPr>
          <w:rFonts w:ascii="Arial" w:cs="Arial" w:eastAsia="Arial" w:hAnsi="Arial"/>
          <w:sz w:val="25"/>
          <w:szCs w:val="25"/>
          <w:b w:val="1"/>
          <w:bCs w:val="1"/>
          <w:color w:val="567EA5"/>
        </w:rPr>
        <w:t>2</w:t>
      </w:r>
    </w:p>
    <w:p>
      <w:pPr>
        <w:spacing w:after="0" w:line="118" w:lineRule="exact"/>
        <w:rPr>
          <w:sz w:val="20"/>
          <w:szCs w:val="20"/>
          <w:color w:val="auto"/>
        </w:rPr>
      </w:pPr>
    </w:p>
    <w:p>
      <w:pPr>
        <w:ind w:left="840"/>
        <w:spacing w:after="0"/>
        <w:rPr>
          <w:sz w:val="20"/>
          <w:szCs w:val="20"/>
          <w:color w:val="auto"/>
        </w:rPr>
      </w:pPr>
      <w:r>
        <w:rPr>
          <w:rFonts w:ascii="Arial" w:cs="Arial" w:eastAsia="Arial" w:hAnsi="Arial"/>
          <w:sz w:val="25"/>
          <w:szCs w:val="25"/>
          <w:b w:val="1"/>
          <w:bCs w:val="1"/>
          <w:color w:val="567EA5"/>
        </w:rPr>
        <w:t>3</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13"/>
          <w:szCs w:val="13"/>
          <w:color w:val="auto"/>
        </w:rPr>
        <w:t>After input from these individuals is received, our ERM function summarizes the results of these meetings and creates a consolidated risk profile.</w:t>
      </w:r>
    </w:p>
    <w:p>
      <w:pPr>
        <w:spacing w:after="0" w:line="256" w:lineRule="exact"/>
        <w:rPr>
          <w:sz w:val="20"/>
          <w:szCs w:val="20"/>
          <w:color w:val="auto"/>
        </w:rPr>
      </w:pPr>
    </w:p>
    <w:p>
      <w:pPr>
        <w:spacing w:after="0"/>
        <w:rPr>
          <w:sz w:val="20"/>
          <w:szCs w:val="20"/>
          <w:color w:val="auto"/>
        </w:rPr>
      </w:pPr>
      <w:r>
        <w:rPr>
          <w:rFonts w:ascii="Arial" w:cs="Arial" w:eastAsia="Arial" w:hAnsi="Arial"/>
          <w:sz w:val="13"/>
          <w:szCs w:val="13"/>
          <w:color w:val="auto"/>
        </w:rPr>
        <w:t>The risk profile is provided to our Chief Executive Officer and Chief Financial Officer for final review.</w:t>
      </w:r>
    </w:p>
    <w:p>
      <w:pPr>
        <w:spacing w:after="0" w:line="255" w:lineRule="exact"/>
        <w:rPr>
          <w:sz w:val="20"/>
          <w:szCs w:val="20"/>
          <w:color w:val="auto"/>
        </w:rPr>
      </w:pPr>
    </w:p>
    <w:p>
      <w:pPr>
        <w:sectPr>
          <w:pgSz w:w="11900" w:h="16838" w:orient="portrait"/>
          <w:cols w:equalWidth="0" w:num="2">
            <w:col w:w="980" w:space="220"/>
            <w:col w:w="10040"/>
          </w:cols>
          <w:pgMar w:left="320" w:top="121" w:right="339" w:bottom="1440" w:gutter="0" w:footer="0" w:header="0"/>
          <w:type w:val="continuous"/>
        </w:sectPr>
      </w:pPr>
    </w:p>
    <w:p>
      <w:pPr>
        <w:ind w:left="1200" w:right="980" w:hanging="369"/>
        <w:spacing w:after="0" w:line="180" w:lineRule="auto"/>
        <w:tabs>
          <w:tab w:leader="none" w:pos="1200" w:val="left"/>
        </w:tabs>
        <w:numPr>
          <w:ilvl w:val="0"/>
          <w:numId w:val="102"/>
        </w:numPr>
        <w:rPr>
          <w:rFonts w:ascii="Arial" w:cs="Arial" w:eastAsia="Arial" w:hAnsi="Arial"/>
          <w:sz w:val="31"/>
          <w:szCs w:val="31"/>
          <w:b w:val="1"/>
          <w:bCs w:val="1"/>
          <w:color w:val="567EA5"/>
          <w:vertAlign w:val="subscript"/>
        </w:rPr>
      </w:pPr>
      <w:r>
        <w:rPr>
          <w:rFonts w:ascii="Arial" w:cs="Arial" w:eastAsia="Arial" w:hAnsi="Arial"/>
          <w:sz w:val="11"/>
          <w:szCs w:val="11"/>
          <w:color w:val="auto"/>
        </w:rPr>
        <w:t>The risk profile is reviewed and discussed by the Audit Committee and made available to our Board on an annual basis. The Audit Committee discusses the risk profile analysis with our Board as the Audit Committee deems necessary. On a quarterly basis, senior management reviews the risk profile and action plan progress and shares significant updates with the Audit Committee, which are also made available to our Board.</w:t>
      </w:r>
    </w:p>
    <w:p>
      <w:pPr>
        <w:spacing w:after="0" w:line="96" w:lineRule="exact"/>
        <w:rPr>
          <w:sz w:val="20"/>
          <w:szCs w:val="20"/>
          <w:color w:val="auto"/>
        </w:rPr>
      </w:pPr>
    </w:p>
    <w:p>
      <w:pPr>
        <w:ind w:left="1200" w:right="1160" w:hanging="369"/>
        <w:spacing w:after="0" w:line="180" w:lineRule="auto"/>
        <w:tabs>
          <w:tab w:leader="none" w:pos="1200" w:val="left"/>
        </w:tabs>
        <w:numPr>
          <w:ilvl w:val="0"/>
          <w:numId w:val="103"/>
        </w:numPr>
        <w:rPr>
          <w:rFonts w:ascii="Arial" w:cs="Arial" w:eastAsia="Arial" w:hAnsi="Arial"/>
          <w:sz w:val="36"/>
          <w:szCs w:val="36"/>
          <w:b w:val="1"/>
          <w:bCs w:val="1"/>
          <w:color w:val="567EA5"/>
          <w:vertAlign w:val="subscript"/>
        </w:rPr>
      </w:pPr>
      <w:r>
        <w:rPr>
          <w:rFonts w:ascii="Arial" w:cs="Arial" w:eastAsia="Arial" w:hAnsi="Arial"/>
          <w:sz w:val="12"/>
          <w:szCs w:val="12"/>
          <w:color w:val="auto"/>
        </w:rPr>
        <w:t>The final analysis, including any input from the Audit Committee and full Board, is reviewed and used by our internal audit function in its internal audit planning.</w:t>
      </w:r>
    </w:p>
    <w:p>
      <w:pPr>
        <w:spacing w:after="0" w:line="257" w:lineRule="exact"/>
        <w:rPr>
          <w:sz w:val="20"/>
          <w:szCs w:val="20"/>
          <w:color w:val="auto"/>
        </w:rPr>
      </w:pPr>
    </w:p>
    <w:tbl>
      <w:tblPr>
        <w:tblLayout w:type="fixed"/>
        <w:tblInd w:w="540" w:type="dxa"/>
        <w:tblCellMar>
          <w:top w:w="0" w:type="dxa"/>
          <w:left w:w="0" w:type="dxa"/>
          <w:bottom w:w="0" w:type="dxa"/>
          <w:right w:w="0" w:type="dxa"/>
        </w:tblCellMar>
      </w:tblPr>
      <w:tr>
        <w:trPr>
          <w:trHeight w:val="229"/>
        </w:trPr>
        <w:tc>
          <w:tcPr>
            <w:tcW w:w="4900" w:type="dxa"/>
            <w:vAlign w:val="bottom"/>
            <w:gridSpan w:val="2"/>
            <w:shd w:val="clear" w:color="auto" w:fill="DEF0EC"/>
          </w:tcPr>
          <w:p>
            <w:pPr>
              <w:ind w:left="140"/>
              <w:spacing w:after="0"/>
              <w:rPr>
                <w:sz w:val="20"/>
                <w:szCs w:val="20"/>
                <w:color w:val="auto"/>
              </w:rPr>
            </w:pPr>
            <w:r>
              <w:rPr>
                <w:rFonts w:ascii="Arial" w:cs="Arial" w:eastAsia="Arial" w:hAnsi="Arial"/>
                <w:sz w:val="13"/>
                <w:szCs w:val="13"/>
                <w:b w:val="1"/>
                <w:bCs w:val="1"/>
                <w:color w:val="63C4AF"/>
              </w:rPr>
              <w:t>Compensation and Talent Committee</w:t>
            </w:r>
          </w:p>
        </w:tc>
        <w:tc>
          <w:tcPr>
            <w:tcW w:w="140" w:type="dxa"/>
            <w:vAlign w:val="bottom"/>
          </w:tcPr>
          <w:p>
            <w:pPr>
              <w:spacing w:after="0"/>
              <w:rPr>
                <w:sz w:val="19"/>
                <w:szCs w:val="19"/>
                <w:color w:val="auto"/>
              </w:rPr>
            </w:pPr>
          </w:p>
        </w:tc>
        <w:tc>
          <w:tcPr>
            <w:tcW w:w="5120" w:type="dxa"/>
            <w:vAlign w:val="bottom"/>
            <w:shd w:val="clear" w:color="auto" w:fill="D5DEE8"/>
          </w:tcPr>
          <w:p>
            <w:pPr>
              <w:ind w:left="160"/>
              <w:spacing w:after="0"/>
              <w:rPr>
                <w:sz w:val="20"/>
                <w:szCs w:val="20"/>
                <w:color w:val="auto"/>
              </w:rPr>
            </w:pPr>
            <w:r>
              <w:rPr>
                <w:rFonts w:ascii="Arial" w:cs="Arial" w:eastAsia="Arial" w:hAnsi="Arial"/>
                <w:sz w:val="13"/>
                <w:szCs w:val="13"/>
                <w:b w:val="1"/>
                <w:bCs w:val="1"/>
                <w:color w:val="23628F"/>
              </w:rPr>
              <w:t>Governance Committee</w:t>
            </w:r>
          </w:p>
        </w:tc>
      </w:tr>
      <w:tr>
        <w:trPr>
          <w:trHeight w:val="212"/>
        </w:trPr>
        <w:tc>
          <w:tcPr>
            <w:tcW w:w="4900" w:type="dxa"/>
            <w:vAlign w:val="bottom"/>
            <w:gridSpan w:val="2"/>
            <w:shd w:val="clear" w:color="auto" w:fill="DEF0EC"/>
          </w:tcPr>
          <w:p>
            <w:pPr>
              <w:ind w:left="140"/>
              <w:spacing w:after="0"/>
              <w:rPr>
                <w:sz w:val="20"/>
                <w:szCs w:val="20"/>
                <w:color w:val="auto"/>
              </w:rPr>
            </w:pPr>
            <w:r>
              <w:rPr>
                <w:rFonts w:ascii="Arial" w:cs="Arial" w:eastAsia="Arial" w:hAnsi="Arial"/>
                <w:sz w:val="13"/>
                <w:szCs w:val="13"/>
                <w:color w:val="auto"/>
              </w:rPr>
              <w:t>Oversees the following risk topics:</w:t>
            </w:r>
          </w:p>
        </w:tc>
        <w:tc>
          <w:tcPr>
            <w:tcW w:w="140" w:type="dxa"/>
            <w:vAlign w:val="bottom"/>
          </w:tcPr>
          <w:p>
            <w:pPr>
              <w:spacing w:after="0"/>
              <w:rPr>
                <w:sz w:val="18"/>
                <w:szCs w:val="18"/>
                <w:color w:val="auto"/>
              </w:rPr>
            </w:pPr>
          </w:p>
        </w:tc>
        <w:tc>
          <w:tcPr>
            <w:tcW w:w="5120" w:type="dxa"/>
            <w:vAlign w:val="bottom"/>
            <w:shd w:val="clear" w:color="auto" w:fill="D5DEE8"/>
          </w:tcPr>
          <w:p>
            <w:pPr>
              <w:ind w:left="160"/>
              <w:spacing w:after="0"/>
              <w:rPr>
                <w:sz w:val="20"/>
                <w:szCs w:val="20"/>
                <w:color w:val="auto"/>
              </w:rPr>
            </w:pPr>
            <w:r>
              <w:rPr>
                <w:rFonts w:ascii="Arial" w:cs="Arial" w:eastAsia="Arial" w:hAnsi="Arial"/>
                <w:sz w:val="13"/>
                <w:szCs w:val="13"/>
                <w:color w:val="auto"/>
              </w:rPr>
              <w:t>Oversees the following risk topics:</w:t>
            </w:r>
          </w:p>
        </w:tc>
      </w:tr>
      <w:tr>
        <w:trPr>
          <w:trHeight w:val="149"/>
        </w:trPr>
        <w:tc>
          <w:tcPr>
            <w:tcW w:w="4900" w:type="dxa"/>
            <w:vAlign w:val="bottom"/>
            <w:gridSpan w:val="2"/>
            <w:shd w:val="clear" w:color="auto" w:fill="DEF0EC"/>
          </w:tcPr>
          <w:p>
            <w:pPr>
              <w:ind w:left="180"/>
              <w:spacing w:after="0"/>
              <w:rPr>
                <w:sz w:val="20"/>
                <w:szCs w:val="20"/>
                <w:color w:val="auto"/>
              </w:rPr>
            </w:pPr>
            <w:r>
              <w:rPr>
                <w:rFonts w:ascii="Arial" w:cs="Arial" w:eastAsia="Arial" w:hAnsi="Arial"/>
                <w:sz w:val="13"/>
                <w:szCs w:val="13"/>
                <w:color w:val="63C4AF"/>
              </w:rPr>
              <w:t xml:space="preserve">●   </w:t>
            </w:r>
            <w:r>
              <w:rPr>
                <w:rFonts w:ascii="Arial" w:cs="Arial" w:eastAsia="Arial" w:hAnsi="Arial"/>
                <w:sz w:val="13"/>
                <w:szCs w:val="13"/>
                <w:color w:val="000000"/>
              </w:rPr>
              <w:t>Compensation programs, policies and practices</w:t>
            </w:r>
          </w:p>
        </w:tc>
        <w:tc>
          <w:tcPr>
            <w:tcW w:w="140" w:type="dxa"/>
            <w:vAlign w:val="bottom"/>
          </w:tcPr>
          <w:p>
            <w:pPr>
              <w:spacing w:after="0"/>
              <w:rPr>
                <w:sz w:val="12"/>
                <w:szCs w:val="12"/>
                <w:color w:val="auto"/>
              </w:rPr>
            </w:pPr>
          </w:p>
        </w:tc>
        <w:tc>
          <w:tcPr>
            <w:tcW w:w="5120" w:type="dxa"/>
            <w:vAlign w:val="bottom"/>
            <w:shd w:val="clear" w:color="auto" w:fill="D5DEE8"/>
          </w:tcPr>
          <w:p>
            <w:pPr>
              <w:ind w:left="180"/>
              <w:spacing w:after="0"/>
              <w:rPr>
                <w:sz w:val="20"/>
                <w:szCs w:val="20"/>
                <w:color w:val="auto"/>
              </w:rPr>
            </w:pPr>
            <w:r>
              <w:rPr>
                <w:rFonts w:ascii="Arial" w:cs="Arial" w:eastAsia="Arial" w:hAnsi="Arial"/>
                <w:sz w:val="13"/>
                <w:szCs w:val="13"/>
                <w:b w:val="1"/>
                <w:bCs w:val="1"/>
                <w:color w:val="23628F"/>
              </w:rPr>
              <w:t xml:space="preserve">●   </w:t>
            </w:r>
            <w:r>
              <w:rPr>
                <w:rFonts w:ascii="Arial" w:cs="Arial" w:eastAsia="Arial" w:hAnsi="Arial"/>
                <w:sz w:val="13"/>
                <w:szCs w:val="13"/>
                <w:color w:val="000000"/>
              </w:rPr>
              <w:t>Board and committee composition, including Board leadership structure</w:t>
            </w:r>
          </w:p>
        </w:tc>
      </w:tr>
      <w:tr>
        <w:trPr>
          <w:trHeight w:val="148"/>
        </w:trPr>
        <w:tc>
          <w:tcPr>
            <w:tcW w:w="4900" w:type="dxa"/>
            <w:vAlign w:val="bottom"/>
            <w:gridSpan w:val="2"/>
            <w:shd w:val="clear" w:color="auto" w:fill="DEF0EC"/>
          </w:tcPr>
          <w:p>
            <w:pPr>
              <w:ind w:left="180"/>
              <w:spacing w:after="0"/>
              <w:rPr>
                <w:sz w:val="20"/>
                <w:szCs w:val="20"/>
                <w:color w:val="auto"/>
              </w:rPr>
            </w:pPr>
            <w:r>
              <w:rPr>
                <w:rFonts w:ascii="Arial" w:cs="Arial" w:eastAsia="Arial" w:hAnsi="Arial"/>
                <w:sz w:val="13"/>
                <w:szCs w:val="13"/>
                <w:color w:val="63C4AF"/>
              </w:rPr>
              <w:t xml:space="preserve">●   </w:t>
            </w:r>
            <w:r>
              <w:rPr>
                <w:rFonts w:ascii="Arial" w:cs="Arial" w:eastAsia="Arial" w:hAnsi="Arial"/>
                <w:sz w:val="13"/>
                <w:szCs w:val="13"/>
                <w:color w:val="000000"/>
              </w:rPr>
              <w:t>Equity and other incentive plans</w:t>
            </w:r>
          </w:p>
        </w:tc>
        <w:tc>
          <w:tcPr>
            <w:tcW w:w="140" w:type="dxa"/>
            <w:vAlign w:val="bottom"/>
          </w:tcPr>
          <w:p>
            <w:pPr>
              <w:spacing w:after="0"/>
              <w:rPr>
                <w:sz w:val="12"/>
                <w:szCs w:val="12"/>
                <w:color w:val="auto"/>
              </w:rPr>
            </w:pPr>
          </w:p>
        </w:tc>
        <w:tc>
          <w:tcPr>
            <w:tcW w:w="5120" w:type="dxa"/>
            <w:vAlign w:val="bottom"/>
            <w:shd w:val="clear" w:color="auto" w:fill="D5DEE8"/>
          </w:tcPr>
          <w:p>
            <w:pPr>
              <w:ind w:left="180"/>
              <w:spacing w:after="0"/>
              <w:rPr>
                <w:sz w:val="20"/>
                <w:szCs w:val="20"/>
                <w:color w:val="auto"/>
              </w:rPr>
            </w:pPr>
            <w:r>
              <w:rPr>
                <w:rFonts w:ascii="Arial" w:cs="Arial" w:eastAsia="Arial" w:hAnsi="Arial"/>
                <w:sz w:val="13"/>
                <w:szCs w:val="13"/>
                <w:b w:val="1"/>
                <w:bCs w:val="1"/>
                <w:color w:val="23628F"/>
              </w:rPr>
              <w:t xml:space="preserve">●   </w:t>
            </w:r>
            <w:r>
              <w:rPr>
                <w:rFonts w:ascii="Arial" w:cs="Arial" w:eastAsia="Arial" w:hAnsi="Arial"/>
                <w:sz w:val="13"/>
                <w:szCs w:val="13"/>
                <w:color w:val="000000"/>
              </w:rPr>
              <w:t>Director succession planning</w:t>
            </w:r>
          </w:p>
        </w:tc>
      </w:tr>
      <w:tr>
        <w:trPr>
          <w:trHeight w:val="148"/>
        </w:trPr>
        <w:tc>
          <w:tcPr>
            <w:tcW w:w="320" w:type="dxa"/>
            <w:vAlign w:val="bottom"/>
            <w:shd w:val="clear" w:color="auto" w:fill="DEF0EC"/>
          </w:tcPr>
          <w:p>
            <w:pPr>
              <w:ind w:left="180"/>
              <w:spacing w:after="0"/>
              <w:rPr>
                <w:sz w:val="20"/>
                <w:szCs w:val="20"/>
                <w:color w:val="auto"/>
              </w:rPr>
            </w:pPr>
            <w:r>
              <w:rPr>
                <w:rFonts w:ascii="Arial" w:cs="Arial" w:eastAsia="Arial" w:hAnsi="Arial"/>
                <w:sz w:val="13"/>
                <w:szCs w:val="13"/>
                <w:color w:val="63C4AF"/>
              </w:rPr>
              <w:t>●</w:t>
            </w:r>
          </w:p>
        </w:tc>
        <w:tc>
          <w:tcPr>
            <w:tcW w:w="4580" w:type="dxa"/>
            <w:vAlign w:val="bottom"/>
            <w:shd w:val="clear" w:color="auto" w:fill="DEF0EC"/>
          </w:tcPr>
          <w:p>
            <w:pPr>
              <w:ind w:left="80"/>
              <w:spacing w:after="0"/>
              <w:rPr>
                <w:sz w:val="20"/>
                <w:szCs w:val="20"/>
                <w:color w:val="auto"/>
              </w:rPr>
            </w:pPr>
            <w:r>
              <w:rPr>
                <w:rFonts w:ascii="Arial" w:cs="Arial" w:eastAsia="Arial" w:hAnsi="Arial"/>
                <w:sz w:val="13"/>
                <w:szCs w:val="13"/>
                <w:color w:val="auto"/>
              </w:rPr>
              <w:t>Recruiting and retention</w:t>
            </w:r>
          </w:p>
        </w:tc>
        <w:tc>
          <w:tcPr>
            <w:tcW w:w="140" w:type="dxa"/>
            <w:vAlign w:val="bottom"/>
          </w:tcPr>
          <w:p>
            <w:pPr>
              <w:spacing w:after="0"/>
              <w:rPr>
                <w:sz w:val="12"/>
                <w:szCs w:val="12"/>
                <w:color w:val="auto"/>
              </w:rPr>
            </w:pPr>
          </w:p>
        </w:tc>
        <w:tc>
          <w:tcPr>
            <w:tcW w:w="5120" w:type="dxa"/>
            <w:vAlign w:val="bottom"/>
            <w:shd w:val="clear" w:color="auto" w:fill="D5DEE8"/>
          </w:tcPr>
          <w:p>
            <w:pPr>
              <w:ind w:left="180"/>
              <w:spacing w:after="0"/>
              <w:rPr>
                <w:sz w:val="20"/>
                <w:szCs w:val="20"/>
                <w:color w:val="auto"/>
              </w:rPr>
            </w:pPr>
            <w:r>
              <w:rPr>
                <w:rFonts w:ascii="Arial" w:cs="Arial" w:eastAsia="Arial" w:hAnsi="Arial"/>
                <w:sz w:val="13"/>
                <w:szCs w:val="13"/>
                <w:b w:val="1"/>
                <w:bCs w:val="1"/>
                <w:color w:val="23628F"/>
              </w:rPr>
              <w:t xml:space="preserve">●   </w:t>
            </w:r>
            <w:r>
              <w:rPr>
                <w:rFonts w:ascii="Arial" w:cs="Arial" w:eastAsia="Arial" w:hAnsi="Arial"/>
                <w:sz w:val="13"/>
                <w:szCs w:val="13"/>
                <w:color w:val="000000"/>
              </w:rPr>
              <w:t>Corporate governance policies and practices</w:t>
            </w:r>
          </w:p>
        </w:tc>
      </w:tr>
      <w:tr>
        <w:trPr>
          <w:trHeight w:val="166"/>
        </w:trPr>
        <w:tc>
          <w:tcPr>
            <w:tcW w:w="320" w:type="dxa"/>
            <w:vAlign w:val="bottom"/>
            <w:shd w:val="clear" w:color="auto" w:fill="DEF0EC"/>
          </w:tcPr>
          <w:p>
            <w:pPr>
              <w:ind w:left="180"/>
              <w:spacing w:after="0"/>
              <w:rPr>
                <w:sz w:val="20"/>
                <w:szCs w:val="20"/>
                <w:color w:val="auto"/>
              </w:rPr>
            </w:pPr>
            <w:r>
              <w:rPr>
                <w:rFonts w:ascii="Arial" w:cs="Arial" w:eastAsia="Arial" w:hAnsi="Arial"/>
                <w:sz w:val="13"/>
                <w:szCs w:val="13"/>
                <w:color w:val="63C4AF"/>
              </w:rPr>
              <w:t>●</w:t>
            </w:r>
          </w:p>
        </w:tc>
        <w:tc>
          <w:tcPr>
            <w:tcW w:w="4580" w:type="dxa"/>
            <w:vAlign w:val="bottom"/>
            <w:shd w:val="clear" w:color="auto" w:fill="DEF0EC"/>
          </w:tcPr>
          <w:p>
            <w:pPr>
              <w:ind w:left="80"/>
              <w:spacing w:after="0"/>
              <w:rPr>
                <w:sz w:val="20"/>
                <w:szCs w:val="20"/>
                <w:color w:val="auto"/>
              </w:rPr>
            </w:pPr>
            <w:r>
              <w:rPr>
                <w:rFonts w:ascii="Arial" w:cs="Arial" w:eastAsia="Arial" w:hAnsi="Arial"/>
                <w:sz w:val="13"/>
                <w:szCs w:val="13"/>
                <w:color w:val="auto"/>
              </w:rPr>
              <w:t>Human capital management</w:t>
            </w:r>
          </w:p>
        </w:tc>
        <w:tc>
          <w:tcPr>
            <w:tcW w:w="140" w:type="dxa"/>
            <w:vAlign w:val="bottom"/>
          </w:tcPr>
          <w:p>
            <w:pPr>
              <w:spacing w:after="0"/>
              <w:rPr>
                <w:sz w:val="14"/>
                <w:szCs w:val="14"/>
                <w:color w:val="auto"/>
              </w:rPr>
            </w:pPr>
          </w:p>
        </w:tc>
        <w:tc>
          <w:tcPr>
            <w:tcW w:w="5120" w:type="dxa"/>
            <w:vAlign w:val="bottom"/>
            <w:shd w:val="clear" w:color="auto" w:fill="D5DEE8"/>
          </w:tcPr>
          <w:p>
            <w:pPr>
              <w:ind w:left="180"/>
              <w:spacing w:after="0"/>
              <w:rPr>
                <w:sz w:val="20"/>
                <w:szCs w:val="20"/>
                <w:color w:val="auto"/>
              </w:rPr>
            </w:pPr>
            <w:r>
              <w:rPr>
                <w:rFonts w:ascii="Arial" w:cs="Arial" w:eastAsia="Arial" w:hAnsi="Arial"/>
                <w:sz w:val="13"/>
                <w:szCs w:val="13"/>
                <w:b w:val="1"/>
                <w:bCs w:val="1"/>
                <w:color w:val="23628F"/>
              </w:rPr>
              <w:t xml:space="preserve">●   </w:t>
            </w:r>
            <w:r>
              <w:rPr>
                <w:rFonts w:ascii="Arial" w:cs="Arial" w:eastAsia="Arial" w:hAnsi="Arial"/>
                <w:sz w:val="13"/>
                <w:szCs w:val="13"/>
                <w:color w:val="000000"/>
              </w:rPr>
              <w:t>Corporate responsibility and sustainability policies and programs</w:t>
            </w:r>
          </w:p>
        </w:tc>
      </w:tr>
      <w:tr>
        <w:trPr>
          <w:trHeight w:val="554"/>
        </w:trPr>
        <w:tc>
          <w:tcPr>
            <w:tcW w:w="320" w:type="dxa"/>
            <w:vAlign w:val="bottom"/>
            <w:shd w:val="clear" w:color="auto" w:fill="DEF0EC"/>
          </w:tcPr>
          <w:p>
            <w:pPr>
              <w:spacing w:after="0"/>
              <w:rPr>
                <w:sz w:val="24"/>
                <w:szCs w:val="24"/>
                <w:color w:val="auto"/>
              </w:rPr>
            </w:pPr>
          </w:p>
        </w:tc>
        <w:tc>
          <w:tcPr>
            <w:tcW w:w="4580" w:type="dxa"/>
            <w:vAlign w:val="bottom"/>
            <w:shd w:val="clear" w:color="auto" w:fill="DEF0EC"/>
          </w:tcPr>
          <w:p>
            <w:pPr>
              <w:spacing w:after="0"/>
              <w:rPr>
                <w:sz w:val="24"/>
                <w:szCs w:val="24"/>
                <w:color w:val="auto"/>
              </w:rPr>
            </w:pPr>
          </w:p>
        </w:tc>
        <w:tc>
          <w:tcPr>
            <w:tcW w:w="140" w:type="dxa"/>
            <w:vAlign w:val="bottom"/>
          </w:tcPr>
          <w:p>
            <w:pPr>
              <w:spacing w:after="0"/>
              <w:rPr>
                <w:sz w:val="24"/>
                <w:szCs w:val="24"/>
                <w:color w:val="auto"/>
              </w:rPr>
            </w:pPr>
          </w:p>
        </w:tc>
        <w:tc>
          <w:tcPr>
            <w:tcW w:w="5120" w:type="dxa"/>
            <w:vAlign w:val="bottom"/>
            <w:shd w:val="clear" w:color="auto" w:fill="D5DEE8"/>
          </w:tcPr>
          <w:p>
            <w:pPr>
              <w:spacing w:after="0"/>
              <w:rPr>
                <w:sz w:val="24"/>
                <w:szCs w:val="24"/>
                <w:color w:val="auto"/>
              </w:rPr>
            </w:pPr>
          </w:p>
        </w:tc>
      </w:tr>
    </w:tbl>
    <w:p>
      <w:pPr>
        <w:spacing w:after="0" w:line="388" w:lineRule="exact"/>
        <w:rPr>
          <w:sz w:val="20"/>
          <w:szCs w:val="20"/>
          <w:color w:val="auto"/>
        </w:rPr>
      </w:pPr>
    </w:p>
    <w:p>
      <w:pPr>
        <w:ind w:left="600"/>
        <w:spacing w:after="0"/>
        <w:rPr>
          <w:sz w:val="20"/>
          <w:szCs w:val="20"/>
          <w:color w:val="auto"/>
        </w:rPr>
      </w:pPr>
      <w:r>
        <w:rPr>
          <w:rFonts w:ascii="Arial" w:cs="Arial" w:eastAsia="Arial" w:hAnsi="Arial"/>
          <w:sz w:val="13"/>
          <w:szCs w:val="13"/>
          <w:b w:val="1"/>
          <w:bCs w:val="1"/>
          <w:color w:val="6D6E71"/>
        </w:rPr>
        <w:t>Management</w:t>
      </w:r>
    </w:p>
    <w:p>
      <w:pPr>
        <w:spacing w:after="0" w:line="95" w:lineRule="exact"/>
        <w:rPr>
          <w:sz w:val="20"/>
          <w:szCs w:val="20"/>
          <w:color w:val="auto"/>
        </w:rPr>
      </w:pPr>
    </w:p>
    <w:p>
      <w:pPr>
        <w:ind w:left="840" w:hanging="207"/>
        <w:spacing w:after="0"/>
        <w:tabs>
          <w:tab w:leader="none" w:pos="840" w:val="left"/>
        </w:tabs>
        <w:numPr>
          <w:ilvl w:val="0"/>
          <w:numId w:val="104"/>
        </w:numPr>
        <w:rPr>
          <w:rFonts w:ascii="Arial" w:cs="Arial" w:eastAsia="Arial" w:hAnsi="Arial"/>
          <w:sz w:val="13"/>
          <w:szCs w:val="13"/>
          <w:color w:val="6D6E71"/>
        </w:rPr>
      </w:pPr>
      <w:r>
        <w:rPr>
          <w:rFonts w:ascii="Arial" w:cs="Arial" w:eastAsia="Arial" w:hAnsi="Arial"/>
          <w:sz w:val="13"/>
          <w:szCs w:val="13"/>
          <w:color w:val="auto"/>
        </w:rPr>
        <w:t>Major business unit and functional area heads work with the internal audit department and ERM function to identify risks that could affect achievement of business</w:t>
      </w:r>
    </w:p>
    <w:p>
      <w:pPr>
        <w:ind w:left="860"/>
        <w:spacing w:after="0"/>
        <w:rPr>
          <w:sz w:val="20"/>
          <w:szCs w:val="20"/>
          <w:color w:val="auto"/>
        </w:rPr>
      </w:pPr>
      <w:r>
        <w:rPr>
          <w:rFonts w:ascii="Arial" w:cs="Arial" w:eastAsia="Arial" w:hAnsi="Arial"/>
          <w:sz w:val="13"/>
          <w:szCs w:val="13"/>
          <w:color w:val="auto"/>
        </w:rPr>
        <w:t>goals and strategy.</w:t>
      </w:r>
    </w:p>
    <w:p>
      <w:pPr>
        <w:ind w:left="640"/>
        <w:spacing w:after="0"/>
        <w:tabs>
          <w:tab w:leader="none" w:pos="820" w:val="left"/>
        </w:tabs>
        <w:rPr>
          <w:sz w:val="20"/>
          <w:szCs w:val="20"/>
          <w:color w:val="auto"/>
        </w:rPr>
      </w:pPr>
      <w:r>
        <w:rPr>
          <w:rFonts w:ascii="Arial" w:cs="Arial" w:eastAsia="Arial" w:hAnsi="Arial"/>
          <w:sz w:val="13"/>
          <w:szCs w:val="13"/>
          <w:color w:val="6D6E71"/>
        </w:rPr>
        <w:t>●</w:t>
      </w:r>
      <w:r>
        <w:rPr>
          <w:sz w:val="20"/>
          <w:szCs w:val="20"/>
          <w:color w:val="auto"/>
        </w:rPr>
        <w:tab/>
      </w:r>
      <w:r>
        <w:rPr>
          <w:rFonts w:ascii="Arial" w:cs="Arial" w:eastAsia="Arial" w:hAnsi="Arial"/>
          <w:sz w:val="13"/>
          <w:szCs w:val="13"/>
          <w:color w:val="auto"/>
        </w:rPr>
        <w:t>Our Chief Executive Officer and Chief Financial Officer review and discuss the consolidated risk profile with our chief audit executive as part of the ERM process.</w:t>
      </w:r>
    </w:p>
    <w:p>
      <w:pPr>
        <w:ind w:left="840" w:hanging="207"/>
        <w:spacing w:after="0"/>
        <w:tabs>
          <w:tab w:leader="none" w:pos="840" w:val="left"/>
        </w:tabs>
        <w:numPr>
          <w:ilvl w:val="0"/>
          <w:numId w:val="105"/>
        </w:numPr>
        <w:rPr>
          <w:rFonts w:ascii="Arial" w:cs="Arial" w:eastAsia="Arial" w:hAnsi="Arial"/>
          <w:sz w:val="13"/>
          <w:szCs w:val="13"/>
          <w:color w:val="6D6E71"/>
        </w:rPr>
      </w:pPr>
      <w:r>
        <w:rPr>
          <w:rFonts w:ascii="Arial" w:cs="Arial" w:eastAsia="Arial" w:hAnsi="Arial"/>
          <w:sz w:val="13"/>
          <w:szCs w:val="13"/>
          <w:color w:val="auto"/>
        </w:rPr>
        <w:t>Senior management makes the risk profile available to our Board on an annual basis, as well as any significant quarterly updates.</w:t>
      </w:r>
    </w:p>
    <w:p>
      <w:pPr>
        <w:spacing w:after="0" w:line="31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23628F"/>
        </w:rPr>
        <w:t>2020 PROXY STATEMENT</w:t>
      </w:r>
      <w:r>
        <w:rPr>
          <w:sz w:val="20"/>
          <w:szCs w:val="20"/>
          <w:color w:val="auto"/>
        </w:rPr>
        <w:tab/>
      </w:r>
      <w:r>
        <w:rPr>
          <w:rFonts w:ascii="Arial" w:cs="Arial" w:eastAsia="Arial" w:hAnsi="Arial"/>
          <w:sz w:val="16"/>
          <w:szCs w:val="16"/>
          <w:b w:val="1"/>
          <w:bCs w:val="1"/>
          <w:color w:val="23628F"/>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153275"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23628F"/>
        </w:rPr>
        <w:t>CORPORATE GOVERNANCE MATTERS</w:t>
      </w:r>
    </w:p>
    <w:p>
      <w:pPr>
        <w:spacing w:after="0" w:line="182"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COVID-19 Pandemic</w:t>
      </w:r>
    </w:p>
    <w:p>
      <w:pPr>
        <w:spacing w:after="0" w:line="257" w:lineRule="exact"/>
        <w:rPr>
          <w:sz w:val="20"/>
          <w:szCs w:val="20"/>
          <w:color w:val="auto"/>
        </w:rPr>
      </w:pPr>
    </w:p>
    <w:p>
      <w:pPr>
        <w:spacing w:after="0" w:line="248" w:lineRule="auto"/>
        <w:rPr>
          <w:sz w:val="20"/>
          <w:szCs w:val="20"/>
          <w:color w:val="auto"/>
        </w:rPr>
      </w:pPr>
      <w:r>
        <w:rPr>
          <w:rFonts w:ascii="Arial" w:cs="Arial" w:eastAsia="Arial" w:hAnsi="Arial"/>
          <w:sz w:val="13"/>
          <w:szCs w:val="13"/>
          <w:color w:val="auto"/>
        </w:rPr>
        <w:t>In response to the COVID-19 pandemic, our priority is to safeguard the health, safety and well-being of our employees and communities, while continuing to serve our global customers. We have been deemed an “essential business” everywhere we operate, and as such, our Board of Directors has been fully engaged with actively monitoring and overseeing management’s responses to the pandemic, including weekly meetings with management in the initial months after the pandemic was declared.</w:t>
      </w:r>
    </w:p>
    <w:p>
      <w:pPr>
        <w:spacing w:after="0" w:line="198" w:lineRule="exact"/>
        <w:rPr>
          <w:sz w:val="20"/>
          <w:szCs w:val="20"/>
          <w:color w:val="auto"/>
        </w:rPr>
      </w:pPr>
    </w:p>
    <w:p>
      <w:pPr>
        <w:spacing w:after="0"/>
        <w:rPr>
          <w:sz w:val="20"/>
          <w:szCs w:val="20"/>
          <w:color w:val="auto"/>
        </w:rPr>
      </w:pPr>
      <w:r>
        <w:rPr>
          <w:rFonts w:ascii="Arial" w:cs="Arial" w:eastAsia="Arial" w:hAnsi="Arial"/>
          <w:sz w:val="13"/>
          <w:szCs w:val="13"/>
          <w:color w:val="auto"/>
        </w:rPr>
        <w:t>In response to the pandemic, we implemented robust safety measures for our workforce, including:</w:t>
      </w:r>
    </w:p>
    <w:p>
      <w:pPr>
        <w:spacing w:after="0" w:line="215" w:lineRule="exact"/>
        <w:rPr>
          <w:sz w:val="20"/>
          <w:szCs w:val="20"/>
          <w:color w:val="auto"/>
        </w:rPr>
      </w:pPr>
    </w:p>
    <w:p>
      <w:pPr>
        <w:ind w:left="240" w:hanging="232"/>
        <w:spacing w:after="0"/>
        <w:tabs>
          <w:tab w:leader="none" w:pos="240" w:val="left"/>
        </w:tabs>
        <w:numPr>
          <w:ilvl w:val="0"/>
          <w:numId w:val="106"/>
        </w:numPr>
        <w:rPr>
          <w:rFonts w:ascii="Arial" w:cs="Arial" w:eastAsia="Arial" w:hAnsi="Arial"/>
          <w:sz w:val="13"/>
          <w:szCs w:val="13"/>
          <w:color w:val="61C4AF"/>
        </w:rPr>
      </w:pPr>
      <w:r>
        <w:rPr>
          <w:rFonts w:ascii="Arial" w:cs="Arial" w:eastAsia="Arial" w:hAnsi="Arial"/>
          <w:sz w:val="13"/>
          <w:szCs w:val="13"/>
          <w:color w:val="auto"/>
        </w:rPr>
        <w:t>Early adoption of PPE for our employees</w:t>
      </w:r>
    </w:p>
    <w:p>
      <w:pPr>
        <w:spacing w:after="0" w:line="66" w:lineRule="exact"/>
        <w:rPr>
          <w:rFonts w:ascii="Arial" w:cs="Arial" w:eastAsia="Arial" w:hAnsi="Arial"/>
          <w:sz w:val="13"/>
          <w:szCs w:val="13"/>
          <w:color w:val="61C4AF"/>
        </w:rPr>
      </w:pPr>
    </w:p>
    <w:p>
      <w:pPr>
        <w:ind w:left="240" w:hanging="232"/>
        <w:spacing w:after="0"/>
        <w:tabs>
          <w:tab w:leader="none" w:pos="240" w:val="left"/>
        </w:tabs>
        <w:numPr>
          <w:ilvl w:val="0"/>
          <w:numId w:val="106"/>
        </w:numPr>
        <w:rPr>
          <w:rFonts w:ascii="Arial" w:cs="Arial" w:eastAsia="Arial" w:hAnsi="Arial"/>
          <w:sz w:val="13"/>
          <w:szCs w:val="13"/>
          <w:color w:val="61C4AF"/>
        </w:rPr>
      </w:pPr>
      <w:r>
        <w:rPr>
          <w:rFonts w:ascii="Arial" w:cs="Arial" w:eastAsia="Arial" w:hAnsi="Arial"/>
          <w:sz w:val="13"/>
          <w:szCs w:val="13"/>
          <w:color w:val="auto"/>
        </w:rPr>
        <w:t>More thorough sanitation practices as outlined by health organizations</w:t>
      </w:r>
    </w:p>
    <w:p>
      <w:pPr>
        <w:spacing w:after="0" w:line="66" w:lineRule="exact"/>
        <w:rPr>
          <w:rFonts w:ascii="Arial" w:cs="Arial" w:eastAsia="Arial" w:hAnsi="Arial"/>
          <w:sz w:val="13"/>
          <w:szCs w:val="13"/>
          <w:color w:val="61C4AF"/>
        </w:rPr>
      </w:pPr>
    </w:p>
    <w:p>
      <w:pPr>
        <w:ind w:left="240" w:hanging="232"/>
        <w:spacing w:after="0"/>
        <w:tabs>
          <w:tab w:leader="none" w:pos="240" w:val="left"/>
        </w:tabs>
        <w:numPr>
          <w:ilvl w:val="0"/>
          <w:numId w:val="106"/>
        </w:numPr>
        <w:rPr>
          <w:rFonts w:ascii="Arial" w:cs="Arial" w:eastAsia="Arial" w:hAnsi="Arial"/>
          <w:sz w:val="13"/>
          <w:szCs w:val="13"/>
          <w:color w:val="61C4AF"/>
        </w:rPr>
      </w:pPr>
      <w:r>
        <w:rPr>
          <w:rFonts w:ascii="Arial" w:cs="Arial" w:eastAsia="Arial" w:hAnsi="Arial"/>
          <w:sz w:val="13"/>
          <w:szCs w:val="13"/>
          <w:color w:val="auto"/>
        </w:rPr>
        <w:t>Social distancing and working from home policies</w:t>
      </w:r>
    </w:p>
    <w:p>
      <w:pPr>
        <w:spacing w:after="0" w:line="66" w:lineRule="exact"/>
        <w:rPr>
          <w:rFonts w:ascii="Arial" w:cs="Arial" w:eastAsia="Arial" w:hAnsi="Arial"/>
          <w:sz w:val="13"/>
          <w:szCs w:val="13"/>
          <w:color w:val="61C4AF"/>
        </w:rPr>
      </w:pPr>
    </w:p>
    <w:p>
      <w:pPr>
        <w:ind w:left="240" w:hanging="232"/>
        <w:spacing w:after="0"/>
        <w:tabs>
          <w:tab w:leader="none" w:pos="240" w:val="left"/>
        </w:tabs>
        <w:numPr>
          <w:ilvl w:val="0"/>
          <w:numId w:val="106"/>
        </w:numPr>
        <w:rPr>
          <w:rFonts w:ascii="Arial" w:cs="Arial" w:eastAsia="Arial" w:hAnsi="Arial"/>
          <w:sz w:val="13"/>
          <w:szCs w:val="13"/>
          <w:color w:val="61C4AF"/>
        </w:rPr>
      </w:pPr>
      <w:r>
        <w:rPr>
          <w:rFonts w:ascii="Arial" w:cs="Arial" w:eastAsia="Arial" w:hAnsi="Arial"/>
          <w:sz w:val="13"/>
          <w:szCs w:val="13"/>
          <w:color w:val="auto"/>
        </w:rPr>
        <w:t>Reductions in the number of people at our sites at any one time</w:t>
      </w:r>
    </w:p>
    <w:p>
      <w:pPr>
        <w:spacing w:after="0" w:line="66" w:lineRule="exact"/>
        <w:rPr>
          <w:rFonts w:ascii="Arial" w:cs="Arial" w:eastAsia="Arial" w:hAnsi="Arial"/>
          <w:sz w:val="13"/>
          <w:szCs w:val="13"/>
          <w:color w:val="61C4AF"/>
        </w:rPr>
      </w:pPr>
    </w:p>
    <w:p>
      <w:pPr>
        <w:ind w:left="240" w:hanging="232"/>
        <w:spacing w:after="0"/>
        <w:tabs>
          <w:tab w:leader="none" w:pos="240" w:val="left"/>
        </w:tabs>
        <w:numPr>
          <w:ilvl w:val="0"/>
          <w:numId w:val="106"/>
        </w:numPr>
        <w:rPr>
          <w:rFonts w:ascii="Arial" w:cs="Arial" w:eastAsia="Arial" w:hAnsi="Arial"/>
          <w:sz w:val="13"/>
          <w:szCs w:val="13"/>
          <w:color w:val="61C4AF"/>
        </w:rPr>
      </w:pPr>
      <w:r>
        <w:rPr>
          <w:rFonts w:ascii="Arial" w:cs="Arial" w:eastAsia="Arial" w:hAnsi="Arial"/>
          <w:sz w:val="13"/>
          <w:szCs w:val="13"/>
          <w:color w:val="auto"/>
        </w:rPr>
        <w:t>Contact tracing and temperature screening at our sites</w:t>
      </w:r>
    </w:p>
    <w:p>
      <w:pPr>
        <w:spacing w:after="0" w:line="66" w:lineRule="exact"/>
        <w:rPr>
          <w:rFonts w:ascii="Arial" w:cs="Arial" w:eastAsia="Arial" w:hAnsi="Arial"/>
          <w:sz w:val="13"/>
          <w:szCs w:val="13"/>
          <w:color w:val="61C4AF"/>
        </w:rPr>
      </w:pPr>
    </w:p>
    <w:p>
      <w:pPr>
        <w:ind w:left="240" w:hanging="232"/>
        <w:spacing w:after="0"/>
        <w:tabs>
          <w:tab w:leader="none" w:pos="240" w:val="left"/>
        </w:tabs>
        <w:numPr>
          <w:ilvl w:val="0"/>
          <w:numId w:val="106"/>
        </w:numPr>
        <w:rPr>
          <w:rFonts w:ascii="Arial" w:cs="Arial" w:eastAsia="Arial" w:hAnsi="Arial"/>
          <w:sz w:val="13"/>
          <w:szCs w:val="13"/>
          <w:color w:val="61C4AF"/>
        </w:rPr>
      </w:pPr>
      <w:r>
        <w:rPr>
          <w:rFonts w:ascii="Arial" w:cs="Arial" w:eastAsia="Arial" w:hAnsi="Arial"/>
          <w:sz w:val="13"/>
          <w:szCs w:val="13"/>
          <w:color w:val="auto"/>
        </w:rPr>
        <w:t>Company-provided housing in some locations to reduce travel for necessary employees to remain onsite</w:t>
      </w:r>
    </w:p>
    <w:p>
      <w:pPr>
        <w:spacing w:after="0" w:line="215" w:lineRule="exact"/>
        <w:rPr>
          <w:sz w:val="20"/>
          <w:szCs w:val="20"/>
          <w:color w:val="auto"/>
        </w:rPr>
      </w:pPr>
    </w:p>
    <w:p>
      <w:pPr>
        <w:ind w:right="40"/>
        <w:spacing w:after="0" w:line="243" w:lineRule="auto"/>
        <w:rPr>
          <w:sz w:val="20"/>
          <w:szCs w:val="20"/>
          <w:color w:val="auto"/>
        </w:rPr>
      </w:pPr>
      <w:r>
        <w:rPr>
          <w:rFonts w:ascii="Arial" w:cs="Arial" w:eastAsia="Arial" w:hAnsi="Arial"/>
          <w:sz w:val="13"/>
          <w:szCs w:val="13"/>
          <w:color w:val="auto"/>
        </w:rPr>
        <w:t>While our first response to the COVID-19 pandemic was to quickly transition all employees who could to working from home, we also created an emergency leave program to support those who could not work from home. As additional support for our essential workers, we provided premium pay for certain groups and supported our employees who were unable to return home due to lockdowns in the Hubei province in China with care packages. We have also committed to effective, regular communication with our workforce, including regular global and local town halls, weekly video updates, frequent e-mail updates and consistent communication by site-level crisis management teams, including locally-relevant information. We quickly established sites on the internal social network to provide information on COVID-19 and to support the shift to working from home.</w:t>
      </w:r>
    </w:p>
    <w:p>
      <w:pPr>
        <w:spacing w:after="0" w:line="202" w:lineRule="exact"/>
        <w:rPr>
          <w:sz w:val="20"/>
          <w:szCs w:val="20"/>
          <w:color w:val="auto"/>
        </w:rPr>
      </w:pPr>
    </w:p>
    <w:p>
      <w:pPr>
        <w:ind w:right="180"/>
        <w:spacing w:after="0" w:line="258" w:lineRule="auto"/>
        <w:rPr>
          <w:sz w:val="20"/>
          <w:szCs w:val="20"/>
          <w:color w:val="auto"/>
        </w:rPr>
      </w:pPr>
      <w:r>
        <w:rPr>
          <w:rFonts w:ascii="Arial" w:cs="Arial" w:eastAsia="Arial" w:hAnsi="Arial"/>
          <w:sz w:val="13"/>
          <w:szCs w:val="13"/>
          <w:color w:val="auto"/>
        </w:rPr>
        <w:t>We have also supported our communities by building face shields for medical personnel, having our procurement function source and ship PPE, making donations focused on COVID-19 and hunger relief and establishing a logistics helpline for communities to manage transportation of donations.</w:t>
      </w:r>
    </w:p>
    <w:p>
      <w:pPr>
        <w:spacing w:after="0" w:line="192" w:lineRule="exact"/>
        <w:rPr>
          <w:sz w:val="20"/>
          <w:szCs w:val="20"/>
          <w:color w:val="auto"/>
        </w:rPr>
      </w:pPr>
    </w:p>
    <w:p>
      <w:pPr>
        <w:ind w:right="340"/>
        <w:spacing w:after="0" w:line="245" w:lineRule="auto"/>
        <w:rPr>
          <w:sz w:val="20"/>
          <w:szCs w:val="20"/>
          <w:color w:val="auto"/>
        </w:rPr>
      </w:pPr>
      <w:r>
        <w:rPr>
          <w:rFonts w:ascii="Arial" w:cs="Arial" w:eastAsia="Arial" w:hAnsi="Arial"/>
          <w:sz w:val="13"/>
          <w:szCs w:val="13"/>
          <w:color w:val="auto"/>
        </w:rPr>
        <w:t>As an essential business, we continue to provide products and solutions that enable the proliferation of data and facilitate the sharing of information remotely, which has become more critical as much of the world is interacting from areas of self-isolation. All of our manufacturing facilities are currently operational, in some cases with exemptions from government restrictions. Management and our Board of Directors will continue to actively respond to the COVID-19 pandemic and are prepared to take further measures in the best interests of our employees, customers and stockholders, or as required by governmental authorities.</w:t>
      </w:r>
    </w:p>
    <w:p>
      <w:pPr>
        <w:spacing w:after="0" w:line="166"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Compensation Risk Assessment</w:t>
      </w:r>
    </w:p>
    <w:p>
      <w:pPr>
        <w:spacing w:after="0" w:line="257" w:lineRule="exact"/>
        <w:rPr>
          <w:sz w:val="20"/>
          <w:szCs w:val="20"/>
          <w:color w:val="auto"/>
        </w:rPr>
      </w:pPr>
    </w:p>
    <w:p>
      <w:pPr>
        <w:ind w:right="100"/>
        <w:spacing w:after="0" w:line="258" w:lineRule="auto"/>
        <w:rPr>
          <w:sz w:val="20"/>
          <w:szCs w:val="20"/>
          <w:color w:val="auto"/>
        </w:rPr>
      </w:pPr>
      <w:r>
        <w:rPr>
          <w:rFonts w:ascii="Arial" w:cs="Arial" w:eastAsia="Arial" w:hAnsi="Arial"/>
          <w:sz w:val="13"/>
          <w:szCs w:val="13"/>
          <w:color w:val="auto"/>
        </w:rPr>
        <w:t>Consistent with SEC disclosure requirements, we reviewed our fiscal 2020 compensation policies and practices to determine whether they encourage excessive risk taking. We concluded that our compensation programs do not create risks that are reasonably likely to have a material adverse effect on our company.</w:t>
      </w:r>
    </w:p>
    <w:p>
      <w:pPr>
        <w:spacing w:after="0" w:line="158"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Chief Executive Officer Evaluation and Succession Planning</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23628F"/>
        </w:rPr>
        <w:t>EVALUATION</w:t>
      </w:r>
    </w:p>
    <w:p>
      <w:pPr>
        <w:spacing w:after="0" w:line="230" w:lineRule="exact"/>
        <w:rPr>
          <w:sz w:val="20"/>
          <w:szCs w:val="20"/>
          <w:color w:val="auto"/>
        </w:rPr>
      </w:pPr>
    </w:p>
    <w:p>
      <w:pPr>
        <w:ind w:right="120"/>
        <w:spacing w:after="0" w:line="245" w:lineRule="auto"/>
        <w:rPr>
          <w:sz w:val="20"/>
          <w:szCs w:val="20"/>
          <w:color w:val="auto"/>
        </w:rPr>
      </w:pPr>
      <w:r>
        <w:rPr>
          <w:rFonts w:ascii="Arial" w:cs="Arial" w:eastAsia="Arial" w:hAnsi="Arial"/>
          <w:sz w:val="13"/>
          <w:szCs w:val="13"/>
          <w:color w:val="auto"/>
        </w:rPr>
        <w:t>The Governance Committee is responsible for developing and overseeing the process for annually evaluating our Chief Executive Officer’s performance. Our Chairman of the Board, our Lead Independent Director and the Compensation and Talent Committee review and approve our Chief Executive Officer’s goals and objectives and evaluate our Chief Executive Officer’s performance in light of those goals and objectives, with input from our Board. Following the evaluation of our Chief Executive Officer’s performance, the Compensation and Talent Committee determines and approves our Chief Executive Officer’s compensation.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23628F"/>
        </w:rPr>
        <w:t>ONGOING SUCCESSION PLANNING</w:t>
      </w:r>
    </w:p>
    <w:p>
      <w:pPr>
        <w:spacing w:after="0" w:line="230" w:lineRule="exact"/>
        <w:rPr>
          <w:sz w:val="20"/>
          <w:szCs w:val="20"/>
          <w:color w:val="auto"/>
        </w:rPr>
      </w:pPr>
    </w:p>
    <w:p>
      <w:pPr>
        <w:ind w:right="40"/>
        <w:spacing w:after="0" w:line="243" w:lineRule="auto"/>
        <w:rPr>
          <w:sz w:val="20"/>
          <w:szCs w:val="20"/>
          <w:color w:val="auto"/>
        </w:rPr>
      </w:pPr>
      <w:r>
        <w:rPr>
          <w:rFonts w:ascii="Arial" w:cs="Arial" w:eastAsia="Arial" w:hAnsi="Arial"/>
          <w:sz w:val="13"/>
          <w:szCs w:val="13"/>
          <w:color w:val="auto"/>
        </w:rPr>
        <w:t>Our Board of Directors oversees Chief Executive Officer and key management personnel succession planning, which is reviewed at least annually. Our Board of Directors reviews potential internal candidates with our Chief Executive Officer and Chief Human Resources Officer, including the qualifications, experience and development priorities for these individuals. Our Board of Directors also reviews and discusses potential external candidate profiles from time to time, and such review may also involve an executive search firm. Directors engage with potential Chief Executive Officer and key management personnel successors at Board and committee meetings and in less formal settings to allow directors to personally assess candidates. Further, our Board annually reviews the overall composition of our key management personnel’s qualifications, tenure and experience.</w:t>
      </w:r>
    </w:p>
    <w:p>
      <w:pPr>
        <w:spacing w:after="0" w:line="197" w:lineRule="exact"/>
        <w:rPr>
          <w:sz w:val="20"/>
          <w:szCs w:val="20"/>
          <w:color w:val="auto"/>
        </w:rPr>
      </w:pPr>
    </w:p>
    <w:p>
      <w:pPr>
        <w:ind w:left="440" w:hanging="432"/>
        <w:spacing w:after="0"/>
        <w:tabs>
          <w:tab w:leader="none" w:pos="440" w:val="left"/>
        </w:tabs>
        <w:numPr>
          <w:ilvl w:val="0"/>
          <w:numId w:val="107"/>
        </w:numPr>
        <w:rPr>
          <w:rFonts w:ascii="Arial" w:cs="Arial" w:eastAsia="Arial" w:hAnsi="Arial"/>
          <w:sz w:val="18"/>
          <w:szCs w:val="18"/>
          <w:b w:val="1"/>
          <w:bCs w:val="1"/>
          <w:color w:val="23628F"/>
        </w:rPr>
      </w:pPr>
      <w:r>
        <w:rPr>
          <w:rFonts w:ascii="Arial" w:cs="Arial" w:eastAsia="Arial" w:hAnsi="Arial"/>
          <w:sz w:val="13"/>
          <w:szCs w:val="13"/>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153275"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ind w:left="8720"/>
        <w:spacing w:after="0"/>
        <w:rPr>
          <w:sz w:val="20"/>
          <w:szCs w:val="20"/>
          <w:color w:val="auto"/>
        </w:rPr>
      </w:pPr>
      <w:r>
        <w:rPr>
          <w:rFonts w:ascii="Arial" w:cs="Arial" w:eastAsia="Arial" w:hAnsi="Arial"/>
          <w:sz w:val="13"/>
          <w:szCs w:val="13"/>
          <w:color w:val="23628F"/>
        </w:rPr>
        <w:t>CORPORATE GOVERNANCE MATTERS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23628F"/>
        </w:rPr>
        <w:t>RECENT CHIEF EXECUTIVE OFFICER SUCCESSION PROCESS</w:t>
      </w:r>
    </w:p>
    <w:p>
      <w:pPr>
        <w:spacing w:after="0" w:line="230" w:lineRule="exact"/>
        <w:rPr>
          <w:sz w:val="20"/>
          <w:szCs w:val="20"/>
          <w:color w:val="auto"/>
        </w:rPr>
      </w:pPr>
    </w:p>
    <w:p>
      <w:pPr>
        <w:ind w:right="120"/>
        <w:spacing w:after="0" w:line="242" w:lineRule="auto"/>
        <w:rPr>
          <w:sz w:val="20"/>
          <w:szCs w:val="20"/>
          <w:color w:val="auto"/>
        </w:rPr>
      </w:pPr>
      <w:r>
        <w:rPr>
          <w:rFonts w:ascii="Arial" w:cs="Arial" w:eastAsia="Arial" w:hAnsi="Arial"/>
          <w:sz w:val="13"/>
          <w:szCs w:val="13"/>
          <w:color w:val="auto"/>
        </w:rPr>
        <w:t>In October 2019, we announced that our then-current Chief Executive Officer, Mr. Milligan, intended to retire. Mr. Milligan agreed to serve as our Chief Executive Officer until we appointed his successor; Mr. Milligan further agreed to continue in an advisory role following the appointment of our new Chief Executive Officer through September 2020 to facilitate a seamless leadership transition. Our Board of Directors established the CEO Search Committee to oversee a search to identify potential candidates to succeed Mr. Milligan. Our ongoing Chief Executive Officer evaluation and succession planning process provided a strong foundation for the development of the key candidate criteria utilized by the committee. The CEO Search Committee conducted a comprehensive and robust search, supported by a leading executive recruiting firm, meeting 27 times. Ms. Streeter chaired the CEO Search Committee, and Ms. Cote and Messrs. Cole, Lauer and Massengill also served on the committee.</w:t>
      </w:r>
    </w:p>
    <w:p>
      <w:pPr>
        <w:spacing w:after="0" w:line="203" w:lineRule="exact"/>
        <w:rPr>
          <w:sz w:val="20"/>
          <w:szCs w:val="20"/>
          <w:color w:val="auto"/>
        </w:rPr>
      </w:pPr>
    </w:p>
    <w:p>
      <w:pPr>
        <w:ind w:right="20"/>
        <w:spacing w:after="0" w:line="245" w:lineRule="auto"/>
        <w:rPr>
          <w:sz w:val="20"/>
          <w:szCs w:val="20"/>
          <w:color w:val="auto"/>
        </w:rPr>
      </w:pPr>
      <w:r>
        <w:rPr>
          <w:rFonts w:ascii="Arial" w:cs="Arial" w:eastAsia="Arial" w:hAnsi="Arial"/>
          <w:sz w:val="13"/>
          <w:szCs w:val="13"/>
          <w:color w:val="auto"/>
        </w:rPr>
        <w:t>The CEO Search Committee directed the executive recruiting firm to identify internal and external candidates who would bring strategic vision, deep operational expertise from a technology company at scale and innovation leadership, with a particular emphasis on diverse candidates, including female and underrepresented minority candidates. The CEO Search Committee then assessed the slate of candidates through an in-depth evaluation and interview process with the candidates. Following this extensive search, our Board of Directors appointed Mr. Goeckeler to serve as our new Chief Executive Officer in March 2020.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23628F"/>
        </w:rPr>
        <w:t>EMERGENCY SUCCESSION</w:t>
      </w:r>
    </w:p>
    <w:p>
      <w:pPr>
        <w:spacing w:after="0" w:line="230" w:lineRule="exact"/>
        <w:rPr>
          <w:sz w:val="20"/>
          <w:szCs w:val="20"/>
          <w:color w:val="auto"/>
        </w:rPr>
      </w:pPr>
    </w:p>
    <w:p>
      <w:pPr>
        <w:ind w:right="80"/>
        <w:spacing w:after="0" w:line="248" w:lineRule="auto"/>
        <w:rPr>
          <w:sz w:val="20"/>
          <w:szCs w:val="20"/>
          <w:color w:val="auto"/>
        </w:rPr>
      </w:pPr>
      <w:r>
        <w:rPr>
          <w:rFonts w:ascii="Arial" w:cs="Arial" w:eastAsia="Arial" w:hAnsi="Arial"/>
          <w:sz w:val="13"/>
          <w:szCs w:val="13"/>
          <w:color w:val="auto"/>
        </w:rPr>
        <w:t>Our Board of Directors has also adopted an emergency Chief Executive Officer succession plan. The plan will become effective in the event our Chief Executive Officer becomes unable to perform his or her duties in order to minimize potential disruption or loss of continuity to our business and operations. Our emergency Chief Executive Officer succession plan is reviewed annually by the Governance Committee and our Board.</w:t>
      </w:r>
    </w:p>
    <w:p>
      <w:pPr>
        <w:spacing w:after="0" w:line="167" w:lineRule="exact"/>
        <w:rPr>
          <w:sz w:val="20"/>
          <w:szCs w:val="20"/>
          <w:color w:val="auto"/>
        </w:rPr>
      </w:pPr>
    </w:p>
    <w:p>
      <w:pPr>
        <w:spacing w:after="0"/>
        <w:rPr>
          <w:sz w:val="20"/>
          <w:szCs w:val="20"/>
          <w:color w:val="auto"/>
        </w:rPr>
      </w:pPr>
      <w:r>
        <w:rPr>
          <w:rFonts w:ascii="Arial" w:cs="Arial" w:eastAsia="Arial" w:hAnsi="Arial"/>
          <w:sz w:val="31"/>
          <w:szCs w:val="31"/>
          <w:b w:val="1"/>
          <w:bCs w:val="1"/>
          <w:color w:val="567EA5"/>
        </w:rPr>
        <w:t>BOARD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1234440" cy="685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34440" cy="68580"/>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BOARD LEADERSHIP STRUCTURE</w:t>
      </w:r>
    </w:p>
    <w:p>
      <w:pPr>
        <w:spacing w:after="0" w:line="252" w:lineRule="exact"/>
        <w:rPr>
          <w:sz w:val="20"/>
          <w:szCs w:val="20"/>
          <w:color w:val="auto"/>
        </w:rPr>
      </w:pPr>
    </w:p>
    <w:p>
      <w:pPr>
        <w:ind w:right="100"/>
        <w:spacing w:after="0" w:line="241" w:lineRule="auto"/>
        <w:rPr>
          <w:sz w:val="20"/>
          <w:szCs w:val="20"/>
          <w:color w:val="auto"/>
        </w:rPr>
      </w:pPr>
      <w:r>
        <w:rPr>
          <w:rFonts w:ascii="Arial" w:cs="Arial" w:eastAsia="Arial" w:hAnsi="Arial"/>
          <w:sz w:val="13"/>
          <w:szCs w:val="13"/>
          <w:color w:val="auto"/>
        </w:rPr>
        <w:t>Our Board of Directors does not have a policy with respect to whether the roles of Chairman of the Board and Chief Executive Officer should be separate and, if they are to be separate, whether our Chairman of the Board should be selected from our directors who are not our employees (referred to in this Proxy Statement as our “non-employee directors”) or should be an employee. We currently separate the roles of Chief Executive Officer and Chairman of the Board, with Mr. Massengill currently serving as Chairman of the Board. Our Board of Directors believes this is the appropriate leadership for our company at this time because it permits Mr. Goeckeler, as our Chief Executive Officer, to focus on setting our strategic direction, day-to-day leadership and our performance, while permitting our Chairman of the Board to focus on providing guidance to our Chief Executive Officer and setting the agenda for Board meetings. Our Board of Directors also believes that the separation of our Chief Executive Officer and Chairman of the Board roles assists our Board in providing robust discussion and evaluation of strategic goals and objectives.</w:t>
      </w:r>
    </w:p>
    <w:p>
      <w:pPr>
        <w:spacing w:after="0" w:line="355" w:lineRule="exact"/>
        <w:rPr>
          <w:sz w:val="20"/>
          <w:szCs w:val="20"/>
          <w:color w:val="auto"/>
        </w:rPr>
      </w:pPr>
    </w:p>
    <w:p>
      <w:pPr>
        <w:ind w:right="40"/>
        <w:spacing w:after="0" w:line="245" w:lineRule="auto"/>
        <w:rPr>
          <w:sz w:val="20"/>
          <w:szCs w:val="20"/>
          <w:color w:val="auto"/>
        </w:rPr>
      </w:pPr>
      <w:r>
        <w:rPr>
          <w:rFonts w:ascii="Arial" w:cs="Arial" w:eastAsia="Arial" w:hAnsi="Arial"/>
          <w:sz w:val="13"/>
          <w:szCs w:val="13"/>
          <w:color w:val="auto"/>
        </w:rPr>
        <w:t>Our Corporate Governance Guidelines provide that our Board will appoint a Lead Independent Director if our Chairman of the Board is not an independent director under the Nasdaq Stock Market listing standards or if our Board otherwise deems it appropriate. Although our Board has determined that Mr. Massengill is independent under the Nasdaq Stock Market listing standards, because he is a former executive Chairman of the Board, President and Chief Executive Officer of our company, our Board determined it was appropriate to appoint Ms. Cote as our Lead Independent Director.</w:t>
      </w:r>
    </w:p>
    <w:p>
      <w:pPr>
        <w:spacing w:after="0" w:line="200" w:lineRule="exact"/>
        <w:rPr>
          <w:sz w:val="20"/>
          <w:szCs w:val="20"/>
          <w:color w:val="auto"/>
        </w:rPr>
      </w:pPr>
    </w:p>
    <w:p>
      <w:pPr>
        <w:ind w:right="500"/>
        <w:spacing w:after="0" w:line="258" w:lineRule="auto"/>
        <w:rPr>
          <w:sz w:val="20"/>
          <w:szCs w:val="20"/>
          <w:color w:val="auto"/>
        </w:rPr>
      </w:pPr>
      <w:r>
        <w:rPr>
          <w:rFonts w:ascii="Arial" w:cs="Arial" w:eastAsia="Arial" w:hAnsi="Arial"/>
          <w:sz w:val="13"/>
          <w:szCs w:val="13"/>
          <w:color w:val="auto"/>
        </w:rPr>
        <w:t>Our Board of Directors acknowledges that no single leadership model is right for all companies at all times. As such, our Board periodically reviews its leadership structure and may, depending on the circumstances, choose a different leadership structure in the future.</w:t>
      </w:r>
    </w:p>
    <w:p>
      <w:pPr>
        <w:spacing w:after="0" w:line="17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23628F"/>
        </w:rPr>
        <w:t>2020 PROXY STATEMENT</w:t>
      </w:r>
      <w:r>
        <w:rPr>
          <w:sz w:val="20"/>
          <w:szCs w:val="20"/>
          <w:color w:val="auto"/>
        </w:rPr>
        <w:tab/>
      </w:r>
      <w:r>
        <w:rPr>
          <w:rFonts w:ascii="Arial" w:cs="Arial" w:eastAsia="Arial" w:hAnsi="Arial"/>
          <w:sz w:val="16"/>
          <w:szCs w:val="16"/>
          <w:b w:val="1"/>
          <w:bCs w:val="1"/>
          <w:color w:val="23628F"/>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153275"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23628F"/>
        </w:rPr>
        <w:t>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234440" cy="685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34440" cy="68580"/>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LEAD INDEPENDENT DIRECTOR</w:t>
      </w:r>
    </w:p>
    <w:p>
      <w:pPr>
        <w:spacing w:after="0" w:line="252" w:lineRule="exact"/>
        <w:rPr>
          <w:sz w:val="20"/>
          <w:szCs w:val="20"/>
          <w:color w:val="auto"/>
        </w:rPr>
      </w:pPr>
    </w:p>
    <w:p>
      <w:pPr>
        <w:spacing w:after="0"/>
        <w:rPr>
          <w:sz w:val="20"/>
          <w:szCs w:val="20"/>
          <w:color w:val="auto"/>
        </w:rPr>
      </w:pPr>
      <w:r>
        <w:rPr>
          <w:rFonts w:ascii="Arial" w:cs="Arial" w:eastAsia="Arial" w:hAnsi="Arial"/>
          <w:sz w:val="13"/>
          <w:szCs w:val="13"/>
          <w:color w:val="auto"/>
        </w:rPr>
        <w:t>The duties of our Lead Independent Director include:</w:t>
      </w:r>
    </w:p>
    <w:p>
      <w:pPr>
        <w:spacing w:after="0" w:line="215" w:lineRule="exact"/>
        <w:rPr>
          <w:sz w:val="20"/>
          <w:szCs w:val="20"/>
          <w:color w:val="auto"/>
        </w:rPr>
      </w:pPr>
    </w:p>
    <w:p>
      <w:pPr>
        <w:ind w:left="240" w:hanging="232"/>
        <w:spacing w:after="0"/>
        <w:tabs>
          <w:tab w:leader="none" w:pos="240" w:val="left"/>
        </w:tabs>
        <w:numPr>
          <w:ilvl w:val="0"/>
          <w:numId w:val="108"/>
        </w:numPr>
        <w:rPr>
          <w:rFonts w:ascii="Arial" w:cs="Arial" w:eastAsia="Arial" w:hAnsi="Arial"/>
          <w:sz w:val="13"/>
          <w:szCs w:val="13"/>
          <w:color w:val="61C4AF"/>
        </w:rPr>
      </w:pPr>
      <w:r>
        <w:rPr>
          <w:rFonts w:ascii="Arial" w:cs="Arial" w:eastAsia="Arial" w:hAnsi="Arial"/>
          <w:sz w:val="13"/>
          <w:szCs w:val="13"/>
          <w:color w:val="auto"/>
        </w:rPr>
        <w:t>acting as a liaison between our independent directors and management;</w:t>
      </w:r>
    </w:p>
    <w:p>
      <w:pPr>
        <w:spacing w:after="0" w:line="66" w:lineRule="exact"/>
        <w:rPr>
          <w:rFonts w:ascii="Arial" w:cs="Arial" w:eastAsia="Arial" w:hAnsi="Arial"/>
          <w:sz w:val="13"/>
          <w:szCs w:val="13"/>
          <w:color w:val="61C4AF"/>
        </w:rPr>
      </w:pPr>
    </w:p>
    <w:p>
      <w:pPr>
        <w:ind w:left="240" w:hanging="232"/>
        <w:spacing w:after="0"/>
        <w:tabs>
          <w:tab w:leader="none" w:pos="240" w:val="left"/>
        </w:tabs>
        <w:numPr>
          <w:ilvl w:val="0"/>
          <w:numId w:val="108"/>
        </w:numPr>
        <w:rPr>
          <w:rFonts w:ascii="Arial" w:cs="Arial" w:eastAsia="Arial" w:hAnsi="Arial"/>
          <w:sz w:val="13"/>
          <w:szCs w:val="13"/>
          <w:color w:val="61C4AF"/>
        </w:rPr>
      </w:pPr>
      <w:r>
        <w:rPr>
          <w:rFonts w:ascii="Arial" w:cs="Arial" w:eastAsia="Arial" w:hAnsi="Arial"/>
          <w:sz w:val="13"/>
          <w:szCs w:val="13"/>
          <w:color w:val="auto"/>
        </w:rPr>
        <w:t>assisting our Chairman of the Board in establishing the agenda for Board meetings;</w:t>
      </w:r>
    </w:p>
    <w:p>
      <w:pPr>
        <w:spacing w:after="0" w:line="66" w:lineRule="exact"/>
        <w:rPr>
          <w:rFonts w:ascii="Arial" w:cs="Arial" w:eastAsia="Arial" w:hAnsi="Arial"/>
          <w:sz w:val="13"/>
          <w:szCs w:val="13"/>
          <w:color w:val="61C4AF"/>
        </w:rPr>
      </w:pPr>
    </w:p>
    <w:p>
      <w:pPr>
        <w:ind w:left="240" w:hanging="232"/>
        <w:spacing w:after="0"/>
        <w:tabs>
          <w:tab w:leader="none" w:pos="240" w:val="left"/>
        </w:tabs>
        <w:numPr>
          <w:ilvl w:val="0"/>
          <w:numId w:val="108"/>
        </w:numPr>
        <w:rPr>
          <w:rFonts w:ascii="Arial" w:cs="Arial" w:eastAsia="Arial" w:hAnsi="Arial"/>
          <w:sz w:val="13"/>
          <w:szCs w:val="13"/>
          <w:color w:val="61C4AF"/>
        </w:rPr>
      </w:pPr>
      <w:r>
        <w:rPr>
          <w:rFonts w:ascii="Arial" w:cs="Arial" w:eastAsia="Arial" w:hAnsi="Arial"/>
          <w:sz w:val="13"/>
          <w:szCs w:val="13"/>
          <w:color w:val="auto"/>
        </w:rPr>
        <w:t>coordinating the agenda for, and chairing, the executive sessions of our independent directors;</w:t>
      </w:r>
    </w:p>
    <w:p>
      <w:pPr>
        <w:spacing w:after="0" w:line="66" w:lineRule="exact"/>
        <w:rPr>
          <w:rFonts w:ascii="Arial" w:cs="Arial" w:eastAsia="Arial" w:hAnsi="Arial"/>
          <w:sz w:val="13"/>
          <w:szCs w:val="13"/>
          <w:color w:val="61C4AF"/>
        </w:rPr>
      </w:pPr>
    </w:p>
    <w:p>
      <w:pPr>
        <w:ind w:left="240" w:hanging="232"/>
        <w:spacing w:after="0"/>
        <w:tabs>
          <w:tab w:leader="none" w:pos="240" w:val="left"/>
        </w:tabs>
        <w:numPr>
          <w:ilvl w:val="0"/>
          <w:numId w:val="108"/>
        </w:numPr>
        <w:rPr>
          <w:rFonts w:ascii="Arial" w:cs="Arial" w:eastAsia="Arial" w:hAnsi="Arial"/>
          <w:sz w:val="13"/>
          <w:szCs w:val="13"/>
          <w:color w:val="61C4AF"/>
        </w:rPr>
      </w:pPr>
      <w:r>
        <w:rPr>
          <w:rFonts w:ascii="Arial" w:cs="Arial" w:eastAsia="Arial" w:hAnsi="Arial"/>
          <w:sz w:val="13"/>
          <w:szCs w:val="13"/>
          <w:color w:val="auto"/>
        </w:rPr>
        <w:t>presiding at any Board meeting at which our Chairman is not present;</w:t>
      </w:r>
    </w:p>
    <w:p>
      <w:pPr>
        <w:spacing w:after="0" w:line="66" w:lineRule="exact"/>
        <w:rPr>
          <w:rFonts w:ascii="Arial" w:cs="Arial" w:eastAsia="Arial" w:hAnsi="Arial"/>
          <w:sz w:val="13"/>
          <w:szCs w:val="13"/>
          <w:color w:val="61C4AF"/>
        </w:rPr>
      </w:pPr>
    </w:p>
    <w:p>
      <w:pPr>
        <w:ind w:left="240" w:hanging="232"/>
        <w:spacing w:after="0"/>
        <w:tabs>
          <w:tab w:leader="none" w:pos="240" w:val="left"/>
        </w:tabs>
        <w:numPr>
          <w:ilvl w:val="0"/>
          <w:numId w:val="108"/>
        </w:numPr>
        <w:rPr>
          <w:rFonts w:ascii="Arial" w:cs="Arial" w:eastAsia="Arial" w:hAnsi="Arial"/>
          <w:sz w:val="13"/>
          <w:szCs w:val="13"/>
          <w:color w:val="61C4AF"/>
        </w:rPr>
      </w:pPr>
      <w:r>
        <w:rPr>
          <w:rFonts w:ascii="Arial" w:cs="Arial" w:eastAsia="Arial" w:hAnsi="Arial"/>
          <w:sz w:val="13"/>
          <w:szCs w:val="13"/>
          <w:color w:val="auto"/>
        </w:rPr>
        <w:t>reviewing and approving goals for and evaluating the performance of our Chief Executive Officer with our Chairman of the Board and Compensation and Talent Committee Chair;</w:t>
      </w:r>
    </w:p>
    <w:p>
      <w:pPr>
        <w:spacing w:after="0" w:line="66" w:lineRule="exact"/>
        <w:rPr>
          <w:rFonts w:ascii="Arial" w:cs="Arial" w:eastAsia="Arial" w:hAnsi="Arial"/>
          <w:sz w:val="13"/>
          <w:szCs w:val="13"/>
          <w:color w:val="61C4AF"/>
        </w:rPr>
      </w:pPr>
    </w:p>
    <w:p>
      <w:pPr>
        <w:ind w:left="240" w:hanging="232"/>
        <w:spacing w:after="0"/>
        <w:tabs>
          <w:tab w:leader="none" w:pos="240" w:val="left"/>
        </w:tabs>
        <w:numPr>
          <w:ilvl w:val="0"/>
          <w:numId w:val="108"/>
        </w:numPr>
        <w:rPr>
          <w:rFonts w:ascii="Arial" w:cs="Arial" w:eastAsia="Arial" w:hAnsi="Arial"/>
          <w:sz w:val="13"/>
          <w:szCs w:val="13"/>
          <w:color w:val="61C4AF"/>
        </w:rPr>
      </w:pPr>
      <w:r>
        <w:rPr>
          <w:rFonts w:ascii="Arial" w:cs="Arial" w:eastAsia="Arial" w:hAnsi="Arial"/>
          <w:sz w:val="13"/>
          <w:szCs w:val="13"/>
          <w:color w:val="auto"/>
        </w:rPr>
        <w:t>overseeing our stockholder engagement efforts and being available for engagement with stockholders as appropriate; and</w:t>
      </w:r>
    </w:p>
    <w:p>
      <w:pPr>
        <w:spacing w:after="0" w:line="66" w:lineRule="exact"/>
        <w:rPr>
          <w:rFonts w:ascii="Arial" w:cs="Arial" w:eastAsia="Arial" w:hAnsi="Arial"/>
          <w:sz w:val="13"/>
          <w:szCs w:val="13"/>
          <w:color w:val="61C4AF"/>
        </w:rPr>
      </w:pPr>
    </w:p>
    <w:p>
      <w:pPr>
        <w:ind w:left="240" w:hanging="232"/>
        <w:spacing w:after="0"/>
        <w:tabs>
          <w:tab w:leader="none" w:pos="240" w:val="left"/>
        </w:tabs>
        <w:numPr>
          <w:ilvl w:val="0"/>
          <w:numId w:val="108"/>
        </w:numPr>
        <w:rPr>
          <w:rFonts w:ascii="Arial" w:cs="Arial" w:eastAsia="Arial" w:hAnsi="Arial"/>
          <w:sz w:val="13"/>
          <w:szCs w:val="13"/>
          <w:color w:val="61C4AF"/>
        </w:rPr>
      </w:pPr>
      <w:r>
        <w:rPr>
          <w:rFonts w:ascii="Arial" w:cs="Arial" w:eastAsia="Arial" w:hAnsi="Arial"/>
          <w:sz w:val="13"/>
          <w:szCs w:val="13"/>
          <w:color w:val="auto"/>
        </w:rPr>
        <w:t>performing such other duties as may be specified by our Board of Directors from time to time.</w:t>
      </w:r>
    </w:p>
    <w:p>
      <w:pPr>
        <w:spacing w:after="0" w:line="215" w:lineRule="exact"/>
        <w:rPr>
          <w:sz w:val="20"/>
          <w:szCs w:val="20"/>
          <w:color w:val="auto"/>
        </w:rPr>
      </w:pPr>
    </w:p>
    <w:p>
      <w:pPr>
        <w:ind w:right="160"/>
        <w:spacing w:after="0" w:line="258" w:lineRule="auto"/>
        <w:rPr>
          <w:sz w:val="20"/>
          <w:szCs w:val="20"/>
          <w:color w:val="auto"/>
        </w:rPr>
      </w:pPr>
      <w:r>
        <w:rPr>
          <w:rFonts w:ascii="Arial" w:cs="Arial" w:eastAsia="Arial" w:hAnsi="Arial"/>
          <w:sz w:val="13"/>
          <w:szCs w:val="13"/>
          <w:color w:val="auto"/>
        </w:rPr>
        <w:t>Our independent directors also meet regularly in executive sessions without management to review, among other things, our strategy, financial performance, management effectiveness and succession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234440" cy="685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34440" cy="68580"/>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COMMITTEES</w:t>
      </w:r>
    </w:p>
    <w:p>
      <w:pPr>
        <w:spacing w:after="0" w:line="252" w:lineRule="exact"/>
        <w:rPr>
          <w:sz w:val="20"/>
          <w:szCs w:val="20"/>
          <w:color w:val="auto"/>
        </w:rPr>
      </w:pPr>
    </w:p>
    <w:p>
      <w:pPr>
        <w:spacing w:after="0" w:line="248" w:lineRule="auto"/>
        <w:rPr>
          <w:sz w:val="20"/>
          <w:szCs w:val="20"/>
          <w:color w:val="auto"/>
        </w:rPr>
      </w:pPr>
      <w:r>
        <w:rPr>
          <w:rFonts w:ascii="Arial" w:cs="Arial" w:eastAsia="Arial" w:hAnsi="Arial"/>
          <w:sz w:val="13"/>
          <w:szCs w:val="13"/>
          <w:color w:val="auto"/>
        </w:rPr>
        <w:t>Our Board of Directors has standing Audit, Compensation and Talent, Governance and Executive Committees. Each of the standing committees operates pursuant to a written charter that is available on our website under “Leadership &amp; Governance” at investor.wdc.com. Our Board has affirmatively determined that all members of the Audit, Compensation and Talent and Governance Committees are independent as defined under the listing standards of the Nasdaq Stock Market.</w:t>
      </w:r>
    </w:p>
    <w:p>
      <w:pPr>
        <w:spacing w:after="0" w:line="165" w:lineRule="exact"/>
        <w:rPr>
          <w:sz w:val="20"/>
          <w:szCs w:val="20"/>
          <w:color w:val="auto"/>
        </w:rPr>
      </w:pPr>
    </w:p>
    <w:p>
      <w:pPr>
        <w:spacing w:after="0"/>
        <w:rPr>
          <w:sz w:val="20"/>
          <w:szCs w:val="20"/>
          <w:color w:val="auto"/>
        </w:rPr>
      </w:pPr>
      <w:r>
        <w:rPr>
          <w:rFonts w:ascii="Arial" w:cs="Arial" w:eastAsia="Arial" w:hAnsi="Arial"/>
          <w:sz w:val="24"/>
          <w:szCs w:val="24"/>
          <w:b w:val="1"/>
          <w:bCs w:val="1"/>
          <w:color w:val="819DBB"/>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216027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2160270"/>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231"/>
        </w:trPr>
        <w:tc>
          <w:tcPr>
            <w:tcW w:w="160" w:type="dxa"/>
            <w:vAlign w:val="bottom"/>
            <w:shd w:val="clear" w:color="auto" w:fill="EAEEF4"/>
          </w:tcPr>
          <w:p>
            <w:pPr>
              <w:spacing w:after="0"/>
              <w:rPr>
                <w:sz w:val="24"/>
                <w:szCs w:val="24"/>
                <w:color w:val="auto"/>
              </w:rPr>
            </w:pPr>
          </w:p>
        </w:tc>
        <w:tc>
          <w:tcPr>
            <w:tcW w:w="2000" w:type="dxa"/>
            <w:vAlign w:val="bottom"/>
            <w:gridSpan w:val="2"/>
            <w:vMerge w:val="restart"/>
            <w:shd w:val="clear" w:color="auto" w:fill="EAEEF4"/>
          </w:tcPr>
          <w:p>
            <w:pPr>
              <w:ind w:left="20"/>
              <w:spacing w:after="0"/>
              <w:rPr>
                <w:sz w:val="20"/>
                <w:szCs w:val="20"/>
                <w:color w:val="auto"/>
              </w:rPr>
            </w:pPr>
            <w:r>
              <w:rPr>
                <w:rFonts w:ascii="Arial" w:cs="Arial" w:eastAsia="Arial" w:hAnsi="Arial"/>
                <w:sz w:val="13"/>
                <w:szCs w:val="13"/>
                <w:b w:val="1"/>
                <w:bCs w:val="1"/>
                <w:color w:val="819DBB"/>
              </w:rPr>
              <w:t>COMMITTEE MEMBERS</w:t>
            </w:r>
          </w:p>
        </w:tc>
        <w:tc>
          <w:tcPr>
            <w:tcW w:w="1180" w:type="dxa"/>
            <w:vAlign w:val="bottom"/>
            <w:shd w:val="clear" w:color="auto" w:fill="EAEEF4"/>
          </w:tcPr>
          <w:p>
            <w:pPr>
              <w:spacing w:after="0"/>
              <w:rPr>
                <w:sz w:val="24"/>
                <w:szCs w:val="24"/>
                <w:color w:val="auto"/>
              </w:rPr>
            </w:pPr>
          </w:p>
        </w:tc>
        <w:tc>
          <w:tcPr>
            <w:tcW w:w="1280" w:type="dxa"/>
            <w:vAlign w:val="bottom"/>
            <w:shd w:val="clear" w:color="auto" w:fill="EAEEF4"/>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60" w:type="dxa"/>
            <w:vAlign w:val="bottom"/>
          </w:tcPr>
          <w:p>
            <w:pPr>
              <w:spacing w:after="0"/>
              <w:rPr>
                <w:sz w:val="24"/>
                <w:szCs w:val="24"/>
                <w:color w:val="auto"/>
              </w:rPr>
            </w:pPr>
          </w:p>
        </w:tc>
        <w:tc>
          <w:tcPr>
            <w:tcW w:w="2000" w:type="dxa"/>
            <w:vAlign w:val="bottom"/>
            <w:gridSpan w:val="2"/>
            <w:vMerge w:val="continue"/>
            <w:shd w:val="clear" w:color="auto" w:fill="EAEEF4"/>
          </w:tcPr>
          <w:p>
            <w:pPr>
              <w:spacing w:after="0"/>
              <w:rPr>
                <w:sz w:val="24"/>
                <w:szCs w:val="24"/>
                <w:color w:val="auto"/>
              </w:rPr>
            </w:pPr>
          </w:p>
        </w:tc>
        <w:tc>
          <w:tcPr>
            <w:tcW w:w="1180" w:type="dxa"/>
            <w:vAlign w:val="bottom"/>
            <w:shd w:val="clear" w:color="auto" w:fill="EAEEF4"/>
          </w:tcPr>
          <w:p>
            <w:pPr>
              <w:spacing w:after="0"/>
              <w:rPr>
                <w:sz w:val="24"/>
                <w:szCs w:val="24"/>
                <w:color w:val="auto"/>
              </w:rPr>
            </w:pPr>
          </w:p>
        </w:tc>
        <w:tc>
          <w:tcPr>
            <w:tcW w:w="1280" w:type="dxa"/>
            <w:vAlign w:val="bottom"/>
            <w:shd w:val="clear" w:color="auto" w:fill="EAEEF4"/>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860" w:type="dxa"/>
            <w:vAlign w:val="bottom"/>
            <w:shd w:val="clear" w:color="auto" w:fill="EAEEF4"/>
          </w:tcPr>
          <w:p>
            <w:pPr>
              <w:ind w:left="20"/>
              <w:spacing w:after="0"/>
              <w:rPr>
                <w:sz w:val="20"/>
                <w:szCs w:val="20"/>
                <w:color w:val="auto"/>
              </w:rPr>
            </w:pPr>
            <w:r>
              <w:rPr>
                <w:rFonts w:ascii="Arial" w:cs="Arial" w:eastAsia="Arial" w:hAnsi="Arial"/>
                <w:sz w:val="13"/>
                <w:szCs w:val="13"/>
                <w:color w:val="auto"/>
              </w:rPr>
              <w:t>Kimberly</w:t>
            </w:r>
          </w:p>
        </w:tc>
        <w:tc>
          <w:tcPr>
            <w:tcW w:w="1140" w:type="dxa"/>
            <w:vAlign w:val="bottom"/>
            <w:shd w:val="clear" w:color="auto" w:fill="EAEEF4"/>
          </w:tcPr>
          <w:p>
            <w:pPr>
              <w:ind w:left="320"/>
              <w:spacing w:after="0"/>
              <w:rPr>
                <w:sz w:val="20"/>
                <w:szCs w:val="20"/>
                <w:color w:val="auto"/>
              </w:rPr>
            </w:pPr>
            <w:r>
              <w:rPr>
                <w:rFonts w:ascii="Arial" w:cs="Arial" w:eastAsia="Arial" w:hAnsi="Arial"/>
                <w:sz w:val="13"/>
                <w:szCs w:val="13"/>
                <w:color w:val="auto"/>
              </w:rPr>
              <w:t>Martin I.</w:t>
            </w:r>
          </w:p>
        </w:tc>
        <w:tc>
          <w:tcPr>
            <w:tcW w:w="1180" w:type="dxa"/>
            <w:vAlign w:val="bottom"/>
            <w:shd w:val="clear" w:color="auto" w:fill="EAEEF4"/>
          </w:tcPr>
          <w:p>
            <w:pPr>
              <w:ind w:left="340"/>
              <w:spacing w:after="0"/>
              <w:rPr>
                <w:sz w:val="20"/>
                <w:szCs w:val="20"/>
                <w:color w:val="auto"/>
              </w:rPr>
            </w:pPr>
            <w:r>
              <w:rPr>
                <w:rFonts w:ascii="Arial" w:cs="Arial" w:eastAsia="Arial" w:hAnsi="Arial"/>
                <w:sz w:val="13"/>
                <w:szCs w:val="13"/>
                <w:color w:val="auto"/>
              </w:rPr>
              <w:t>Paula A.</w:t>
            </w:r>
          </w:p>
        </w:tc>
        <w:tc>
          <w:tcPr>
            <w:tcW w:w="1280" w:type="dxa"/>
            <w:vAlign w:val="bottom"/>
            <w:shd w:val="clear" w:color="auto" w:fill="EAEEF4"/>
          </w:tcPr>
          <w:p>
            <w:pPr>
              <w:ind w:left="340"/>
              <w:spacing w:after="0"/>
              <w:rPr>
                <w:sz w:val="20"/>
                <w:szCs w:val="20"/>
                <w:color w:val="auto"/>
              </w:rPr>
            </w:pPr>
            <w:r>
              <w:rPr>
                <w:rFonts w:ascii="Arial" w:cs="Arial" w:eastAsia="Arial" w:hAnsi="Arial"/>
                <w:sz w:val="13"/>
                <w:szCs w:val="13"/>
                <w:color w:val="auto"/>
              </w:rPr>
              <w:t>Stephanie A.</w:t>
            </w:r>
          </w:p>
        </w:tc>
        <w:tc>
          <w:tcPr>
            <w:tcW w:w="0" w:type="dxa"/>
            <w:vAlign w:val="bottom"/>
          </w:tcPr>
          <w:p>
            <w:pPr>
              <w:spacing w:after="0"/>
              <w:rPr>
                <w:sz w:val="1"/>
                <w:szCs w:val="1"/>
                <w:color w:val="auto"/>
              </w:rPr>
            </w:pPr>
          </w:p>
        </w:tc>
      </w:tr>
      <w:tr>
        <w:trPr>
          <w:trHeight w:val="134"/>
        </w:trPr>
        <w:tc>
          <w:tcPr>
            <w:tcW w:w="160" w:type="dxa"/>
            <w:vAlign w:val="bottom"/>
          </w:tcPr>
          <w:p>
            <w:pPr>
              <w:spacing w:after="0"/>
              <w:rPr>
                <w:sz w:val="11"/>
                <w:szCs w:val="11"/>
                <w:color w:val="auto"/>
              </w:rPr>
            </w:pPr>
          </w:p>
        </w:tc>
        <w:tc>
          <w:tcPr>
            <w:tcW w:w="860" w:type="dxa"/>
            <w:vAlign w:val="bottom"/>
            <w:shd w:val="clear" w:color="auto" w:fill="EAEEF4"/>
          </w:tcPr>
          <w:p>
            <w:pPr>
              <w:ind w:left="20"/>
              <w:spacing w:after="0" w:line="134" w:lineRule="exact"/>
              <w:rPr>
                <w:sz w:val="20"/>
                <w:szCs w:val="20"/>
                <w:color w:val="auto"/>
              </w:rPr>
            </w:pPr>
            <w:r>
              <w:rPr>
                <w:rFonts w:ascii="Arial" w:cs="Arial" w:eastAsia="Arial" w:hAnsi="Arial"/>
                <w:sz w:val="13"/>
                <w:szCs w:val="13"/>
                <w:color w:val="auto"/>
              </w:rPr>
              <w:t>E. Alexy</w:t>
            </w:r>
          </w:p>
        </w:tc>
        <w:tc>
          <w:tcPr>
            <w:tcW w:w="1140" w:type="dxa"/>
            <w:vAlign w:val="bottom"/>
            <w:shd w:val="clear" w:color="auto" w:fill="EAEEF4"/>
          </w:tcPr>
          <w:p>
            <w:pPr>
              <w:ind w:left="320"/>
              <w:spacing w:after="0" w:line="134" w:lineRule="exact"/>
              <w:rPr>
                <w:sz w:val="20"/>
                <w:szCs w:val="20"/>
                <w:color w:val="auto"/>
              </w:rPr>
            </w:pPr>
            <w:r>
              <w:rPr>
                <w:rFonts w:ascii="Arial" w:cs="Arial" w:eastAsia="Arial" w:hAnsi="Arial"/>
                <w:sz w:val="13"/>
                <w:szCs w:val="13"/>
                <w:color w:val="auto"/>
              </w:rPr>
              <w:t>Cole</w:t>
            </w:r>
          </w:p>
        </w:tc>
        <w:tc>
          <w:tcPr>
            <w:tcW w:w="1180" w:type="dxa"/>
            <w:vAlign w:val="bottom"/>
            <w:shd w:val="clear" w:color="auto" w:fill="EAEEF4"/>
          </w:tcPr>
          <w:p>
            <w:pPr>
              <w:ind w:left="340"/>
              <w:spacing w:after="0" w:line="134" w:lineRule="exact"/>
              <w:rPr>
                <w:sz w:val="20"/>
                <w:szCs w:val="20"/>
                <w:color w:val="auto"/>
              </w:rPr>
            </w:pPr>
            <w:r>
              <w:rPr>
                <w:rFonts w:ascii="Arial" w:cs="Arial" w:eastAsia="Arial" w:hAnsi="Arial"/>
                <w:sz w:val="13"/>
                <w:szCs w:val="13"/>
                <w:color w:val="auto"/>
              </w:rPr>
              <w:t>Price</w:t>
            </w:r>
          </w:p>
        </w:tc>
        <w:tc>
          <w:tcPr>
            <w:tcW w:w="1280" w:type="dxa"/>
            <w:vAlign w:val="bottom"/>
            <w:shd w:val="clear" w:color="auto" w:fill="EAEEF4"/>
          </w:tcPr>
          <w:p>
            <w:pPr>
              <w:ind w:left="340"/>
              <w:spacing w:after="0" w:line="134" w:lineRule="exact"/>
              <w:rPr>
                <w:sz w:val="20"/>
                <w:szCs w:val="20"/>
                <w:color w:val="auto"/>
              </w:rPr>
            </w:pPr>
            <w:r>
              <w:rPr>
                <w:rFonts w:ascii="Arial" w:cs="Arial" w:eastAsia="Arial" w:hAnsi="Arial"/>
                <w:sz w:val="13"/>
                <w:szCs w:val="13"/>
                <w:color w:val="auto"/>
              </w:rPr>
              <w:t>Streeter</w:t>
            </w:r>
          </w:p>
        </w:tc>
        <w:tc>
          <w:tcPr>
            <w:tcW w:w="0" w:type="dxa"/>
            <w:vAlign w:val="bottom"/>
          </w:tcPr>
          <w:p>
            <w:pPr>
              <w:spacing w:after="0"/>
              <w:rPr>
                <w:sz w:val="1"/>
                <w:szCs w:val="1"/>
                <w:color w:val="auto"/>
              </w:rPr>
            </w:pPr>
          </w:p>
        </w:tc>
      </w:tr>
      <w:tr>
        <w:trPr>
          <w:trHeight w:val="163"/>
        </w:trPr>
        <w:tc>
          <w:tcPr>
            <w:tcW w:w="160" w:type="dxa"/>
            <w:vAlign w:val="bottom"/>
          </w:tcPr>
          <w:p>
            <w:pPr>
              <w:spacing w:after="0"/>
              <w:rPr>
                <w:sz w:val="14"/>
                <w:szCs w:val="14"/>
                <w:color w:val="auto"/>
              </w:rPr>
            </w:pPr>
          </w:p>
        </w:tc>
        <w:tc>
          <w:tcPr>
            <w:tcW w:w="860" w:type="dxa"/>
            <w:vAlign w:val="bottom"/>
            <w:shd w:val="clear" w:color="auto" w:fill="EAEEF4"/>
          </w:tcPr>
          <w:p>
            <w:pPr>
              <w:ind w:left="20"/>
              <w:spacing w:after="0"/>
              <w:rPr>
                <w:sz w:val="20"/>
                <w:szCs w:val="20"/>
                <w:color w:val="auto"/>
              </w:rPr>
            </w:pPr>
            <w:r>
              <w:rPr>
                <w:rFonts w:ascii="Arial" w:cs="Arial" w:eastAsia="Arial" w:hAnsi="Arial"/>
                <w:sz w:val="13"/>
                <w:szCs w:val="13"/>
                <w:i w:val="1"/>
                <w:iCs w:val="1"/>
                <w:color w:val="auto"/>
              </w:rPr>
              <w:t>(Chair)</w:t>
            </w:r>
          </w:p>
        </w:tc>
        <w:tc>
          <w:tcPr>
            <w:tcW w:w="1140" w:type="dxa"/>
            <w:vAlign w:val="bottom"/>
            <w:shd w:val="clear" w:color="auto" w:fill="EAEEF4"/>
          </w:tcPr>
          <w:p>
            <w:pPr>
              <w:spacing w:after="0"/>
              <w:rPr>
                <w:sz w:val="14"/>
                <w:szCs w:val="14"/>
                <w:color w:val="auto"/>
              </w:rPr>
            </w:pPr>
          </w:p>
        </w:tc>
        <w:tc>
          <w:tcPr>
            <w:tcW w:w="1180" w:type="dxa"/>
            <w:vAlign w:val="bottom"/>
            <w:shd w:val="clear" w:color="auto" w:fill="EAEEF4"/>
          </w:tcPr>
          <w:p>
            <w:pPr>
              <w:spacing w:after="0"/>
              <w:rPr>
                <w:sz w:val="14"/>
                <w:szCs w:val="14"/>
                <w:color w:val="auto"/>
              </w:rPr>
            </w:pPr>
          </w:p>
        </w:tc>
        <w:tc>
          <w:tcPr>
            <w:tcW w:w="1280" w:type="dxa"/>
            <w:vAlign w:val="bottom"/>
            <w:shd w:val="clear" w:color="auto" w:fill="EAEEF4"/>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-281940</wp:posOffset>
            </wp:positionV>
            <wp:extent cx="2828925" cy="4375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828925" cy="43751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-1182370</wp:posOffset>
            </wp:positionV>
            <wp:extent cx="2828925" cy="7200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828925" cy="72009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-1182370</wp:posOffset>
            </wp:positionV>
            <wp:extent cx="2828925" cy="7200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828925" cy="720090"/>
                    </a:xfrm>
                    <a:prstGeom prst="rect">
                      <a:avLst/>
                    </a:prstGeom>
                    <a:noFill/>
                  </pic:spPr>
                </pic:pic>
              </a:graphicData>
            </a:graphic>
          </wp:anchor>
        </w:drawing>
      </w:r>
    </w:p>
    <w:p>
      <w:pPr>
        <w:spacing w:after="0" w:line="206" w:lineRule="exact"/>
        <w:rPr>
          <w:sz w:val="20"/>
          <w:szCs w:val="20"/>
          <w:color w:val="auto"/>
        </w:rPr>
      </w:pPr>
    </w:p>
    <w:p>
      <w:pPr>
        <w:ind w:left="180"/>
        <w:spacing w:after="0"/>
        <w:rPr>
          <w:sz w:val="20"/>
          <w:szCs w:val="20"/>
          <w:color w:val="auto"/>
        </w:rPr>
      </w:pPr>
      <w:r>
        <w:rPr>
          <w:rFonts w:ascii="Arial" w:cs="Arial" w:eastAsia="Arial" w:hAnsi="Arial"/>
          <w:sz w:val="13"/>
          <w:szCs w:val="13"/>
          <w:color w:val="auto"/>
        </w:rPr>
        <w:t xml:space="preserve">Meetings Held in Fiscal 2020: </w:t>
      </w:r>
      <w:r>
        <w:rPr>
          <w:rFonts w:ascii="Arial" w:cs="Arial" w:eastAsia="Arial" w:hAnsi="Arial"/>
          <w:sz w:val="13"/>
          <w:szCs w:val="13"/>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-83820</wp:posOffset>
            </wp:positionV>
            <wp:extent cx="2828925" cy="4883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828925" cy="488315"/>
                    </a:xfrm>
                    <a:prstGeom prst="rect">
                      <a:avLst/>
                    </a:prstGeom>
                    <a:noFill/>
                  </pic:spPr>
                </pic:pic>
              </a:graphicData>
            </a:graphic>
          </wp:anchor>
        </w:drawing>
      </w:r>
    </w:p>
    <w:p>
      <w:pPr>
        <w:spacing w:after="0" w:line="195" w:lineRule="exact"/>
        <w:rPr>
          <w:sz w:val="20"/>
          <w:szCs w:val="20"/>
          <w:color w:val="auto"/>
        </w:rPr>
      </w:pPr>
    </w:p>
    <w:p>
      <w:pPr>
        <w:ind w:left="180"/>
        <w:spacing w:after="0"/>
        <w:rPr>
          <w:sz w:val="20"/>
          <w:szCs w:val="20"/>
          <w:color w:val="auto"/>
        </w:rPr>
      </w:pPr>
      <w:r>
        <w:rPr>
          <w:rFonts w:ascii="Arial" w:cs="Arial" w:eastAsia="Arial" w:hAnsi="Arial"/>
          <w:sz w:val="13"/>
          <w:szCs w:val="13"/>
          <w:color w:val="auto"/>
        </w:rPr>
        <w:t xml:space="preserve">Committee Report page </w:t>
      </w:r>
      <w:r>
        <w:rPr>
          <w:rFonts w:ascii="Arial" w:cs="Arial" w:eastAsia="Arial" w:hAnsi="Arial"/>
          <w:sz w:val="13"/>
          <w:szCs w:val="13"/>
          <w:b w:val="1"/>
          <w:bCs w:val="1"/>
          <w:color w:val="auto"/>
        </w:rPr>
        <w:t>110</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819DBB"/>
        </w:rPr>
        <w:t>KEY RESPONSIBILITIES</w:t>
      </w:r>
    </w:p>
    <w:p>
      <w:pPr>
        <w:spacing w:after="0" w:line="15" w:lineRule="exact"/>
        <w:rPr>
          <w:sz w:val="20"/>
          <w:szCs w:val="20"/>
          <w:color w:val="auto"/>
        </w:rPr>
      </w:pPr>
    </w:p>
    <w:p>
      <w:pPr>
        <w:ind w:left="260" w:right="300" w:hanging="229"/>
        <w:spacing w:after="0" w:line="258" w:lineRule="auto"/>
        <w:tabs>
          <w:tab w:leader="none" w:pos="237" w:val="left"/>
        </w:tabs>
        <w:numPr>
          <w:ilvl w:val="0"/>
          <w:numId w:val="109"/>
        </w:numPr>
        <w:rPr>
          <w:rFonts w:ascii="Arial" w:cs="Arial" w:eastAsia="Arial" w:hAnsi="Arial"/>
          <w:sz w:val="13"/>
          <w:szCs w:val="13"/>
          <w:color w:val="23628F"/>
        </w:rPr>
      </w:pPr>
      <w:r>
        <w:rPr>
          <w:rFonts w:ascii="Arial" w:cs="Arial" w:eastAsia="Arial" w:hAnsi="Arial"/>
          <w:sz w:val="13"/>
          <w:szCs w:val="13"/>
          <w:color w:val="auto"/>
        </w:rPr>
        <w:t>Solely responsible for appointing, compensating and overseeing independent accountants, with input from management</w:t>
      </w:r>
    </w:p>
    <w:p>
      <w:pPr>
        <w:spacing w:after="0" w:line="83" w:lineRule="exact"/>
        <w:rPr>
          <w:rFonts w:ascii="Arial" w:cs="Arial" w:eastAsia="Arial" w:hAnsi="Arial"/>
          <w:sz w:val="13"/>
          <w:szCs w:val="13"/>
          <w:color w:val="23628F"/>
        </w:rPr>
      </w:pPr>
    </w:p>
    <w:p>
      <w:pPr>
        <w:ind w:left="240" w:hanging="209"/>
        <w:spacing w:after="0"/>
        <w:tabs>
          <w:tab w:leader="none" w:pos="240" w:val="left"/>
        </w:tabs>
        <w:numPr>
          <w:ilvl w:val="0"/>
          <w:numId w:val="109"/>
        </w:numPr>
        <w:rPr>
          <w:rFonts w:ascii="Arial" w:cs="Arial" w:eastAsia="Arial" w:hAnsi="Arial"/>
          <w:sz w:val="13"/>
          <w:szCs w:val="13"/>
          <w:color w:val="23628F"/>
        </w:rPr>
      </w:pPr>
      <w:r>
        <w:rPr>
          <w:rFonts w:ascii="Arial" w:cs="Arial" w:eastAsia="Arial" w:hAnsi="Arial"/>
          <w:sz w:val="13"/>
          <w:szCs w:val="13"/>
          <w:color w:val="auto"/>
        </w:rPr>
        <w:t>Pre-approves all audit and non-audit services</w:t>
      </w:r>
    </w:p>
    <w:p>
      <w:pPr>
        <w:spacing w:after="0" w:line="107" w:lineRule="exact"/>
        <w:rPr>
          <w:rFonts w:ascii="Arial" w:cs="Arial" w:eastAsia="Arial" w:hAnsi="Arial"/>
          <w:sz w:val="13"/>
          <w:szCs w:val="13"/>
          <w:color w:val="23628F"/>
        </w:rPr>
      </w:pPr>
    </w:p>
    <w:p>
      <w:pPr>
        <w:ind w:left="240" w:hanging="209"/>
        <w:spacing w:after="0"/>
        <w:tabs>
          <w:tab w:leader="none" w:pos="240" w:val="left"/>
        </w:tabs>
        <w:numPr>
          <w:ilvl w:val="0"/>
          <w:numId w:val="109"/>
        </w:numPr>
        <w:rPr>
          <w:rFonts w:ascii="Arial" w:cs="Arial" w:eastAsia="Arial" w:hAnsi="Arial"/>
          <w:sz w:val="13"/>
          <w:szCs w:val="13"/>
          <w:color w:val="23628F"/>
        </w:rPr>
      </w:pPr>
      <w:r>
        <w:rPr>
          <w:rFonts w:ascii="Arial" w:cs="Arial" w:eastAsia="Arial" w:hAnsi="Arial"/>
          <w:sz w:val="13"/>
          <w:szCs w:val="13"/>
          <w:color w:val="auto"/>
        </w:rPr>
        <w:t>Reviews annual and quarterly financial statements</w:t>
      </w:r>
    </w:p>
    <w:p>
      <w:pPr>
        <w:spacing w:after="0" w:line="107" w:lineRule="exact"/>
        <w:rPr>
          <w:rFonts w:ascii="Arial" w:cs="Arial" w:eastAsia="Arial" w:hAnsi="Arial"/>
          <w:sz w:val="13"/>
          <w:szCs w:val="13"/>
          <w:color w:val="23628F"/>
        </w:rPr>
      </w:pPr>
    </w:p>
    <w:p>
      <w:pPr>
        <w:ind w:left="240" w:hanging="209"/>
        <w:spacing w:after="0"/>
        <w:tabs>
          <w:tab w:leader="none" w:pos="240" w:val="left"/>
        </w:tabs>
        <w:numPr>
          <w:ilvl w:val="0"/>
          <w:numId w:val="109"/>
        </w:numPr>
        <w:rPr>
          <w:rFonts w:ascii="Arial" w:cs="Arial" w:eastAsia="Arial" w:hAnsi="Arial"/>
          <w:sz w:val="13"/>
          <w:szCs w:val="13"/>
          <w:color w:val="23628F"/>
        </w:rPr>
      </w:pPr>
      <w:r>
        <w:rPr>
          <w:rFonts w:ascii="Arial" w:cs="Arial" w:eastAsia="Arial" w:hAnsi="Arial"/>
          <w:sz w:val="13"/>
          <w:szCs w:val="13"/>
          <w:color w:val="auto"/>
        </w:rPr>
        <w:t>Reviews adequacy of accounting and financial personnel resources</w:t>
      </w:r>
    </w:p>
    <w:p>
      <w:pPr>
        <w:spacing w:after="0" w:line="107" w:lineRule="exact"/>
        <w:rPr>
          <w:rFonts w:ascii="Arial" w:cs="Arial" w:eastAsia="Arial" w:hAnsi="Arial"/>
          <w:sz w:val="13"/>
          <w:szCs w:val="13"/>
          <w:color w:val="23628F"/>
        </w:rPr>
      </w:pPr>
    </w:p>
    <w:p>
      <w:pPr>
        <w:ind w:left="260" w:right="280" w:hanging="229"/>
        <w:spacing w:after="0" w:line="258" w:lineRule="auto"/>
        <w:tabs>
          <w:tab w:leader="none" w:pos="237" w:val="left"/>
        </w:tabs>
        <w:numPr>
          <w:ilvl w:val="0"/>
          <w:numId w:val="109"/>
        </w:numPr>
        <w:rPr>
          <w:rFonts w:ascii="Arial" w:cs="Arial" w:eastAsia="Arial" w:hAnsi="Arial"/>
          <w:sz w:val="13"/>
          <w:szCs w:val="13"/>
          <w:color w:val="23628F"/>
        </w:rPr>
      </w:pPr>
      <w:r>
        <w:rPr>
          <w:rFonts w:ascii="Arial" w:cs="Arial" w:eastAsia="Arial" w:hAnsi="Arial"/>
          <w:sz w:val="13"/>
          <w:szCs w:val="13"/>
          <w:color w:val="auto"/>
        </w:rPr>
        <w:t>Oversees and appoints our chief audit executive and reviews our internal audit plan and internal controls</w:t>
      </w:r>
    </w:p>
    <w:p>
      <w:pPr>
        <w:spacing w:after="0" w:line="83" w:lineRule="exact"/>
        <w:rPr>
          <w:rFonts w:ascii="Arial" w:cs="Arial" w:eastAsia="Arial" w:hAnsi="Arial"/>
          <w:sz w:val="13"/>
          <w:szCs w:val="13"/>
          <w:color w:val="23628F"/>
        </w:rPr>
      </w:pPr>
    </w:p>
    <w:p>
      <w:pPr>
        <w:ind w:left="260" w:right="140" w:hanging="229"/>
        <w:spacing w:after="0" w:line="248" w:lineRule="auto"/>
        <w:tabs>
          <w:tab w:leader="none" w:pos="237" w:val="left"/>
        </w:tabs>
        <w:numPr>
          <w:ilvl w:val="0"/>
          <w:numId w:val="109"/>
        </w:numPr>
        <w:rPr>
          <w:rFonts w:ascii="Arial" w:cs="Arial" w:eastAsia="Arial" w:hAnsi="Arial"/>
          <w:sz w:val="13"/>
          <w:szCs w:val="13"/>
          <w:color w:val="23628F"/>
        </w:rPr>
      </w:pPr>
      <w:r>
        <w:rPr>
          <w:rFonts w:ascii="Arial" w:cs="Arial" w:eastAsia="Arial" w:hAnsi="Arial"/>
          <w:sz w:val="13"/>
          <w:szCs w:val="13"/>
          <w:color w:val="auto"/>
        </w:rPr>
        <w:t>Reviews and discusses with management risk assessment and enterprise risk management policies, including risks related to financial reporting, accounting, internal controls, fraud, legal and regulatory compliance and cybersecurity</w:t>
      </w:r>
    </w:p>
    <w:p>
      <w:pPr>
        <w:spacing w:after="0" w:line="90" w:lineRule="exact"/>
        <w:rPr>
          <w:rFonts w:ascii="Arial" w:cs="Arial" w:eastAsia="Arial" w:hAnsi="Arial"/>
          <w:sz w:val="13"/>
          <w:szCs w:val="13"/>
          <w:color w:val="23628F"/>
        </w:rPr>
      </w:pPr>
    </w:p>
    <w:p>
      <w:pPr>
        <w:ind w:left="240" w:hanging="209"/>
        <w:spacing w:after="0"/>
        <w:tabs>
          <w:tab w:leader="none" w:pos="240" w:val="left"/>
        </w:tabs>
        <w:numPr>
          <w:ilvl w:val="0"/>
          <w:numId w:val="109"/>
        </w:numPr>
        <w:rPr>
          <w:rFonts w:ascii="Arial" w:cs="Arial" w:eastAsia="Arial" w:hAnsi="Arial"/>
          <w:sz w:val="13"/>
          <w:szCs w:val="13"/>
          <w:color w:val="23628F"/>
        </w:rPr>
      </w:pPr>
      <w:r>
        <w:rPr>
          <w:rFonts w:ascii="Arial" w:cs="Arial" w:eastAsia="Arial" w:hAnsi="Arial"/>
          <w:sz w:val="13"/>
          <w:szCs w:val="13"/>
          <w:color w:val="auto"/>
        </w:rPr>
        <w:t>Oversees ethics and compliance program</w:t>
      </w:r>
    </w:p>
    <w:p>
      <w:pPr>
        <w:spacing w:after="0" w:line="372" w:lineRule="exact"/>
        <w:rPr>
          <w:sz w:val="20"/>
          <w:szCs w:val="20"/>
          <w:color w:val="auto"/>
        </w:rPr>
      </w:pPr>
    </w:p>
    <w:p>
      <w:pPr>
        <w:sectPr>
          <w:pgSz w:w="11900" w:h="16838" w:orient="portrait"/>
          <w:cols w:equalWidth="0" w:num="2">
            <w:col w:w="4620" w:space="280"/>
            <w:col w:w="6240"/>
          </w:cols>
          <w:pgMar w:left="320" w:top="121" w:right="439" w:bottom="1440" w:gutter="0" w:footer="0" w:header="0"/>
          <w:type w:val="continuous"/>
        </w:sectPr>
      </w:pPr>
    </w:p>
    <w:p>
      <w:pPr>
        <w:spacing w:after="0" w:line="72" w:lineRule="exact"/>
        <w:rPr>
          <w:sz w:val="20"/>
          <w:szCs w:val="20"/>
          <w:color w:val="auto"/>
        </w:rPr>
      </w:pPr>
    </w:p>
    <w:p>
      <w:pPr>
        <w:ind w:left="180" w:right="280"/>
        <w:spacing w:after="0" w:line="258" w:lineRule="auto"/>
        <w:rPr>
          <w:sz w:val="20"/>
          <w:szCs w:val="20"/>
          <w:color w:val="auto"/>
        </w:rPr>
      </w:pPr>
      <w:r>
        <w:rPr>
          <w:rFonts w:ascii="Arial" w:cs="Arial" w:eastAsia="Arial" w:hAnsi="Arial"/>
          <w:sz w:val="13"/>
          <w:szCs w:val="13"/>
          <w:color w:val="auto"/>
        </w:rPr>
        <w:t>Our Board has affirmatively determined that each member of the Audit Committee is independent as defined under the listing standards of the Nasdaq Stock Market and applicable rules of the SEC and that all members are “audit committee financial experts” as defined by rules of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-203200</wp:posOffset>
            </wp:positionV>
            <wp:extent cx="7029450" cy="25717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029450" cy="257175"/>
                    </a:xfrm>
                    <a:prstGeom prst="rect">
                      <a:avLst/>
                    </a:prstGeom>
                    <a:noFill/>
                  </pic:spPr>
                </pic:pic>
              </a:graphicData>
            </a:graphic>
          </wp:anchor>
        </w:drawing>
      </w:r>
    </w:p>
    <w:p>
      <w:pPr>
        <w:spacing w:after="0" w:line="275" w:lineRule="exact"/>
        <w:rPr>
          <w:sz w:val="20"/>
          <w:szCs w:val="20"/>
          <w:color w:val="auto"/>
        </w:rPr>
      </w:pPr>
    </w:p>
    <w:p>
      <w:pPr>
        <w:ind w:left="440" w:hanging="432"/>
        <w:spacing w:after="0"/>
        <w:tabs>
          <w:tab w:leader="none" w:pos="440" w:val="left"/>
        </w:tabs>
        <w:numPr>
          <w:ilvl w:val="0"/>
          <w:numId w:val="110"/>
        </w:numPr>
        <w:rPr>
          <w:rFonts w:ascii="Arial" w:cs="Arial" w:eastAsia="Arial" w:hAnsi="Arial"/>
          <w:sz w:val="18"/>
          <w:szCs w:val="18"/>
          <w:b w:val="1"/>
          <w:bCs w:val="1"/>
          <w:color w:val="23628F"/>
        </w:rPr>
      </w:pPr>
      <w:r>
        <w:rPr>
          <w:rFonts w:ascii="Arial" w:cs="Arial" w:eastAsia="Arial" w:hAnsi="Arial"/>
          <w:sz w:val="13"/>
          <w:szCs w:val="13"/>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153275" cy="209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right"/>
        <w:spacing w:after="0"/>
        <w:rPr>
          <w:sz w:val="20"/>
          <w:szCs w:val="20"/>
          <w:color w:val="auto"/>
        </w:rPr>
      </w:pPr>
      <w:r>
        <w:rPr>
          <w:rFonts w:ascii="Arial" w:cs="Arial" w:eastAsia="Arial" w:hAnsi="Arial"/>
          <w:sz w:val="13"/>
          <w:szCs w:val="13"/>
          <w:color w:val="23628F"/>
        </w:rPr>
        <w:t>CORPORATE GOVERNANCE MATTERS</w:t>
      </w:r>
    </w:p>
    <w:p>
      <w:pPr>
        <w:spacing w:after="0" w:line="182" w:lineRule="exact"/>
        <w:rPr>
          <w:sz w:val="20"/>
          <w:szCs w:val="20"/>
          <w:color w:val="auto"/>
        </w:rPr>
      </w:pPr>
    </w:p>
    <w:p>
      <w:pPr>
        <w:spacing w:after="0"/>
        <w:rPr>
          <w:sz w:val="20"/>
          <w:szCs w:val="20"/>
          <w:color w:val="auto"/>
        </w:rPr>
      </w:pPr>
      <w:r>
        <w:rPr>
          <w:rFonts w:ascii="Arial" w:cs="Arial" w:eastAsia="Arial" w:hAnsi="Arial"/>
          <w:sz w:val="24"/>
          <w:szCs w:val="24"/>
          <w:b w:val="1"/>
          <w:bCs w:val="1"/>
          <w:color w:val="61C4AF"/>
        </w:rPr>
        <w:t>COMPENSATION AND TALENT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29317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2931795"/>
                    </a:xfrm>
                    <a:prstGeom prst="rect">
                      <a:avLst/>
                    </a:prstGeom>
                    <a:noFill/>
                  </pic:spPr>
                </pic:pic>
              </a:graphicData>
            </a:graphic>
          </wp:anchor>
        </w:drawing>
      </w:r>
    </w:p>
    <w:p>
      <w:pPr>
        <w:spacing w:after="0" w:line="126" w:lineRule="exact"/>
        <w:rPr>
          <w:sz w:val="20"/>
          <w:szCs w:val="20"/>
          <w:color w:val="auto"/>
        </w:rPr>
      </w:pPr>
    </w:p>
    <w:p>
      <w:pPr>
        <w:ind w:left="3800"/>
        <w:spacing w:after="0"/>
        <w:rPr>
          <w:sz w:val="20"/>
          <w:szCs w:val="20"/>
          <w:color w:val="auto"/>
        </w:rPr>
      </w:pPr>
      <w:r>
        <w:rPr>
          <w:rFonts w:ascii="Arial" w:cs="Arial" w:eastAsia="Arial" w:hAnsi="Arial"/>
          <w:sz w:val="13"/>
          <w:szCs w:val="13"/>
          <w:b w:val="1"/>
          <w:bCs w:val="1"/>
          <w:color w:val="61C4AF"/>
        </w:rPr>
        <w:t>KEY RESPONSIBILITIES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40" w:type="dxa"/>
            <w:vAlign w:val="bottom"/>
            <w:gridSpan w:val="2"/>
          </w:tcPr>
          <w:p>
            <w:pPr>
              <w:ind w:left="300"/>
              <w:spacing w:after="0"/>
              <w:rPr>
                <w:sz w:val="20"/>
                <w:szCs w:val="20"/>
                <w:color w:val="auto"/>
              </w:rPr>
            </w:pPr>
            <w:r>
              <w:rPr>
                <w:rFonts w:ascii="Arial" w:cs="Arial" w:eastAsia="Arial" w:hAnsi="Arial"/>
                <w:sz w:val="13"/>
                <w:szCs w:val="13"/>
                <w:color w:val="61C4AF"/>
              </w:rPr>
              <w:t xml:space="preserve">●   </w:t>
            </w:r>
            <w:r>
              <w:rPr>
                <w:rFonts w:ascii="Arial" w:cs="Arial" w:eastAsia="Arial" w:hAnsi="Arial"/>
                <w:sz w:val="13"/>
                <w:szCs w:val="13"/>
                <w:color w:val="000000"/>
              </w:rPr>
              <w:t>Evaluates and approves executive officer compensation</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440" w:type="dxa"/>
            <w:vAlign w:val="bottom"/>
            <w:gridSpan w:val="2"/>
          </w:tcPr>
          <w:p>
            <w:pPr>
              <w:ind w:left="300"/>
              <w:spacing w:after="0"/>
              <w:rPr>
                <w:sz w:val="20"/>
                <w:szCs w:val="20"/>
                <w:color w:val="auto"/>
              </w:rPr>
            </w:pPr>
            <w:r>
              <w:rPr>
                <w:rFonts w:ascii="Arial" w:cs="Arial" w:eastAsia="Arial" w:hAnsi="Arial"/>
                <w:sz w:val="13"/>
                <w:szCs w:val="13"/>
                <w:color w:val="61C4AF"/>
              </w:rPr>
              <w:t xml:space="preserve">●   </w:t>
            </w:r>
            <w:r>
              <w:rPr>
                <w:rFonts w:ascii="Arial" w:cs="Arial" w:eastAsia="Arial" w:hAnsi="Arial"/>
                <w:sz w:val="13"/>
                <w:szCs w:val="13"/>
                <w:color w:val="000000"/>
              </w:rPr>
              <w:t>Reviews our human capital management programs and initiatives</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440" w:type="dxa"/>
            <w:vAlign w:val="bottom"/>
            <w:gridSpan w:val="2"/>
          </w:tcPr>
          <w:p>
            <w:pPr>
              <w:ind w:left="300"/>
              <w:spacing w:after="0"/>
              <w:rPr>
                <w:sz w:val="20"/>
                <w:szCs w:val="20"/>
                <w:color w:val="auto"/>
              </w:rPr>
            </w:pPr>
            <w:r>
              <w:rPr>
                <w:rFonts w:ascii="Arial" w:cs="Arial" w:eastAsia="Arial" w:hAnsi="Arial"/>
                <w:sz w:val="13"/>
                <w:szCs w:val="13"/>
                <w:color w:val="61C4AF"/>
              </w:rPr>
              <w:t xml:space="preserve">●   </w:t>
            </w:r>
            <w:r>
              <w:rPr>
                <w:rFonts w:ascii="Arial" w:cs="Arial" w:eastAsia="Arial" w:hAnsi="Arial"/>
                <w:sz w:val="13"/>
                <w:szCs w:val="13"/>
                <w:color w:val="000000"/>
              </w:rPr>
              <w:t>Reviews and makes recommendations on non-employee director compensation</w:t>
            </w:r>
          </w:p>
        </w:tc>
        <w:tc>
          <w:tcPr>
            <w:tcW w:w="0" w:type="dxa"/>
            <w:vAlign w:val="bottom"/>
          </w:tcPr>
          <w:p>
            <w:pPr>
              <w:spacing w:after="0"/>
              <w:rPr>
                <w:sz w:val="1"/>
                <w:szCs w:val="1"/>
                <w:color w:val="auto"/>
              </w:rPr>
            </w:pPr>
          </w:p>
        </w:tc>
      </w:tr>
      <w:tr>
        <w:trPr>
          <w:trHeight w:val="202"/>
        </w:trPr>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440" w:type="dxa"/>
            <w:vAlign w:val="bottom"/>
            <w:gridSpan w:val="2"/>
          </w:tcPr>
          <w:p>
            <w:pPr>
              <w:ind w:left="300"/>
              <w:spacing w:after="0"/>
              <w:rPr>
                <w:sz w:val="20"/>
                <w:szCs w:val="20"/>
                <w:color w:val="auto"/>
              </w:rPr>
            </w:pPr>
            <w:r>
              <w:rPr>
                <w:rFonts w:ascii="Arial" w:cs="Arial" w:eastAsia="Arial" w:hAnsi="Arial"/>
                <w:sz w:val="13"/>
                <w:szCs w:val="13"/>
                <w:color w:val="61C4AF"/>
              </w:rPr>
              <w:t xml:space="preserve">●   </w:t>
            </w:r>
            <w:r>
              <w:rPr>
                <w:rFonts w:ascii="Arial" w:cs="Arial" w:eastAsia="Arial" w:hAnsi="Arial"/>
                <w:sz w:val="13"/>
                <w:szCs w:val="13"/>
                <w:color w:val="000000"/>
              </w:rPr>
              <w:t>Reviews and approves corporate goals and objectives for our Chief Executive Officer’s compensation and evaluates</w:t>
            </w: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0" w:type="dxa"/>
            <w:vAlign w:val="bottom"/>
          </w:tcPr>
          <w:p>
            <w:pPr>
              <w:ind w:left="100"/>
              <w:spacing w:after="0"/>
              <w:rPr>
                <w:sz w:val="20"/>
                <w:szCs w:val="20"/>
                <w:color w:val="auto"/>
              </w:rPr>
            </w:pPr>
            <w:r>
              <w:rPr>
                <w:rFonts w:ascii="Arial" w:cs="Arial" w:eastAsia="Arial" w:hAnsi="Arial"/>
                <w:sz w:val="13"/>
                <w:szCs w:val="13"/>
                <w:color w:val="auto"/>
              </w:rPr>
              <w:t>our Chief Executive Officer’s performance in light of those goals and objectives</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40" w:type="dxa"/>
            <w:vAlign w:val="bottom"/>
            <w:shd w:val="clear" w:color="auto" w:fill="DEF0EC"/>
          </w:tcPr>
          <w:p>
            <w:pPr>
              <w:spacing w:after="0"/>
              <w:rPr>
                <w:sz w:val="18"/>
                <w:szCs w:val="18"/>
                <w:color w:val="auto"/>
              </w:rPr>
            </w:pPr>
          </w:p>
        </w:tc>
        <w:tc>
          <w:tcPr>
            <w:tcW w:w="1280" w:type="dxa"/>
            <w:vAlign w:val="bottom"/>
            <w:shd w:val="clear" w:color="auto" w:fill="DEF0EC"/>
          </w:tcPr>
          <w:p>
            <w:pPr>
              <w:spacing w:after="0"/>
              <w:rPr>
                <w:sz w:val="18"/>
                <w:szCs w:val="18"/>
                <w:color w:val="auto"/>
              </w:rPr>
            </w:pPr>
          </w:p>
        </w:tc>
        <w:tc>
          <w:tcPr>
            <w:tcW w:w="1200" w:type="dxa"/>
            <w:vAlign w:val="bottom"/>
            <w:shd w:val="clear" w:color="auto" w:fill="DEF0EC"/>
          </w:tcPr>
          <w:p>
            <w:pPr>
              <w:spacing w:after="0"/>
              <w:rPr>
                <w:sz w:val="18"/>
                <w:szCs w:val="18"/>
                <w:color w:val="auto"/>
              </w:rPr>
            </w:pPr>
          </w:p>
        </w:tc>
        <w:tc>
          <w:tcPr>
            <w:tcW w:w="7440" w:type="dxa"/>
            <w:vAlign w:val="bottom"/>
            <w:gridSpan w:val="2"/>
          </w:tcPr>
          <w:p>
            <w:pPr>
              <w:ind w:left="300"/>
              <w:spacing w:after="0"/>
              <w:rPr>
                <w:sz w:val="20"/>
                <w:szCs w:val="20"/>
                <w:color w:val="auto"/>
              </w:rPr>
            </w:pPr>
            <w:r>
              <w:rPr>
                <w:rFonts w:ascii="Arial" w:cs="Arial" w:eastAsia="Arial" w:hAnsi="Arial"/>
                <w:sz w:val="13"/>
                <w:szCs w:val="13"/>
                <w:color w:val="61C4AF"/>
              </w:rPr>
              <w:t xml:space="preserve">●   </w:t>
            </w:r>
            <w:r>
              <w:rPr>
                <w:rFonts w:ascii="Arial" w:cs="Arial" w:eastAsia="Arial" w:hAnsi="Arial"/>
                <w:sz w:val="13"/>
                <w:szCs w:val="13"/>
                <w:color w:val="000000"/>
              </w:rPr>
              <w:t>Oversees incentive and equity-based compensation plans</w:t>
            </w:r>
          </w:p>
        </w:tc>
        <w:tc>
          <w:tcPr>
            <w:tcW w:w="0" w:type="dxa"/>
            <w:vAlign w:val="bottom"/>
          </w:tcPr>
          <w:p>
            <w:pPr>
              <w:spacing w:after="0"/>
              <w:rPr>
                <w:sz w:val="1"/>
                <w:szCs w:val="1"/>
                <w:color w:val="auto"/>
              </w:rPr>
            </w:pPr>
          </w:p>
        </w:tc>
      </w:tr>
      <w:tr>
        <w:trPr>
          <w:trHeight w:val="189"/>
        </w:trPr>
        <w:tc>
          <w:tcPr>
            <w:tcW w:w="220" w:type="dxa"/>
            <w:vAlign w:val="bottom"/>
          </w:tcPr>
          <w:p>
            <w:pPr>
              <w:spacing w:after="0"/>
              <w:rPr>
                <w:sz w:val="16"/>
                <w:szCs w:val="16"/>
                <w:color w:val="auto"/>
              </w:rPr>
            </w:pPr>
          </w:p>
        </w:tc>
        <w:tc>
          <w:tcPr>
            <w:tcW w:w="2120" w:type="dxa"/>
            <w:vAlign w:val="bottom"/>
            <w:gridSpan w:val="2"/>
            <w:shd w:val="clear" w:color="auto" w:fill="DEF0EC"/>
          </w:tcPr>
          <w:p>
            <w:pPr>
              <w:spacing w:after="0"/>
              <w:rPr>
                <w:sz w:val="20"/>
                <w:szCs w:val="20"/>
                <w:color w:val="auto"/>
              </w:rPr>
            </w:pPr>
            <w:r>
              <w:rPr>
                <w:rFonts w:ascii="Arial" w:cs="Arial" w:eastAsia="Arial" w:hAnsi="Arial"/>
                <w:sz w:val="13"/>
                <w:szCs w:val="13"/>
                <w:b w:val="1"/>
                <w:bCs w:val="1"/>
                <w:color w:val="61C4AF"/>
              </w:rPr>
              <w:t>COMMITTEE MEMBERS</w:t>
            </w:r>
          </w:p>
        </w:tc>
        <w:tc>
          <w:tcPr>
            <w:tcW w:w="1200" w:type="dxa"/>
            <w:vAlign w:val="bottom"/>
            <w:vMerge w:val="restart"/>
            <w:shd w:val="clear" w:color="auto" w:fill="DEF0EC"/>
          </w:tcPr>
          <w:p>
            <w:pPr>
              <w:ind w:left="240"/>
              <w:spacing w:after="0"/>
              <w:rPr>
                <w:sz w:val="20"/>
                <w:szCs w:val="20"/>
                <w:color w:val="auto"/>
              </w:rPr>
            </w:pPr>
            <w:r>
              <w:rPr>
                <w:rFonts w:ascii="Arial" w:cs="Arial" w:eastAsia="Arial" w:hAnsi="Arial"/>
                <w:sz w:val="13"/>
                <w:szCs w:val="13"/>
                <w:color w:val="auto"/>
              </w:rPr>
              <w:t>Tunç Doluca</w:t>
            </w:r>
          </w:p>
        </w:tc>
        <w:tc>
          <w:tcPr>
            <w:tcW w:w="7440" w:type="dxa"/>
            <w:vAlign w:val="bottom"/>
            <w:gridSpan w:val="2"/>
          </w:tcPr>
          <w:p>
            <w:pPr>
              <w:ind w:left="300"/>
              <w:spacing w:after="0"/>
              <w:rPr>
                <w:sz w:val="20"/>
                <w:szCs w:val="20"/>
                <w:color w:val="auto"/>
              </w:rPr>
            </w:pPr>
            <w:r>
              <w:rPr>
                <w:rFonts w:ascii="Arial" w:cs="Arial" w:eastAsia="Arial" w:hAnsi="Arial"/>
                <w:sz w:val="13"/>
                <w:szCs w:val="13"/>
                <w:color w:val="61C4AF"/>
              </w:rPr>
              <w:t xml:space="preserve">●   </w:t>
            </w:r>
            <w:r>
              <w:rPr>
                <w:rFonts w:ascii="Arial" w:cs="Arial" w:eastAsia="Arial" w:hAnsi="Arial"/>
                <w:sz w:val="13"/>
                <w:szCs w:val="13"/>
                <w:color w:val="000000"/>
              </w:rPr>
              <w:t>Reviews and recommends changes to benefit plans requiring Board approval</w:t>
            </w:r>
          </w:p>
        </w:tc>
        <w:tc>
          <w:tcPr>
            <w:tcW w:w="0" w:type="dxa"/>
            <w:vAlign w:val="bottom"/>
          </w:tcPr>
          <w:p>
            <w:pPr>
              <w:spacing w:after="0"/>
              <w:rPr>
                <w:sz w:val="1"/>
                <w:szCs w:val="1"/>
                <w:color w:val="auto"/>
              </w:rPr>
            </w:pPr>
          </w:p>
        </w:tc>
      </w:tr>
      <w:tr>
        <w:trPr>
          <w:trHeight w:val="148"/>
        </w:trPr>
        <w:tc>
          <w:tcPr>
            <w:tcW w:w="220" w:type="dxa"/>
            <w:vAlign w:val="bottom"/>
            <w:shd w:val="clear" w:color="auto" w:fill="DEF0EC"/>
          </w:tcPr>
          <w:p>
            <w:pPr>
              <w:spacing w:after="0"/>
              <w:rPr>
                <w:sz w:val="12"/>
                <w:szCs w:val="12"/>
                <w:color w:val="auto"/>
              </w:rPr>
            </w:pPr>
          </w:p>
        </w:tc>
        <w:tc>
          <w:tcPr>
            <w:tcW w:w="840" w:type="dxa"/>
            <w:vAlign w:val="bottom"/>
            <w:shd w:val="clear" w:color="auto" w:fill="DEF0EC"/>
          </w:tcPr>
          <w:p>
            <w:pPr>
              <w:spacing w:after="0" w:line="148" w:lineRule="exact"/>
              <w:rPr>
                <w:sz w:val="20"/>
                <w:szCs w:val="20"/>
                <w:color w:val="auto"/>
              </w:rPr>
            </w:pPr>
            <w:r>
              <w:rPr>
                <w:rFonts w:ascii="Arial" w:cs="Arial" w:eastAsia="Arial" w:hAnsi="Arial"/>
                <w:sz w:val="13"/>
                <w:szCs w:val="13"/>
                <w:color w:val="auto"/>
              </w:rPr>
              <w:t>Martin I.</w:t>
            </w:r>
          </w:p>
        </w:tc>
        <w:tc>
          <w:tcPr>
            <w:tcW w:w="1280" w:type="dxa"/>
            <w:vAlign w:val="bottom"/>
            <w:shd w:val="clear" w:color="auto" w:fill="DEF0EC"/>
          </w:tcPr>
          <w:p>
            <w:pPr>
              <w:ind w:left="340"/>
              <w:spacing w:after="0" w:line="148" w:lineRule="exact"/>
              <w:rPr>
                <w:sz w:val="20"/>
                <w:szCs w:val="20"/>
                <w:color w:val="auto"/>
              </w:rPr>
            </w:pPr>
            <w:r>
              <w:rPr>
                <w:rFonts w:ascii="Arial" w:cs="Arial" w:eastAsia="Arial" w:hAnsi="Arial"/>
                <w:sz w:val="13"/>
                <w:szCs w:val="13"/>
                <w:color w:val="auto"/>
              </w:rPr>
              <w:t>Kathleen A.</w:t>
            </w:r>
          </w:p>
        </w:tc>
        <w:tc>
          <w:tcPr>
            <w:tcW w:w="1200" w:type="dxa"/>
            <w:vAlign w:val="bottom"/>
            <w:vMerge w:val="continue"/>
            <w:shd w:val="clear" w:color="auto" w:fill="DEF0EC"/>
          </w:tcPr>
          <w:p>
            <w:pPr>
              <w:spacing w:after="0"/>
              <w:rPr>
                <w:sz w:val="12"/>
                <w:szCs w:val="12"/>
                <w:color w:val="auto"/>
              </w:rPr>
            </w:pPr>
          </w:p>
        </w:tc>
        <w:tc>
          <w:tcPr>
            <w:tcW w:w="440" w:type="dxa"/>
            <w:vAlign w:val="bottom"/>
            <w:vMerge w:val="restart"/>
          </w:tcPr>
          <w:p>
            <w:pPr>
              <w:ind w:left="300"/>
              <w:spacing w:after="0"/>
              <w:rPr>
                <w:sz w:val="20"/>
                <w:szCs w:val="20"/>
                <w:color w:val="auto"/>
              </w:rPr>
            </w:pPr>
            <w:r>
              <w:rPr>
                <w:rFonts w:ascii="Arial" w:cs="Arial" w:eastAsia="Arial" w:hAnsi="Arial"/>
                <w:sz w:val="13"/>
                <w:szCs w:val="13"/>
                <w:color w:val="61C4AF"/>
              </w:rPr>
              <w:t>●</w:t>
            </w:r>
          </w:p>
        </w:tc>
        <w:tc>
          <w:tcPr>
            <w:tcW w:w="7000" w:type="dxa"/>
            <w:vAlign w:val="bottom"/>
            <w:vMerge w:val="restart"/>
          </w:tcPr>
          <w:p>
            <w:pPr>
              <w:ind w:left="60"/>
              <w:spacing w:after="0"/>
              <w:rPr>
                <w:sz w:val="20"/>
                <w:szCs w:val="20"/>
                <w:color w:val="auto"/>
              </w:rPr>
            </w:pPr>
            <w:r>
              <w:rPr>
                <w:rFonts w:ascii="Arial" w:cs="Arial" w:eastAsia="Arial" w:hAnsi="Arial"/>
                <w:sz w:val="13"/>
                <w:szCs w:val="13"/>
                <w:color w:val="auto"/>
              </w:rPr>
              <w:t>Reviews and approves any compensation recovery (clawback) policy or stock ownership guidelines applicable to</w:t>
            </w:r>
          </w:p>
        </w:tc>
        <w:tc>
          <w:tcPr>
            <w:tcW w:w="0" w:type="dxa"/>
            <w:vAlign w:val="bottom"/>
          </w:tcPr>
          <w:p>
            <w:pPr>
              <w:spacing w:after="0"/>
              <w:rPr>
                <w:sz w:val="1"/>
                <w:szCs w:val="1"/>
                <w:color w:val="auto"/>
              </w:rPr>
            </w:pPr>
          </w:p>
        </w:tc>
      </w:tr>
      <w:tr>
        <w:trPr>
          <w:trHeight w:val="95"/>
        </w:trPr>
        <w:tc>
          <w:tcPr>
            <w:tcW w:w="220" w:type="dxa"/>
            <w:vAlign w:val="bottom"/>
            <w:shd w:val="clear" w:color="auto" w:fill="DEF0EC"/>
          </w:tcPr>
          <w:p>
            <w:pPr>
              <w:spacing w:after="0"/>
              <w:rPr>
                <w:sz w:val="8"/>
                <w:szCs w:val="8"/>
                <w:color w:val="auto"/>
              </w:rPr>
            </w:pPr>
          </w:p>
        </w:tc>
        <w:tc>
          <w:tcPr>
            <w:tcW w:w="840" w:type="dxa"/>
            <w:vAlign w:val="bottom"/>
            <w:vMerge w:val="restart"/>
            <w:shd w:val="clear" w:color="auto" w:fill="DEF0EC"/>
          </w:tcPr>
          <w:p>
            <w:pPr>
              <w:spacing w:after="0" w:line="134" w:lineRule="exact"/>
              <w:rPr>
                <w:sz w:val="20"/>
                <w:szCs w:val="20"/>
                <w:color w:val="auto"/>
              </w:rPr>
            </w:pPr>
            <w:r>
              <w:rPr>
                <w:rFonts w:ascii="Arial" w:cs="Arial" w:eastAsia="Arial" w:hAnsi="Arial"/>
                <w:sz w:val="13"/>
                <w:szCs w:val="13"/>
                <w:color w:val="auto"/>
              </w:rPr>
              <w:t>Cole</w:t>
            </w:r>
          </w:p>
        </w:tc>
        <w:tc>
          <w:tcPr>
            <w:tcW w:w="1280" w:type="dxa"/>
            <w:vAlign w:val="bottom"/>
            <w:vMerge w:val="restart"/>
            <w:shd w:val="clear" w:color="auto" w:fill="DEF0EC"/>
          </w:tcPr>
          <w:p>
            <w:pPr>
              <w:ind w:left="340"/>
              <w:spacing w:after="0" w:line="134" w:lineRule="exact"/>
              <w:rPr>
                <w:sz w:val="20"/>
                <w:szCs w:val="20"/>
                <w:color w:val="auto"/>
              </w:rPr>
            </w:pPr>
            <w:r>
              <w:rPr>
                <w:rFonts w:ascii="Arial" w:cs="Arial" w:eastAsia="Arial" w:hAnsi="Arial"/>
                <w:sz w:val="13"/>
                <w:szCs w:val="13"/>
                <w:color w:val="auto"/>
              </w:rPr>
              <w:t>Cote</w:t>
            </w:r>
          </w:p>
        </w:tc>
        <w:tc>
          <w:tcPr>
            <w:tcW w:w="1200" w:type="dxa"/>
            <w:vAlign w:val="bottom"/>
            <w:shd w:val="clear" w:color="auto" w:fill="DEF0EC"/>
          </w:tcPr>
          <w:p>
            <w:pPr>
              <w:spacing w:after="0"/>
              <w:rPr>
                <w:sz w:val="8"/>
                <w:szCs w:val="8"/>
                <w:color w:val="auto"/>
              </w:rPr>
            </w:pPr>
          </w:p>
        </w:tc>
        <w:tc>
          <w:tcPr>
            <w:tcW w:w="440" w:type="dxa"/>
            <w:vAlign w:val="bottom"/>
            <w:vMerge w:val="continue"/>
          </w:tcPr>
          <w:p>
            <w:pPr>
              <w:spacing w:after="0"/>
              <w:rPr>
                <w:sz w:val="8"/>
                <w:szCs w:val="8"/>
                <w:color w:val="auto"/>
              </w:rPr>
            </w:pPr>
          </w:p>
        </w:tc>
        <w:tc>
          <w:tcPr>
            <w:tcW w:w="7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20" w:type="dxa"/>
            <w:vAlign w:val="bottom"/>
            <w:shd w:val="clear" w:color="auto" w:fill="DEF0EC"/>
          </w:tcPr>
          <w:p>
            <w:pPr>
              <w:spacing w:after="0"/>
              <w:rPr>
                <w:sz w:val="3"/>
                <w:szCs w:val="3"/>
                <w:color w:val="auto"/>
              </w:rPr>
            </w:pPr>
          </w:p>
        </w:tc>
        <w:tc>
          <w:tcPr>
            <w:tcW w:w="840" w:type="dxa"/>
            <w:vAlign w:val="bottom"/>
            <w:vMerge w:val="continue"/>
            <w:shd w:val="clear" w:color="auto" w:fill="DEF0EC"/>
          </w:tcPr>
          <w:p>
            <w:pPr>
              <w:spacing w:after="0"/>
              <w:rPr>
                <w:sz w:val="3"/>
                <w:szCs w:val="3"/>
                <w:color w:val="auto"/>
              </w:rPr>
            </w:pPr>
          </w:p>
        </w:tc>
        <w:tc>
          <w:tcPr>
            <w:tcW w:w="1280" w:type="dxa"/>
            <w:vAlign w:val="bottom"/>
            <w:vMerge w:val="continue"/>
            <w:shd w:val="clear" w:color="auto" w:fill="DEF0EC"/>
          </w:tcPr>
          <w:p>
            <w:pPr>
              <w:spacing w:after="0"/>
              <w:rPr>
                <w:sz w:val="3"/>
                <w:szCs w:val="3"/>
                <w:color w:val="auto"/>
              </w:rPr>
            </w:pPr>
          </w:p>
        </w:tc>
        <w:tc>
          <w:tcPr>
            <w:tcW w:w="1200" w:type="dxa"/>
            <w:vAlign w:val="bottom"/>
            <w:shd w:val="clear" w:color="auto" w:fill="DEF0EC"/>
          </w:tcPr>
          <w:p>
            <w:pPr>
              <w:spacing w:after="0"/>
              <w:rPr>
                <w:sz w:val="3"/>
                <w:szCs w:val="3"/>
                <w:color w:val="auto"/>
              </w:rPr>
            </w:pPr>
          </w:p>
        </w:tc>
        <w:tc>
          <w:tcPr>
            <w:tcW w:w="440" w:type="dxa"/>
            <w:vAlign w:val="bottom"/>
          </w:tcPr>
          <w:p>
            <w:pPr>
              <w:spacing w:after="0"/>
              <w:rPr>
                <w:sz w:val="3"/>
                <w:szCs w:val="3"/>
                <w:color w:val="auto"/>
              </w:rPr>
            </w:pPr>
          </w:p>
        </w:tc>
        <w:tc>
          <w:tcPr>
            <w:tcW w:w="7000" w:type="dxa"/>
            <w:vAlign w:val="bottom"/>
            <w:vMerge w:val="restart"/>
          </w:tcPr>
          <w:p>
            <w:pPr>
              <w:ind w:left="100"/>
              <w:spacing w:after="0"/>
              <w:rPr>
                <w:sz w:val="20"/>
                <w:szCs w:val="20"/>
                <w:color w:val="auto"/>
              </w:rPr>
            </w:pPr>
            <w:r>
              <w:rPr>
                <w:rFonts w:ascii="Arial" w:cs="Arial" w:eastAsia="Arial" w:hAnsi="Arial"/>
                <w:sz w:val="13"/>
                <w:szCs w:val="13"/>
                <w:color w:val="auto"/>
              </w:rPr>
              <w:t>executive officers</w:t>
            </w:r>
          </w:p>
        </w:tc>
        <w:tc>
          <w:tcPr>
            <w:tcW w:w="0" w:type="dxa"/>
            <w:vAlign w:val="bottom"/>
          </w:tcPr>
          <w:p>
            <w:pPr>
              <w:spacing w:after="0" w:line="20" w:lineRule="exact"/>
              <w:rPr>
                <w:sz w:val="1"/>
                <w:szCs w:val="1"/>
                <w:color w:val="auto"/>
              </w:rPr>
            </w:pPr>
          </w:p>
        </w:tc>
      </w:tr>
      <w:tr>
        <w:trPr>
          <w:trHeight w:val="163"/>
        </w:trPr>
        <w:tc>
          <w:tcPr>
            <w:tcW w:w="220" w:type="dxa"/>
            <w:vAlign w:val="bottom"/>
            <w:shd w:val="clear" w:color="auto" w:fill="DEF0EC"/>
          </w:tcPr>
          <w:p>
            <w:pPr>
              <w:spacing w:after="0"/>
              <w:rPr>
                <w:sz w:val="14"/>
                <w:szCs w:val="14"/>
                <w:color w:val="auto"/>
              </w:rPr>
            </w:pPr>
          </w:p>
        </w:tc>
        <w:tc>
          <w:tcPr>
            <w:tcW w:w="840" w:type="dxa"/>
            <w:vAlign w:val="bottom"/>
            <w:shd w:val="clear" w:color="auto" w:fill="DEF0EC"/>
          </w:tcPr>
          <w:p>
            <w:pPr>
              <w:spacing w:after="0"/>
              <w:rPr>
                <w:sz w:val="20"/>
                <w:szCs w:val="20"/>
                <w:color w:val="auto"/>
              </w:rPr>
            </w:pPr>
            <w:r>
              <w:rPr>
                <w:rFonts w:ascii="Arial" w:cs="Arial" w:eastAsia="Arial" w:hAnsi="Arial"/>
                <w:sz w:val="13"/>
                <w:szCs w:val="13"/>
                <w:i w:val="1"/>
                <w:iCs w:val="1"/>
                <w:color w:val="auto"/>
              </w:rPr>
              <w:t>(Chair)</w:t>
            </w:r>
          </w:p>
        </w:tc>
        <w:tc>
          <w:tcPr>
            <w:tcW w:w="1280" w:type="dxa"/>
            <w:vAlign w:val="bottom"/>
            <w:shd w:val="clear" w:color="auto" w:fill="DEF0EC"/>
          </w:tcPr>
          <w:p>
            <w:pPr>
              <w:spacing w:after="0"/>
              <w:rPr>
                <w:sz w:val="14"/>
                <w:szCs w:val="14"/>
                <w:color w:val="auto"/>
              </w:rPr>
            </w:pPr>
          </w:p>
        </w:tc>
        <w:tc>
          <w:tcPr>
            <w:tcW w:w="1200" w:type="dxa"/>
            <w:vAlign w:val="bottom"/>
            <w:shd w:val="clear" w:color="auto" w:fill="DEF0EC"/>
          </w:tcPr>
          <w:p>
            <w:pPr>
              <w:spacing w:after="0"/>
              <w:rPr>
                <w:sz w:val="14"/>
                <w:szCs w:val="14"/>
                <w:color w:val="auto"/>
              </w:rPr>
            </w:pPr>
          </w:p>
        </w:tc>
        <w:tc>
          <w:tcPr>
            <w:tcW w:w="440" w:type="dxa"/>
            <w:vAlign w:val="bottom"/>
          </w:tcPr>
          <w:p>
            <w:pPr>
              <w:spacing w:after="0"/>
              <w:rPr>
                <w:sz w:val="14"/>
                <w:szCs w:val="14"/>
                <w:color w:val="auto"/>
              </w:rPr>
            </w:pPr>
          </w:p>
        </w:tc>
        <w:tc>
          <w:tcPr>
            <w:tcW w:w="7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220"/>
        <w:spacing w:after="0"/>
        <w:rPr>
          <w:sz w:val="20"/>
          <w:szCs w:val="20"/>
          <w:color w:val="auto"/>
        </w:rPr>
      </w:pPr>
      <w:r>
        <w:rPr>
          <w:rFonts w:ascii="Arial" w:cs="Arial" w:eastAsia="Arial" w:hAnsi="Arial"/>
          <w:sz w:val="13"/>
          <w:szCs w:val="13"/>
          <w:color w:val="auto"/>
        </w:rPr>
        <w:t xml:space="preserve">Meetings Held in Fiscal 2020: </w:t>
      </w:r>
      <w:r>
        <w:rPr>
          <w:rFonts w:ascii="Arial" w:cs="Arial" w:eastAsia="Arial" w:hAnsi="Arial"/>
          <w:sz w:val="13"/>
          <w:szCs w:val="13"/>
          <w:b w:val="1"/>
          <w:bCs w:val="1"/>
          <w:color w:val="auto"/>
        </w:rPr>
        <w:t>12</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3"/>
          <w:szCs w:val="13"/>
          <w:color w:val="auto"/>
        </w:rPr>
        <w:t xml:space="preserve">Committee Report page </w:t>
      </w:r>
      <w:r>
        <w:rPr>
          <w:rFonts w:ascii="Arial" w:cs="Arial" w:eastAsia="Arial" w:hAnsi="Arial"/>
          <w:sz w:val="13"/>
          <w:szCs w:val="13"/>
          <w:b w:val="1"/>
          <w:bCs w:val="1"/>
          <w:color w:val="auto"/>
        </w:rPr>
        <w:t>48</w:t>
      </w:r>
    </w:p>
    <w:p>
      <w:pPr>
        <w:spacing w:after="0" w:line="272" w:lineRule="exact"/>
        <w:rPr>
          <w:sz w:val="20"/>
          <w:szCs w:val="20"/>
          <w:color w:val="auto"/>
        </w:rPr>
      </w:pPr>
    </w:p>
    <w:p>
      <w:pPr>
        <w:ind w:left="220" w:right="460"/>
        <w:spacing w:after="0" w:line="258" w:lineRule="auto"/>
        <w:rPr>
          <w:sz w:val="20"/>
          <w:szCs w:val="20"/>
          <w:color w:val="auto"/>
        </w:rPr>
      </w:pPr>
      <w:r>
        <w:rPr>
          <w:rFonts w:ascii="Arial" w:cs="Arial" w:eastAsia="Arial" w:hAnsi="Arial"/>
          <w:sz w:val="13"/>
          <w:szCs w:val="13"/>
          <w:color w:val="auto"/>
        </w:rPr>
        <w:t>Our Board has affirmatively determined that each member of the Compensation and Talent Committee is independent as defined under the listing standards of the Nasdaq Stock Market.</w:t>
      </w:r>
    </w:p>
    <w:p>
      <w:pPr>
        <w:spacing w:after="0" w:line="192" w:lineRule="exact"/>
        <w:rPr>
          <w:sz w:val="20"/>
          <w:szCs w:val="20"/>
          <w:color w:val="auto"/>
        </w:rPr>
      </w:pPr>
    </w:p>
    <w:p>
      <w:pPr>
        <w:ind w:left="220" w:right="40"/>
        <w:spacing w:after="0" w:line="242" w:lineRule="auto"/>
        <w:rPr>
          <w:sz w:val="20"/>
          <w:szCs w:val="20"/>
          <w:color w:val="auto"/>
        </w:rPr>
      </w:pPr>
      <w:r>
        <w:rPr>
          <w:rFonts w:ascii="Arial" w:cs="Arial" w:eastAsia="Arial" w:hAnsi="Arial"/>
          <w:sz w:val="13"/>
          <w:szCs w:val="13"/>
          <w:color w:val="auto"/>
        </w:rPr>
        <w:t>The Compensation and Talent Committee retained Willis Towers Watson as its compensation consultant during fiscal 2020 to provide objective advice and counsel to the Compensation and Talent Committee on all matters related to the compensation of executive officers and directors. Please see the section entitled “Executive Compensation—Compensation Discussion and Analysis—Fiscal 2020 Philosophy, Objectives and Process—Role of the Independent Compensation Consultant” for more information. Certain of our executive officers and other employees also assist the Compensation and Talent Committee in the administration of our executive compensation program, as explained further in the section entitled “Executive Compensation—Compensation Discussion and Analysis—Fiscal 2020 Philosophy, Objectives and Process—Role of Management.” The Compensation and Talent Committee’s processes and procedures for determining non-employee director compensation are described in the section entitled “Director Compensation” below.</w:t>
      </w:r>
    </w:p>
    <w:p>
      <w:pPr>
        <w:spacing w:after="0" w:line="304" w:lineRule="exact"/>
        <w:rPr>
          <w:sz w:val="20"/>
          <w:szCs w:val="20"/>
          <w:color w:val="auto"/>
        </w:rPr>
      </w:pPr>
    </w:p>
    <w:p>
      <w:pPr>
        <w:spacing w:after="0"/>
        <w:rPr>
          <w:sz w:val="20"/>
          <w:szCs w:val="20"/>
          <w:color w:val="auto"/>
        </w:rPr>
      </w:pPr>
      <w:r>
        <w:rPr>
          <w:rFonts w:ascii="Arial" w:cs="Arial" w:eastAsia="Arial" w:hAnsi="Arial"/>
          <w:sz w:val="24"/>
          <w:szCs w:val="24"/>
          <w:b w:val="1"/>
          <w:bCs w:val="1"/>
          <w:color w:val="23628F"/>
        </w:rPr>
        <w:t>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098030" cy="16630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098030" cy="166306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312"/>
        </w:trPr>
        <w:tc>
          <w:tcPr>
            <w:tcW w:w="2320" w:type="dxa"/>
            <w:vAlign w:val="bottom"/>
            <w:gridSpan w:val="2"/>
            <w:shd w:val="clear" w:color="auto" w:fill="D5DEE8"/>
          </w:tcPr>
          <w:p>
            <w:pPr>
              <w:spacing w:after="0"/>
              <w:rPr>
                <w:sz w:val="24"/>
                <w:szCs w:val="24"/>
                <w:color w:val="auto"/>
              </w:rPr>
            </w:pPr>
          </w:p>
        </w:tc>
        <w:tc>
          <w:tcPr>
            <w:tcW w:w="1200" w:type="dxa"/>
            <w:vAlign w:val="bottom"/>
            <w:shd w:val="clear" w:color="auto" w:fill="D5DEE8"/>
          </w:tcPr>
          <w:p>
            <w:pPr>
              <w:spacing w:after="0"/>
              <w:rPr>
                <w:sz w:val="24"/>
                <w:szCs w:val="24"/>
                <w:color w:val="auto"/>
              </w:rPr>
            </w:pPr>
          </w:p>
        </w:tc>
      </w:tr>
      <w:tr>
        <w:trPr>
          <w:trHeight w:val="148"/>
        </w:trPr>
        <w:tc>
          <w:tcPr>
            <w:tcW w:w="2320" w:type="dxa"/>
            <w:vAlign w:val="bottom"/>
            <w:gridSpan w:val="2"/>
          </w:tcPr>
          <w:p>
            <w:pPr>
              <w:ind w:left="220"/>
              <w:spacing w:after="0" w:line="148" w:lineRule="exact"/>
              <w:rPr>
                <w:sz w:val="20"/>
                <w:szCs w:val="20"/>
                <w:color w:val="auto"/>
              </w:rPr>
            </w:pPr>
            <w:r>
              <w:rPr>
                <w:rFonts w:ascii="Arial" w:cs="Arial" w:eastAsia="Arial" w:hAnsi="Arial"/>
                <w:sz w:val="13"/>
                <w:szCs w:val="13"/>
                <w:b w:val="1"/>
                <w:bCs w:val="1"/>
                <w:color w:val="23628F"/>
              </w:rPr>
              <w:t>COMMITTEE MEMBERS</w:t>
            </w:r>
          </w:p>
        </w:tc>
        <w:tc>
          <w:tcPr>
            <w:tcW w:w="1200" w:type="dxa"/>
            <w:vAlign w:val="bottom"/>
          </w:tcPr>
          <w:p>
            <w:pPr>
              <w:spacing w:after="0"/>
              <w:rPr>
                <w:sz w:val="12"/>
                <w:szCs w:val="12"/>
                <w:color w:val="auto"/>
              </w:rPr>
            </w:pPr>
          </w:p>
        </w:tc>
      </w:tr>
      <w:tr>
        <w:trPr>
          <w:trHeight w:val="149"/>
        </w:trPr>
        <w:tc>
          <w:tcPr>
            <w:tcW w:w="1200" w:type="dxa"/>
            <w:vAlign w:val="bottom"/>
          </w:tcPr>
          <w:p>
            <w:pPr>
              <w:ind w:left="220"/>
              <w:spacing w:after="0"/>
              <w:rPr>
                <w:sz w:val="20"/>
                <w:szCs w:val="20"/>
                <w:color w:val="auto"/>
              </w:rPr>
            </w:pPr>
            <w:r>
              <w:rPr>
                <w:rFonts w:ascii="Arial" w:cs="Arial" w:eastAsia="Arial" w:hAnsi="Arial"/>
                <w:sz w:val="13"/>
                <w:szCs w:val="13"/>
                <w:color w:val="auto"/>
              </w:rPr>
              <w:t>Stephanie A.</w:t>
            </w:r>
          </w:p>
        </w:tc>
        <w:tc>
          <w:tcPr>
            <w:tcW w:w="1120" w:type="dxa"/>
            <w:vAlign w:val="bottom"/>
          </w:tcPr>
          <w:p>
            <w:pPr>
              <w:ind w:left="180"/>
              <w:spacing w:after="0"/>
              <w:rPr>
                <w:sz w:val="20"/>
                <w:szCs w:val="20"/>
                <w:color w:val="auto"/>
              </w:rPr>
            </w:pPr>
            <w:r>
              <w:rPr>
                <w:rFonts w:ascii="Arial" w:cs="Arial" w:eastAsia="Arial" w:hAnsi="Arial"/>
                <w:sz w:val="13"/>
                <w:szCs w:val="13"/>
                <w:color w:val="auto"/>
              </w:rPr>
              <w:t>Kimberly E.</w:t>
            </w:r>
          </w:p>
        </w:tc>
        <w:tc>
          <w:tcPr>
            <w:tcW w:w="1200" w:type="dxa"/>
            <w:vAlign w:val="bottom"/>
          </w:tcPr>
          <w:p>
            <w:pPr>
              <w:ind w:left="240"/>
              <w:spacing w:after="0"/>
              <w:rPr>
                <w:sz w:val="20"/>
                <w:szCs w:val="20"/>
                <w:color w:val="auto"/>
              </w:rPr>
            </w:pPr>
            <w:r>
              <w:rPr>
                <w:rFonts w:ascii="Arial" w:cs="Arial" w:eastAsia="Arial" w:hAnsi="Arial"/>
                <w:sz w:val="13"/>
                <w:szCs w:val="13"/>
                <w:color w:val="auto"/>
              </w:rPr>
              <w:t>Kathleen A.</w:t>
            </w:r>
          </w:p>
        </w:tc>
      </w:tr>
      <w:tr>
        <w:trPr>
          <w:trHeight w:val="134"/>
        </w:trPr>
        <w:tc>
          <w:tcPr>
            <w:tcW w:w="1200" w:type="dxa"/>
            <w:vAlign w:val="bottom"/>
          </w:tcPr>
          <w:p>
            <w:pPr>
              <w:ind w:left="220"/>
              <w:spacing w:after="0" w:line="134" w:lineRule="exact"/>
              <w:rPr>
                <w:sz w:val="20"/>
                <w:szCs w:val="20"/>
                <w:color w:val="auto"/>
              </w:rPr>
            </w:pPr>
            <w:r>
              <w:rPr>
                <w:rFonts w:ascii="Arial" w:cs="Arial" w:eastAsia="Arial" w:hAnsi="Arial"/>
                <w:sz w:val="13"/>
                <w:szCs w:val="13"/>
                <w:color w:val="auto"/>
              </w:rPr>
              <w:t>Streeter</w:t>
            </w:r>
          </w:p>
        </w:tc>
        <w:tc>
          <w:tcPr>
            <w:tcW w:w="1120" w:type="dxa"/>
            <w:vAlign w:val="bottom"/>
          </w:tcPr>
          <w:p>
            <w:pPr>
              <w:ind w:left="180"/>
              <w:spacing w:after="0" w:line="134" w:lineRule="exact"/>
              <w:rPr>
                <w:sz w:val="20"/>
                <w:szCs w:val="20"/>
                <w:color w:val="auto"/>
              </w:rPr>
            </w:pPr>
            <w:r>
              <w:rPr>
                <w:rFonts w:ascii="Arial" w:cs="Arial" w:eastAsia="Arial" w:hAnsi="Arial"/>
                <w:sz w:val="13"/>
                <w:szCs w:val="13"/>
                <w:color w:val="auto"/>
              </w:rPr>
              <w:t>Alexy</w:t>
            </w:r>
          </w:p>
        </w:tc>
        <w:tc>
          <w:tcPr>
            <w:tcW w:w="1200" w:type="dxa"/>
            <w:vAlign w:val="bottom"/>
          </w:tcPr>
          <w:p>
            <w:pPr>
              <w:ind w:left="240"/>
              <w:spacing w:after="0" w:line="134" w:lineRule="exact"/>
              <w:rPr>
                <w:sz w:val="20"/>
                <w:szCs w:val="20"/>
                <w:color w:val="auto"/>
              </w:rPr>
            </w:pPr>
            <w:r>
              <w:rPr>
                <w:rFonts w:ascii="Arial" w:cs="Arial" w:eastAsia="Arial" w:hAnsi="Arial"/>
                <w:sz w:val="13"/>
                <w:szCs w:val="13"/>
                <w:color w:val="auto"/>
              </w:rPr>
              <w:t>Cote</w:t>
            </w:r>
          </w:p>
        </w:tc>
      </w:tr>
      <w:tr>
        <w:trPr>
          <w:trHeight w:val="176"/>
        </w:trPr>
        <w:tc>
          <w:tcPr>
            <w:tcW w:w="1200" w:type="dxa"/>
            <w:vAlign w:val="bottom"/>
          </w:tcPr>
          <w:p>
            <w:pPr>
              <w:ind w:left="220"/>
              <w:spacing w:after="0"/>
              <w:rPr>
                <w:sz w:val="20"/>
                <w:szCs w:val="20"/>
                <w:color w:val="auto"/>
              </w:rPr>
            </w:pPr>
            <w:r>
              <w:rPr>
                <w:rFonts w:ascii="Arial" w:cs="Arial" w:eastAsia="Arial" w:hAnsi="Arial"/>
                <w:sz w:val="13"/>
                <w:szCs w:val="13"/>
                <w:i w:val="1"/>
                <w:iCs w:val="1"/>
                <w:color w:val="auto"/>
              </w:rPr>
              <w:t>(Chair)</w:t>
            </w:r>
          </w:p>
        </w:tc>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-1156335</wp:posOffset>
            </wp:positionV>
            <wp:extent cx="2091690" cy="15862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091690" cy="1586230"/>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-1156335</wp:posOffset>
            </wp:positionV>
            <wp:extent cx="2091690" cy="15862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091690" cy="158623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3"/>
          <w:szCs w:val="13"/>
          <w:color w:val="auto"/>
        </w:rPr>
        <w:t xml:space="preserve">Meetings Held in Fiscal 2020: </w:t>
      </w:r>
      <w:r>
        <w:rPr>
          <w:rFonts w:ascii="Arial" w:cs="Arial" w:eastAsia="Arial" w:hAnsi="Arial"/>
          <w:sz w:val="13"/>
          <w:szCs w:val="13"/>
          <w:b w:val="1"/>
          <w:bCs w:val="1"/>
          <w:color w:val="auto"/>
        </w:rPr>
        <w:t>9</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23628F"/>
        </w:rPr>
        <w:t>KEY RESPONSIBILITIES</w:t>
      </w:r>
    </w:p>
    <w:p>
      <w:pPr>
        <w:spacing w:after="0" w:line="15" w:lineRule="exact"/>
        <w:rPr>
          <w:sz w:val="20"/>
          <w:szCs w:val="20"/>
          <w:color w:val="auto"/>
        </w:rPr>
      </w:pPr>
    </w:p>
    <w:p>
      <w:pPr>
        <w:ind w:left="260" w:hanging="216"/>
        <w:spacing w:after="0"/>
        <w:tabs>
          <w:tab w:leader="none" w:pos="260" w:val="left"/>
        </w:tabs>
        <w:numPr>
          <w:ilvl w:val="0"/>
          <w:numId w:val="111"/>
        </w:numPr>
        <w:rPr>
          <w:rFonts w:ascii="Arial" w:cs="Arial" w:eastAsia="Arial" w:hAnsi="Arial"/>
          <w:sz w:val="13"/>
          <w:szCs w:val="13"/>
          <w:color w:val="23628F"/>
        </w:rPr>
      </w:pPr>
      <w:r>
        <w:rPr>
          <w:rFonts w:ascii="Arial" w:cs="Arial" w:eastAsia="Arial" w:hAnsi="Arial"/>
          <w:sz w:val="13"/>
          <w:szCs w:val="13"/>
          <w:color w:val="auto"/>
        </w:rPr>
        <w:t>Develops and recommends a set of corporate governance principles</w:t>
      </w:r>
    </w:p>
    <w:p>
      <w:pPr>
        <w:spacing w:after="0" w:line="66" w:lineRule="exact"/>
        <w:rPr>
          <w:rFonts w:ascii="Arial" w:cs="Arial" w:eastAsia="Arial" w:hAnsi="Arial"/>
          <w:sz w:val="13"/>
          <w:szCs w:val="13"/>
          <w:color w:val="23628F"/>
        </w:rPr>
      </w:pPr>
    </w:p>
    <w:p>
      <w:pPr>
        <w:ind w:left="260" w:hanging="216"/>
        <w:spacing w:after="0"/>
        <w:tabs>
          <w:tab w:leader="none" w:pos="260" w:val="left"/>
        </w:tabs>
        <w:numPr>
          <w:ilvl w:val="0"/>
          <w:numId w:val="111"/>
        </w:numPr>
        <w:rPr>
          <w:rFonts w:ascii="Arial" w:cs="Arial" w:eastAsia="Arial" w:hAnsi="Arial"/>
          <w:sz w:val="13"/>
          <w:szCs w:val="13"/>
          <w:color w:val="23628F"/>
        </w:rPr>
      </w:pPr>
      <w:r>
        <w:rPr>
          <w:rFonts w:ascii="Arial" w:cs="Arial" w:eastAsia="Arial" w:hAnsi="Arial"/>
          <w:sz w:val="13"/>
          <w:szCs w:val="13"/>
          <w:color w:val="auto"/>
        </w:rPr>
        <w:t>Evaluates and recommends the size and composition of our Board and committees and functions of committees</w:t>
      </w:r>
    </w:p>
    <w:p>
      <w:pPr>
        <w:spacing w:after="0" w:line="80" w:lineRule="exact"/>
        <w:rPr>
          <w:rFonts w:ascii="Arial" w:cs="Arial" w:eastAsia="Arial" w:hAnsi="Arial"/>
          <w:sz w:val="13"/>
          <w:szCs w:val="13"/>
          <w:color w:val="23628F"/>
        </w:rPr>
      </w:pPr>
    </w:p>
    <w:p>
      <w:pPr>
        <w:ind w:left="260" w:hanging="216"/>
        <w:spacing w:after="0"/>
        <w:tabs>
          <w:tab w:leader="none" w:pos="260" w:val="left"/>
        </w:tabs>
        <w:numPr>
          <w:ilvl w:val="0"/>
          <w:numId w:val="111"/>
        </w:numPr>
        <w:rPr>
          <w:rFonts w:ascii="Arial" w:cs="Arial" w:eastAsia="Arial" w:hAnsi="Arial"/>
          <w:sz w:val="13"/>
          <w:szCs w:val="13"/>
          <w:color w:val="23628F"/>
        </w:rPr>
      </w:pPr>
      <w:r>
        <w:rPr>
          <w:rFonts w:ascii="Arial" w:cs="Arial" w:eastAsia="Arial" w:hAnsi="Arial"/>
          <w:sz w:val="13"/>
          <w:szCs w:val="13"/>
          <w:color w:val="auto"/>
        </w:rPr>
        <w:t>Develops and recommends Board membership criteria</w:t>
      </w:r>
    </w:p>
    <w:p>
      <w:pPr>
        <w:spacing w:after="0" w:line="66" w:lineRule="exact"/>
        <w:rPr>
          <w:rFonts w:ascii="Arial" w:cs="Arial" w:eastAsia="Arial" w:hAnsi="Arial"/>
          <w:sz w:val="13"/>
          <w:szCs w:val="13"/>
          <w:color w:val="23628F"/>
        </w:rPr>
      </w:pPr>
    </w:p>
    <w:p>
      <w:pPr>
        <w:ind w:left="260" w:hanging="216"/>
        <w:spacing w:after="0"/>
        <w:tabs>
          <w:tab w:leader="none" w:pos="260" w:val="left"/>
        </w:tabs>
        <w:numPr>
          <w:ilvl w:val="0"/>
          <w:numId w:val="111"/>
        </w:numPr>
        <w:rPr>
          <w:rFonts w:ascii="Arial" w:cs="Arial" w:eastAsia="Arial" w:hAnsi="Arial"/>
          <w:sz w:val="13"/>
          <w:szCs w:val="13"/>
          <w:color w:val="23628F"/>
        </w:rPr>
      </w:pPr>
      <w:r>
        <w:rPr>
          <w:rFonts w:ascii="Arial" w:cs="Arial" w:eastAsia="Arial" w:hAnsi="Arial"/>
          <w:sz w:val="13"/>
          <w:szCs w:val="13"/>
          <w:color w:val="auto"/>
        </w:rPr>
        <w:t>Identifies, evaluates and recommends director candidates</w:t>
      </w:r>
    </w:p>
    <w:p>
      <w:pPr>
        <w:spacing w:after="0" w:line="66" w:lineRule="exact"/>
        <w:rPr>
          <w:rFonts w:ascii="Arial" w:cs="Arial" w:eastAsia="Arial" w:hAnsi="Arial"/>
          <w:sz w:val="13"/>
          <w:szCs w:val="13"/>
          <w:color w:val="23628F"/>
        </w:rPr>
      </w:pPr>
    </w:p>
    <w:p>
      <w:pPr>
        <w:ind w:left="260" w:hanging="216"/>
        <w:spacing w:after="0"/>
        <w:tabs>
          <w:tab w:leader="none" w:pos="260" w:val="left"/>
        </w:tabs>
        <w:numPr>
          <w:ilvl w:val="0"/>
          <w:numId w:val="111"/>
        </w:numPr>
        <w:rPr>
          <w:rFonts w:ascii="Arial" w:cs="Arial" w:eastAsia="Arial" w:hAnsi="Arial"/>
          <w:sz w:val="13"/>
          <w:szCs w:val="13"/>
          <w:color w:val="23628F"/>
        </w:rPr>
      </w:pPr>
      <w:r>
        <w:rPr>
          <w:rFonts w:ascii="Arial" w:cs="Arial" w:eastAsia="Arial" w:hAnsi="Arial"/>
          <w:sz w:val="13"/>
          <w:szCs w:val="13"/>
          <w:color w:val="auto"/>
        </w:rPr>
        <w:t>Reviews corporate governance issues and practices</w:t>
      </w:r>
    </w:p>
    <w:p>
      <w:pPr>
        <w:spacing w:after="0" w:line="80" w:lineRule="exact"/>
        <w:rPr>
          <w:rFonts w:ascii="Arial" w:cs="Arial" w:eastAsia="Arial" w:hAnsi="Arial"/>
          <w:sz w:val="13"/>
          <w:szCs w:val="13"/>
          <w:color w:val="23628F"/>
        </w:rPr>
      </w:pPr>
    </w:p>
    <w:p>
      <w:pPr>
        <w:ind w:left="260" w:hanging="216"/>
        <w:spacing w:after="0"/>
        <w:tabs>
          <w:tab w:leader="none" w:pos="260" w:val="left"/>
        </w:tabs>
        <w:numPr>
          <w:ilvl w:val="0"/>
          <w:numId w:val="111"/>
        </w:numPr>
        <w:rPr>
          <w:rFonts w:ascii="Arial" w:cs="Arial" w:eastAsia="Arial" w:hAnsi="Arial"/>
          <w:sz w:val="13"/>
          <w:szCs w:val="13"/>
          <w:color w:val="23628F"/>
        </w:rPr>
      </w:pPr>
      <w:r>
        <w:rPr>
          <w:rFonts w:ascii="Arial" w:cs="Arial" w:eastAsia="Arial" w:hAnsi="Arial"/>
          <w:sz w:val="13"/>
          <w:szCs w:val="13"/>
          <w:color w:val="auto"/>
        </w:rPr>
        <w:t>Manages annual Board and committee evaluation process</w:t>
      </w:r>
    </w:p>
    <w:p>
      <w:pPr>
        <w:spacing w:after="0" w:line="66" w:lineRule="exact"/>
        <w:rPr>
          <w:rFonts w:ascii="Arial" w:cs="Arial" w:eastAsia="Arial" w:hAnsi="Arial"/>
          <w:sz w:val="13"/>
          <w:szCs w:val="13"/>
          <w:color w:val="23628F"/>
        </w:rPr>
      </w:pPr>
    </w:p>
    <w:p>
      <w:pPr>
        <w:ind w:left="260" w:hanging="216"/>
        <w:spacing w:after="0"/>
        <w:tabs>
          <w:tab w:leader="none" w:pos="260" w:val="left"/>
        </w:tabs>
        <w:numPr>
          <w:ilvl w:val="0"/>
          <w:numId w:val="111"/>
        </w:numPr>
        <w:rPr>
          <w:rFonts w:ascii="Arial" w:cs="Arial" w:eastAsia="Arial" w:hAnsi="Arial"/>
          <w:sz w:val="13"/>
          <w:szCs w:val="13"/>
          <w:color w:val="23628F"/>
        </w:rPr>
      </w:pPr>
      <w:r>
        <w:rPr>
          <w:rFonts w:ascii="Arial" w:cs="Arial" w:eastAsia="Arial" w:hAnsi="Arial"/>
          <w:sz w:val="13"/>
          <w:szCs w:val="13"/>
          <w:color w:val="auto"/>
        </w:rPr>
        <w:t>Oversees evaluation of our Chief Executive Officer by our Board and the Compensation and Talent Committee</w:t>
      </w:r>
    </w:p>
    <w:p>
      <w:pPr>
        <w:spacing w:after="0" w:line="66" w:lineRule="exact"/>
        <w:rPr>
          <w:rFonts w:ascii="Arial" w:cs="Arial" w:eastAsia="Arial" w:hAnsi="Arial"/>
          <w:sz w:val="13"/>
          <w:szCs w:val="13"/>
          <w:color w:val="23628F"/>
        </w:rPr>
      </w:pPr>
    </w:p>
    <w:p>
      <w:pPr>
        <w:ind w:left="260" w:hanging="216"/>
        <w:spacing w:after="0"/>
        <w:tabs>
          <w:tab w:leader="none" w:pos="260" w:val="left"/>
        </w:tabs>
        <w:numPr>
          <w:ilvl w:val="0"/>
          <w:numId w:val="111"/>
        </w:numPr>
        <w:rPr>
          <w:rFonts w:ascii="Arial" w:cs="Arial" w:eastAsia="Arial" w:hAnsi="Arial"/>
          <w:sz w:val="13"/>
          <w:szCs w:val="13"/>
          <w:color w:val="23628F"/>
        </w:rPr>
      </w:pPr>
      <w:r>
        <w:rPr>
          <w:rFonts w:ascii="Arial" w:cs="Arial" w:eastAsia="Arial" w:hAnsi="Arial"/>
          <w:sz w:val="13"/>
          <w:szCs w:val="13"/>
          <w:color w:val="auto"/>
        </w:rPr>
        <w:t>Develops and oversees our Chief Executive Officer succession planning process</w:t>
      </w:r>
    </w:p>
    <w:p>
      <w:pPr>
        <w:spacing w:after="0" w:line="80" w:lineRule="exact"/>
        <w:rPr>
          <w:rFonts w:ascii="Arial" w:cs="Arial" w:eastAsia="Arial" w:hAnsi="Arial"/>
          <w:sz w:val="13"/>
          <w:szCs w:val="13"/>
          <w:color w:val="23628F"/>
        </w:rPr>
      </w:pPr>
    </w:p>
    <w:p>
      <w:pPr>
        <w:ind w:left="260" w:hanging="216"/>
        <w:spacing w:after="0"/>
        <w:tabs>
          <w:tab w:leader="none" w:pos="260" w:val="left"/>
        </w:tabs>
        <w:numPr>
          <w:ilvl w:val="0"/>
          <w:numId w:val="111"/>
        </w:numPr>
        <w:rPr>
          <w:rFonts w:ascii="Arial" w:cs="Arial" w:eastAsia="Arial" w:hAnsi="Arial"/>
          <w:sz w:val="13"/>
          <w:szCs w:val="13"/>
          <w:color w:val="23628F"/>
        </w:rPr>
      </w:pPr>
      <w:r>
        <w:rPr>
          <w:rFonts w:ascii="Arial" w:cs="Arial" w:eastAsia="Arial" w:hAnsi="Arial"/>
          <w:sz w:val="13"/>
          <w:szCs w:val="13"/>
          <w:color w:val="auto"/>
        </w:rPr>
        <w:t>Assists our Board in overseeing corporate responsibility and sustainability policies and programs</w:t>
      </w:r>
    </w:p>
    <w:p>
      <w:pPr>
        <w:spacing w:after="0" w:line="66" w:lineRule="exact"/>
        <w:rPr>
          <w:rFonts w:ascii="Arial" w:cs="Arial" w:eastAsia="Arial" w:hAnsi="Arial"/>
          <w:sz w:val="13"/>
          <w:szCs w:val="13"/>
          <w:color w:val="23628F"/>
        </w:rPr>
      </w:pPr>
    </w:p>
    <w:p>
      <w:pPr>
        <w:ind w:left="280" w:right="600" w:hanging="236"/>
        <w:spacing w:after="0" w:line="258" w:lineRule="auto"/>
        <w:tabs>
          <w:tab w:leader="none" w:pos="257" w:val="left"/>
        </w:tabs>
        <w:numPr>
          <w:ilvl w:val="0"/>
          <w:numId w:val="111"/>
        </w:numPr>
        <w:rPr>
          <w:rFonts w:ascii="Arial" w:cs="Arial" w:eastAsia="Arial" w:hAnsi="Arial"/>
          <w:sz w:val="13"/>
          <w:szCs w:val="13"/>
          <w:color w:val="23628F"/>
        </w:rPr>
      </w:pPr>
      <w:r>
        <w:rPr>
          <w:rFonts w:ascii="Arial" w:cs="Arial" w:eastAsia="Arial" w:hAnsi="Arial"/>
          <w:sz w:val="13"/>
          <w:szCs w:val="13"/>
          <w:color w:val="auto"/>
        </w:rPr>
        <w:t>Reviews and oversees responses regarding stockholder proposals relating to corporate governance, corporate responsibility or sustainability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-382905</wp:posOffset>
            </wp:positionV>
            <wp:extent cx="34290" cy="4114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290" cy="4114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20" w:space="260"/>
            <w:col w:w="7460"/>
          </w:cols>
          <w:pgMar w:left="320" w:top="121" w:right="339" w:bottom="1440" w:gutter="0" w:footer="0" w:header="0"/>
          <w:type w:val="continuous"/>
        </w:sectPr>
      </w:pPr>
    </w:p>
    <w:p>
      <w:pPr>
        <w:spacing w:after="0" w:line="41" w:lineRule="exact"/>
        <w:rPr>
          <w:sz w:val="20"/>
          <w:szCs w:val="20"/>
          <w:color w:val="auto"/>
        </w:rPr>
      </w:pPr>
    </w:p>
    <w:p>
      <w:pPr>
        <w:ind w:left="9160"/>
        <w:spacing w:after="0"/>
        <w:tabs>
          <w:tab w:leader="none" w:pos="11020" w:val="left"/>
        </w:tabs>
        <w:rPr>
          <w:sz w:val="20"/>
          <w:szCs w:val="20"/>
          <w:color w:val="auto"/>
        </w:rPr>
      </w:pPr>
      <w:r>
        <w:rPr>
          <w:rFonts w:ascii="Arial" w:cs="Arial" w:eastAsia="Arial" w:hAnsi="Arial"/>
          <w:sz w:val="13"/>
          <w:szCs w:val="13"/>
          <w:color w:val="23628F"/>
        </w:rPr>
        <w:t>2020 PROXY STATEMENT</w:t>
      </w:r>
      <w:r>
        <w:rPr>
          <w:sz w:val="20"/>
          <w:szCs w:val="20"/>
          <w:color w:val="auto"/>
        </w:rPr>
        <w:tab/>
      </w:r>
      <w:r>
        <w:rPr>
          <w:rFonts w:ascii="Arial" w:cs="Arial" w:eastAsia="Arial" w:hAnsi="Arial"/>
          <w:sz w:val="16"/>
          <w:szCs w:val="16"/>
          <w:b w:val="1"/>
          <w:bCs w:val="1"/>
          <w:color w:val="23628F"/>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153275"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23628F"/>
        </w:rPr>
        <w:t>CORPORATE GOVERNANCE MATTERS</w:t>
      </w:r>
    </w:p>
    <w:p>
      <w:pPr>
        <w:spacing w:after="0" w:line="182" w:lineRule="exact"/>
        <w:rPr>
          <w:sz w:val="20"/>
          <w:szCs w:val="20"/>
          <w:color w:val="auto"/>
        </w:rPr>
      </w:pPr>
    </w:p>
    <w:p>
      <w:pPr>
        <w:spacing w:after="0"/>
        <w:rPr>
          <w:sz w:val="20"/>
          <w:szCs w:val="20"/>
          <w:color w:val="auto"/>
        </w:rPr>
      </w:pPr>
      <w:r>
        <w:rPr>
          <w:rFonts w:ascii="Arial" w:cs="Arial" w:eastAsia="Arial" w:hAnsi="Arial"/>
          <w:sz w:val="24"/>
          <w:szCs w:val="24"/>
          <w:b w:val="1"/>
          <w:bCs w:val="1"/>
          <w:color w:val="616161"/>
        </w:rPr>
        <w:t>EXECUTIVE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459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645920"/>
                    </a:xfrm>
                    <a:prstGeom prst="rect">
                      <a:avLst/>
                    </a:prstGeom>
                    <a:noFill/>
                  </pic:spPr>
                </pic:pic>
              </a:graphicData>
            </a:graphic>
          </wp:anchor>
        </w:drawing>
      </w:r>
    </w:p>
    <w:p>
      <w:pPr>
        <w:spacing w:after="0" w:line="126" w:lineRule="exact"/>
        <w:rPr>
          <w:sz w:val="20"/>
          <w:szCs w:val="20"/>
          <w:color w:val="auto"/>
        </w:rPr>
      </w:pPr>
    </w:p>
    <w:p>
      <w:pPr>
        <w:ind w:left="3800"/>
        <w:spacing w:after="0"/>
        <w:rPr>
          <w:sz w:val="20"/>
          <w:szCs w:val="20"/>
          <w:color w:val="auto"/>
        </w:rPr>
      </w:pPr>
      <w:r>
        <w:rPr>
          <w:rFonts w:ascii="Arial" w:cs="Arial" w:eastAsia="Arial" w:hAnsi="Arial"/>
          <w:sz w:val="13"/>
          <w:szCs w:val="13"/>
          <w:b w:val="1"/>
          <w:bCs w:val="1"/>
          <w:color w:val="616161"/>
        </w:rPr>
        <w:t>KEY RESPONSIBILITIES</w:t>
      </w:r>
    </w:p>
    <w:p>
      <w:pPr>
        <w:spacing w:after="0" w:line="15" w:lineRule="exact"/>
        <w:rPr>
          <w:sz w:val="20"/>
          <w:szCs w:val="20"/>
          <w:color w:val="auto"/>
        </w:rPr>
      </w:pPr>
    </w:p>
    <w:p>
      <w:pPr>
        <w:ind w:left="4080" w:right="200" w:hanging="242"/>
        <w:spacing w:after="0" w:line="248" w:lineRule="auto"/>
        <w:tabs>
          <w:tab w:leader="none" w:pos="4057" w:val="left"/>
        </w:tabs>
        <w:numPr>
          <w:ilvl w:val="0"/>
          <w:numId w:val="112"/>
        </w:numPr>
        <w:rPr>
          <w:rFonts w:ascii="Arial" w:cs="Arial" w:eastAsia="Arial" w:hAnsi="Arial"/>
          <w:sz w:val="13"/>
          <w:szCs w:val="13"/>
          <w:color w:val="A2ACB3"/>
        </w:rPr>
      </w:pPr>
      <w:r>
        <w:rPr>
          <w:rFonts w:ascii="Arial" w:cs="Arial" w:eastAsia="Arial" w:hAnsi="Arial"/>
          <w:sz w:val="13"/>
          <w:szCs w:val="13"/>
          <w:color w:val="auto"/>
        </w:rPr>
        <w:t>Has powers of our Board in management of our business affairs in between meetings of our Board, subject to applicable law or the rules and regulations of the SEC or the Nasdaq Stock Market and specific directions given by our Board</w:t>
      </w:r>
    </w:p>
    <w:p>
      <w:pPr>
        <w:spacing w:after="0" w:line="200" w:lineRule="exact"/>
        <w:rPr>
          <w:sz w:val="20"/>
          <w:szCs w:val="20"/>
          <w:color w:val="auto"/>
        </w:rPr>
      </w:pPr>
    </w:p>
    <w:p>
      <w:pPr>
        <w:spacing w:after="0" w:line="323" w:lineRule="exact"/>
        <w:rPr>
          <w:sz w:val="20"/>
          <w:szCs w:val="20"/>
          <w:color w:val="auto"/>
        </w:rPr>
      </w:pPr>
    </w:p>
    <w:tbl>
      <w:tblPr>
        <w:tblLayout w:type="fixed"/>
        <w:tblInd w:w="220" w:type="dxa"/>
        <w:tblCellMar>
          <w:top w:w="0" w:type="dxa"/>
          <w:left w:w="0" w:type="dxa"/>
          <w:bottom w:w="0" w:type="dxa"/>
          <w:right w:w="0" w:type="dxa"/>
        </w:tblCellMar>
      </w:tblPr>
      <w:tr>
        <w:trPr>
          <w:trHeight w:val="391"/>
        </w:trPr>
        <w:tc>
          <w:tcPr>
            <w:tcW w:w="2120" w:type="dxa"/>
            <w:vAlign w:val="bottom"/>
            <w:gridSpan w:val="2"/>
            <w:shd w:val="clear" w:color="auto" w:fill="EBEDEF"/>
          </w:tcPr>
          <w:p>
            <w:pPr>
              <w:spacing w:after="0"/>
              <w:rPr>
                <w:sz w:val="20"/>
                <w:szCs w:val="20"/>
                <w:color w:val="auto"/>
              </w:rPr>
            </w:pPr>
            <w:r>
              <w:rPr>
                <w:rFonts w:ascii="Arial" w:cs="Arial" w:eastAsia="Arial" w:hAnsi="Arial"/>
                <w:sz w:val="13"/>
                <w:szCs w:val="13"/>
                <w:b w:val="1"/>
                <w:bCs w:val="1"/>
                <w:color w:val="616161"/>
              </w:rPr>
              <w:t>COMMITTEE MEMBERS</w:t>
            </w:r>
          </w:p>
        </w:tc>
        <w:tc>
          <w:tcPr>
            <w:tcW w:w="1200" w:type="dxa"/>
            <w:vAlign w:val="bottom"/>
            <w:shd w:val="clear" w:color="auto" w:fill="EBEDEF"/>
          </w:tcPr>
          <w:p>
            <w:pPr>
              <w:spacing w:after="0"/>
              <w:rPr>
                <w:sz w:val="24"/>
                <w:szCs w:val="24"/>
                <w:color w:val="auto"/>
              </w:rPr>
            </w:pPr>
          </w:p>
        </w:tc>
      </w:tr>
      <w:tr>
        <w:trPr>
          <w:trHeight w:val="149"/>
        </w:trPr>
        <w:tc>
          <w:tcPr>
            <w:tcW w:w="900" w:type="dxa"/>
            <w:vAlign w:val="bottom"/>
            <w:shd w:val="clear" w:color="auto" w:fill="EBEDEF"/>
          </w:tcPr>
          <w:p>
            <w:pPr>
              <w:spacing w:after="0"/>
              <w:rPr>
                <w:sz w:val="20"/>
                <w:szCs w:val="20"/>
                <w:color w:val="auto"/>
              </w:rPr>
            </w:pPr>
            <w:r>
              <w:rPr>
                <w:rFonts w:ascii="Arial" w:cs="Arial" w:eastAsia="Arial" w:hAnsi="Arial"/>
                <w:sz w:val="13"/>
                <w:szCs w:val="13"/>
                <w:color w:val="auto"/>
              </w:rPr>
              <w:t>David V.</w:t>
            </w:r>
          </w:p>
        </w:tc>
        <w:tc>
          <w:tcPr>
            <w:tcW w:w="1220" w:type="dxa"/>
            <w:vAlign w:val="bottom"/>
            <w:shd w:val="clear" w:color="auto" w:fill="EBEDEF"/>
          </w:tcPr>
          <w:p>
            <w:pPr>
              <w:ind w:left="280"/>
              <w:spacing w:after="0"/>
              <w:rPr>
                <w:sz w:val="20"/>
                <w:szCs w:val="20"/>
                <w:color w:val="auto"/>
              </w:rPr>
            </w:pPr>
            <w:r>
              <w:rPr>
                <w:rFonts w:ascii="Arial" w:cs="Arial" w:eastAsia="Arial" w:hAnsi="Arial"/>
                <w:sz w:val="13"/>
                <w:szCs w:val="13"/>
                <w:color w:val="auto"/>
              </w:rPr>
              <w:t>Kimberly E.</w:t>
            </w:r>
          </w:p>
        </w:tc>
        <w:tc>
          <w:tcPr>
            <w:tcW w:w="1200" w:type="dxa"/>
            <w:vAlign w:val="bottom"/>
            <w:shd w:val="clear" w:color="auto" w:fill="EBEDEF"/>
          </w:tcPr>
          <w:p>
            <w:pPr>
              <w:ind w:left="240"/>
              <w:spacing w:after="0"/>
              <w:rPr>
                <w:sz w:val="20"/>
                <w:szCs w:val="20"/>
                <w:color w:val="auto"/>
              </w:rPr>
            </w:pPr>
            <w:r>
              <w:rPr>
                <w:rFonts w:ascii="Arial" w:cs="Arial" w:eastAsia="Arial" w:hAnsi="Arial"/>
                <w:sz w:val="13"/>
                <w:szCs w:val="13"/>
                <w:color w:val="auto"/>
              </w:rPr>
              <w:t>Matthew E.</w:t>
            </w:r>
          </w:p>
        </w:tc>
      </w:tr>
      <w:tr>
        <w:trPr>
          <w:trHeight w:val="134"/>
        </w:trPr>
        <w:tc>
          <w:tcPr>
            <w:tcW w:w="900" w:type="dxa"/>
            <w:vAlign w:val="bottom"/>
            <w:shd w:val="clear" w:color="auto" w:fill="EBEDEF"/>
          </w:tcPr>
          <w:p>
            <w:pPr>
              <w:spacing w:after="0" w:line="134" w:lineRule="exact"/>
              <w:rPr>
                <w:sz w:val="20"/>
                <w:szCs w:val="20"/>
                <w:color w:val="auto"/>
              </w:rPr>
            </w:pPr>
            <w:r>
              <w:rPr>
                <w:rFonts w:ascii="Arial" w:cs="Arial" w:eastAsia="Arial" w:hAnsi="Arial"/>
                <w:sz w:val="13"/>
                <w:szCs w:val="13"/>
                <w:color w:val="auto"/>
              </w:rPr>
              <w:t>Goeckeler</w:t>
            </w:r>
          </w:p>
        </w:tc>
        <w:tc>
          <w:tcPr>
            <w:tcW w:w="1220" w:type="dxa"/>
            <w:vAlign w:val="bottom"/>
            <w:shd w:val="clear" w:color="auto" w:fill="EBEDEF"/>
          </w:tcPr>
          <w:p>
            <w:pPr>
              <w:ind w:left="280"/>
              <w:spacing w:after="0" w:line="134" w:lineRule="exact"/>
              <w:rPr>
                <w:sz w:val="20"/>
                <w:szCs w:val="20"/>
                <w:color w:val="auto"/>
              </w:rPr>
            </w:pPr>
            <w:r>
              <w:rPr>
                <w:rFonts w:ascii="Arial" w:cs="Arial" w:eastAsia="Arial" w:hAnsi="Arial"/>
                <w:sz w:val="13"/>
                <w:szCs w:val="13"/>
                <w:color w:val="auto"/>
              </w:rPr>
              <w:t>Alexy</w:t>
            </w:r>
          </w:p>
        </w:tc>
        <w:tc>
          <w:tcPr>
            <w:tcW w:w="1200" w:type="dxa"/>
            <w:vAlign w:val="bottom"/>
            <w:shd w:val="clear" w:color="auto" w:fill="EBEDEF"/>
          </w:tcPr>
          <w:p>
            <w:pPr>
              <w:ind w:left="240"/>
              <w:spacing w:after="0" w:line="134" w:lineRule="exact"/>
              <w:rPr>
                <w:sz w:val="20"/>
                <w:szCs w:val="20"/>
                <w:color w:val="auto"/>
              </w:rPr>
            </w:pPr>
            <w:r>
              <w:rPr>
                <w:rFonts w:ascii="Arial" w:cs="Arial" w:eastAsia="Arial" w:hAnsi="Arial"/>
                <w:sz w:val="13"/>
                <w:szCs w:val="13"/>
                <w:color w:val="auto"/>
              </w:rPr>
              <w:t>Massengill</w:t>
            </w:r>
          </w:p>
        </w:tc>
      </w:tr>
      <w:tr>
        <w:trPr>
          <w:trHeight w:val="163"/>
        </w:trPr>
        <w:tc>
          <w:tcPr>
            <w:tcW w:w="900" w:type="dxa"/>
            <w:vAlign w:val="bottom"/>
            <w:shd w:val="clear" w:color="auto" w:fill="EBEDEF"/>
          </w:tcPr>
          <w:p>
            <w:pPr>
              <w:spacing w:after="0"/>
              <w:rPr>
                <w:sz w:val="20"/>
                <w:szCs w:val="20"/>
                <w:color w:val="auto"/>
              </w:rPr>
            </w:pPr>
            <w:r>
              <w:rPr>
                <w:rFonts w:ascii="Arial" w:cs="Arial" w:eastAsia="Arial" w:hAnsi="Arial"/>
                <w:sz w:val="13"/>
                <w:szCs w:val="13"/>
                <w:i w:val="1"/>
                <w:iCs w:val="1"/>
                <w:color w:val="auto"/>
              </w:rPr>
              <w:t>(Chair)</w:t>
            </w:r>
          </w:p>
        </w:tc>
        <w:tc>
          <w:tcPr>
            <w:tcW w:w="1220" w:type="dxa"/>
            <w:vAlign w:val="bottom"/>
            <w:shd w:val="clear" w:color="auto" w:fill="EBEDEF"/>
          </w:tcPr>
          <w:p>
            <w:pPr>
              <w:spacing w:after="0"/>
              <w:rPr>
                <w:sz w:val="14"/>
                <w:szCs w:val="14"/>
                <w:color w:val="auto"/>
              </w:rPr>
            </w:pPr>
          </w:p>
        </w:tc>
        <w:tc>
          <w:tcPr>
            <w:tcW w:w="1200" w:type="dxa"/>
            <w:vAlign w:val="bottom"/>
            <w:shd w:val="clear" w:color="auto" w:fill="EBEDEF"/>
          </w:tcPr>
          <w:p>
            <w:pPr>
              <w:spacing w:after="0"/>
              <w:rPr>
                <w:sz w:val="14"/>
                <w:szCs w:val="14"/>
                <w:color w:val="auto"/>
              </w:rPr>
            </w:pPr>
          </w:p>
        </w:tc>
      </w:tr>
    </w:tbl>
    <w:p>
      <w:pPr>
        <w:spacing w:after="0" w:line="226" w:lineRule="exact"/>
        <w:rPr>
          <w:sz w:val="20"/>
          <w:szCs w:val="20"/>
          <w:color w:val="auto"/>
        </w:rPr>
      </w:pPr>
    </w:p>
    <w:p>
      <w:pPr>
        <w:ind w:left="220"/>
        <w:spacing w:after="0"/>
        <w:rPr>
          <w:sz w:val="20"/>
          <w:szCs w:val="20"/>
          <w:color w:val="auto"/>
        </w:rPr>
      </w:pPr>
      <w:r>
        <w:rPr>
          <w:rFonts w:ascii="Arial" w:cs="Arial" w:eastAsia="Arial" w:hAnsi="Arial"/>
          <w:sz w:val="13"/>
          <w:szCs w:val="13"/>
          <w:color w:val="auto"/>
        </w:rPr>
        <w:t xml:space="preserve">Meetings Held in Fiscal 2020: </w:t>
      </w:r>
      <w:r>
        <w:rPr>
          <w:rFonts w:ascii="Arial" w:cs="Arial" w:eastAsia="Arial" w:hAnsi="Arial"/>
          <w:sz w:val="13"/>
          <w:szCs w:val="13"/>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1234440" cy="685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34440" cy="6858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EQUITY AWARDS COMMITTEE</w:t>
      </w:r>
    </w:p>
    <w:p>
      <w:pPr>
        <w:spacing w:after="0" w:line="252" w:lineRule="exact"/>
        <w:rPr>
          <w:sz w:val="20"/>
          <w:szCs w:val="20"/>
          <w:color w:val="auto"/>
        </w:rPr>
      </w:pPr>
    </w:p>
    <w:p>
      <w:pPr>
        <w:jc w:val="both"/>
        <w:spacing w:after="0" w:line="245" w:lineRule="auto"/>
        <w:rPr>
          <w:sz w:val="20"/>
          <w:szCs w:val="20"/>
          <w:color w:val="auto"/>
        </w:rPr>
      </w:pPr>
      <w:r>
        <w:rPr>
          <w:rFonts w:ascii="Arial" w:cs="Arial" w:eastAsia="Arial" w:hAnsi="Arial"/>
          <w:sz w:val="13"/>
          <w:szCs w:val="13"/>
          <w:color w:val="auto"/>
        </w:rPr>
        <w:t>Our Board of Directors has also established an Equity Awards Committee as a Board committee with limited delegated authority to approve and establish the terms of restricted stock unit (“RSU”) awards granted to eligible participants under our 2017 Performance Incentive Plan who are vice president-level or below, subject to individual and aggregate award limits, on pre-determined, fixed grant dates. Mr. Goeckeler is currently the sole director serving on the Equity Awards Committee. The Equity Awards Committee is required to report periodically to our Board or the Compensation and Talent Committee.</w:t>
      </w:r>
    </w:p>
    <w:p>
      <w:pPr>
        <w:spacing w:after="0" w:line="195" w:lineRule="exact"/>
        <w:rPr>
          <w:sz w:val="20"/>
          <w:szCs w:val="20"/>
          <w:color w:val="auto"/>
        </w:rPr>
      </w:pPr>
    </w:p>
    <w:p>
      <w:pPr>
        <w:ind w:left="440" w:hanging="432"/>
        <w:spacing w:after="0"/>
        <w:tabs>
          <w:tab w:leader="none" w:pos="440" w:val="left"/>
        </w:tabs>
        <w:numPr>
          <w:ilvl w:val="0"/>
          <w:numId w:val="113"/>
        </w:numPr>
        <w:rPr>
          <w:rFonts w:ascii="Arial" w:cs="Arial" w:eastAsia="Arial" w:hAnsi="Arial"/>
          <w:sz w:val="18"/>
          <w:szCs w:val="18"/>
          <w:b w:val="1"/>
          <w:bCs w:val="1"/>
          <w:color w:val="23628F"/>
        </w:rPr>
      </w:pPr>
      <w:r>
        <w:rPr>
          <w:rFonts w:ascii="Arial" w:cs="Arial" w:eastAsia="Arial" w:hAnsi="Arial"/>
          <w:sz w:val="13"/>
          <w:szCs w:val="13"/>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153275"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ind w:left="8720"/>
        <w:spacing w:after="0"/>
        <w:rPr>
          <w:sz w:val="20"/>
          <w:szCs w:val="20"/>
          <w:color w:val="auto"/>
        </w:rPr>
      </w:pPr>
      <w:r>
        <w:rPr>
          <w:rFonts w:ascii="Arial" w:cs="Arial" w:eastAsia="Arial" w:hAnsi="Arial"/>
          <w:sz w:val="13"/>
          <w:szCs w:val="13"/>
          <w:color w:val="23628F"/>
        </w:rPr>
        <w:t>CORPORATE GOVERNANCE MATTERS</w:t>
      </w:r>
    </w:p>
    <w:p>
      <w:pPr>
        <w:spacing w:after="0" w:line="184" w:lineRule="exact"/>
        <w:rPr>
          <w:sz w:val="20"/>
          <w:szCs w:val="20"/>
          <w:color w:val="auto"/>
        </w:rPr>
      </w:pPr>
    </w:p>
    <w:p>
      <w:pPr>
        <w:spacing w:after="0"/>
        <w:rPr>
          <w:sz w:val="20"/>
          <w:szCs w:val="20"/>
          <w:color w:val="auto"/>
        </w:rPr>
      </w:pPr>
      <w:r>
        <w:rPr>
          <w:rFonts w:ascii="Arial" w:cs="Arial" w:eastAsia="Arial" w:hAnsi="Arial"/>
          <w:sz w:val="31"/>
          <w:szCs w:val="31"/>
          <w:b w:val="1"/>
          <w:bCs w:val="1"/>
          <w:color w:val="567EA5"/>
        </w:rPr>
        <w:t>BOARD PROCESSES AND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1234440" cy="685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34440" cy="68580"/>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CORPORATE GOVERNANCE GUIDELINES AND CODE OF BUSINESS ETHICS</w:t>
      </w:r>
    </w:p>
    <w:p>
      <w:pPr>
        <w:spacing w:after="0" w:line="252" w:lineRule="exact"/>
        <w:rPr>
          <w:sz w:val="20"/>
          <w:szCs w:val="20"/>
          <w:color w:val="auto"/>
        </w:rPr>
      </w:pPr>
    </w:p>
    <w:p>
      <w:pPr>
        <w:ind w:right="120"/>
        <w:spacing w:after="0" w:line="258" w:lineRule="auto"/>
        <w:rPr>
          <w:sz w:val="20"/>
          <w:szCs w:val="20"/>
          <w:color w:val="auto"/>
        </w:rPr>
      </w:pPr>
      <w:r>
        <w:rPr>
          <w:rFonts w:ascii="Arial" w:cs="Arial" w:eastAsia="Arial" w:hAnsi="Arial"/>
          <w:sz w:val="13"/>
          <w:szCs w:val="13"/>
          <w:color w:val="auto"/>
        </w:rPr>
        <w:t>Our Board of Directors has adopted Corporate Governance Guidelines, which provide the framework for governance of our company and represent our Board’s current views with respect to selected corporate governance issues considered to be of significance to stockholders, including:</w:t>
      </w:r>
    </w:p>
    <w:p>
      <w:pPr>
        <w:spacing w:after="0" w:line="192" w:lineRule="exact"/>
        <w:rPr>
          <w:sz w:val="20"/>
          <w:szCs w:val="20"/>
          <w:color w:val="auto"/>
        </w:rPr>
      </w:pPr>
    </w:p>
    <w:p>
      <w:pPr>
        <w:ind w:left="240" w:hanging="232"/>
        <w:spacing w:after="0"/>
        <w:tabs>
          <w:tab w:leader="none" w:pos="240" w:val="left"/>
        </w:tabs>
        <w:numPr>
          <w:ilvl w:val="0"/>
          <w:numId w:val="114"/>
        </w:numPr>
        <w:rPr>
          <w:rFonts w:ascii="Arial" w:cs="Arial" w:eastAsia="Arial" w:hAnsi="Arial"/>
          <w:sz w:val="13"/>
          <w:szCs w:val="13"/>
          <w:color w:val="61C1AF"/>
        </w:rPr>
      </w:pPr>
      <w:r>
        <w:rPr>
          <w:rFonts w:ascii="Arial" w:cs="Arial" w:eastAsia="Arial" w:hAnsi="Arial"/>
          <w:sz w:val="13"/>
          <w:szCs w:val="13"/>
          <w:color w:val="auto"/>
        </w:rPr>
        <w:t>the role and responsibilities of our Lead Independent Director;</w:t>
      </w:r>
    </w:p>
    <w:p>
      <w:pPr>
        <w:spacing w:after="0" w:line="66" w:lineRule="exact"/>
        <w:rPr>
          <w:rFonts w:ascii="Arial" w:cs="Arial" w:eastAsia="Arial" w:hAnsi="Arial"/>
          <w:sz w:val="13"/>
          <w:szCs w:val="13"/>
          <w:color w:val="61C1AF"/>
        </w:rPr>
      </w:pPr>
    </w:p>
    <w:p>
      <w:pPr>
        <w:ind w:left="240" w:hanging="232"/>
        <w:spacing w:after="0"/>
        <w:tabs>
          <w:tab w:leader="none" w:pos="240" w:val="left"/>
        </w:tabs>
        <w:numPr>
          <w:ilvl w:val="0"/>
          <w:numId w:val="114"/>
        </w:numPr>
        <w:rPr>
          <w:rFonts w:ascii="Arial" w:cs="Arial" w:eastAsia="Arial" w:hAnsi="Arial"/>
          <w:sz w:val="13"/>
          <w:szCs w:val="13"/>
          <w:color w:val="61C1AF"/>
        </w:rPr>
      </w:pPr>
      <w:r>
        <w:rPr>
          <w:rFonts w:ascii="Arial" w:cs="Arial" w:eastAsia="Arial" w:hAnsi="Arial"/>
          <w:sz w:val="13"/>
          <w:szCs w:val="13"/>
          <w:color w:val="auto"/>
        </w:rPr>
        <w:t>director nomination procedures and qualifications;</w:t>
      </w:r>
    </w:p>
    <w:p>
      <w:pPr>
        <w:spacing w:after="0" w:line="66" w:lineRule="exact"/>
        <w:rPr>
          <w:rFonts w:ascii="Arial" w:cs="Arial" w:eastAsia="Arial" w:hAnsi="Arial"/>
          <w:sz w:val="13"/>
          <w:szCs w:val="13"/>
          <w:color w:val="61C1AF"/>
        </w:rPr>
      </w:pPr>
    </w:p>
    <w:p>
      <w:pPr>
        <w:ind w:left="240" w:hanging="232"/>
        <w:spacing w:after="0"/>
        <w:tabs>
          <w:tab w:leader="none" w:pos="240" w:val="left"/>
        </w:tabs>
        <w:numPr>
          <w:ilvl w:val="0"/>
          <w:numId w:val="114"/>
        </w:numPr>
        <w:rPr>
          <w:rFonts w:ascii="Arial" w:cs="Arial" w:eastAsia="Arial" w:hAnsi="Arial"/>
          <w:sz w:val="13"/>
          <w:szCs w:val="13"/>
          <w:color w:val="61C1AF"/>
        </w:rPr>
      </w:pPr>
      <w:r>
        <w:rPr>
          <w:rFonts w:ascii="Arial" w:cs="Arial" w:eastAsia="Arial" w:hAnsi="Arial"/>
          <w:sz w:val="13"/>
          <w:szCs w:val="13"/>
          <w:color w:val="auto"/>
        </w:rPr>
        <w:t>director independence;</w:t>
      </w:r>
    </w:p>
    <w:p>
      <w:pPr>
        <w:spacing w:after="0" w:line="66" w:lineRule="exact"/>
        <w:rPr>
          <w:rFonts w:ascii="Arial" w:cs="Arial" w:eastAsia="Arial" w:hAnsi="Arial"/>
          <w:sz w:val="13"/>
          <w:szCs w:val="13"/>
          <w:color w:val="61C1AF"/>
        </w:rPr>
      </w:pPr>
    </w:p>
    <w:p>
      <w:pPr>
        <w:ind w:left="240" w:hanging="232"/>
        <w:spacing w:after="0"/>
        <w:tabs>
          <w:tab w:leader="none" w:pos="240" w:val="left"/>
        </w:tabs>
        <w:numPr>
          <w:ilvl w:val="0"/>
          <w:numId w:val="114"/>
        </w:numPr>
        <w:rPr>
          <w:rFonts w:ascii="Arial" w:cs="Arial" w:eastAsia="Arial" w:hAnsi="Arial"/>
          <w:sz w:val="13"/>
          <w:szCs w:val="13"/>
          <w:color w:val="61C1AF"/>
        </w:rPr>
      </w:pPr>
      <w:r>
        <w:rPr>
          <w:rFonts w:ascii="Arial" w:cs="Arial" w:eastAsia="Arial" w:hAnsi="Arial"/>
          <w:sz w:val="13"/>
          <w:szCs w:val="13"/>
          <w:color w:val="auto"/>
        </w:rPr>
        <w:t>director orientation and continuing education;</w:t>
      </w:r>
    </w:p>
    <w:p>
      <w:pPr>
        <w:spacing w:after="0" w:line="66" w:lineRule="exact"/>
        <w:rPr>
          <w:rFonts w:ascii="Arial" w:cs="Arial" w:eastAsia="Arial" w:hAnsi="Arial"/>
          <w:sz w:val="13"/>
          <w:szCs w:val="13"/>
          <w:color w:val="61C1AF"/>
        </w:rPr>
      </w:pPr>
    </w:p>
    <w:p>
      <w:pPr>
        <w:ind w:left="240" w:hanging="232"/>
        <w:spacing w:after="0"/>
        <w:tabs>
          <w:tab w:leader="none" w:pos="240" w:val="left"/>
        </w:tabs>
        <w:numPr>
          <w:ilvl w:val="0"/>
          <w:numId w:val="114"/>
        </w:numPr>
        <w:rPr>
          <w:rFonts w:ascii="Arial" w:cs="Arial" w:eastAsia="Arial" w:hAnsi="Arial"/>
          <w:sz w:val="13"/>
          <w:szCs w:val="13"/>
          <w:color w:val="61C1AF"/>
        </w:rPr>
      </w:pPr>
      <w:r>
        <w:rPr>
          <w:rFonts w:ascii="Arial" w:cs="Arial" w:eastAsia="Arial" w:hAnsi="Arial"/>
          <w:sz w:val="13"/>
          <w:szCs w:val="13"/>
          <w:color w:val="auto"/>
        </w:rPr>
        <w:t>annual performance evaluations of our Board and committees; and</w:t>
      </w:r>
    </w:p>
    <w:p>
      <w:pPr>
        <w:spacing w:after="0" w:line="66" w:lineRule="exact"/>
        <w:rPr>
          <w:rFonts w:ascii="Arial" w:cs="Arial" w:eastAsia="Arial" w:hAnsi="Arial"/>
          <w:sz w:val="13"/>
          <w:szCs w:val="13"/>
          <w:color w:val="61C1AF"/>
        </w:rPr>
      </w:pPr>
    </w:p>
    <w:p>
      <w:pPr>
        <w:ind w:left="240" w:hanging="232"/>
        <w:spacing w:after="0"/>
        <w:tabs>
          <w:tab w:leader="none" w:pos="240" w:val="left"/>
        </w:tabs>
        <w:numPr>
          <w:ilvl w:val="0"/>
          <w:numId w:val="114"/>
        </w:numPr>
        <w:rPr>
          <w:rFonts w:ascii="Arial" w:cs="Arial" w:eastAsia="Arial" w:hAnsi="Arial"/>
          <w:sz w:val="13"/>
          <w:szCs w:val="13"/>
          <w:color w:val="61C1AF"/>
        </w:rPr>
      </w:pPr>
      <w:r>
        <w:rPr>
          <w:rFonts w:ascii="Arial" w:cs="Arial" w:eastAsia="Arial" w:hAnsi="Arial"/>
          <w:sz w:val="13"/>
          <w:szCs w:val="13"/>
          <w:color w:val="auto"/>
        </w:rPr>
        <w:t>succession planning and management development.</w:t>
      </w:r>
    </w:p>
    <w:p>
      <w:pPr>
        <w:spacing w:after="0" w:line="215" w:lineRule="exact"/>
        <w:rPr>
          <w:sz w:val="20"/>
          <w:szCs w:val="20"/>
          <w:color w:val="auto"/>
        </w:rPr>
      </w:pPr>
    </w:p>
    <w:p>
      <w:pPr>
        <w:ind w:right="20"/>
        <w:spacing w:after="0" w:line="243" w:lineRule="auto"/>
        <w:rPr>
          <w:sz w:val="20"/>
          <w:szCs w:val="20"/>
          <w:color w:val="auto"/>
        </w:rPr>
      </w:pPr>
      <w:r>
        <w:rPr>
          <w:rFonts w:ascii="Arial" w:cs="Arial" w:eastAsia="Arial" w:hAnsi="Arial"/>
          <w:sz w:val="13"/>
          <w:szCs w:val="13"/>
          <w:color w:val="auto"/>
        </w:rPr>
        <w:t>Our Board of Directors has also adopted a Code of Business Ethics that applies to all of our directors, employees and officers, including our principal executive officer, principal financial officer, principal accounting officer or controller or persons performing similar functions. The current versions of the Corporate Governance Guidelines and the Code of Business Ethics are available on our website under “Leadership &amp; Governance” at investor.wdc.com. To the extent required by applicable rules and regulations of the SEC or the Nasdaq Stock Market, we intend to promptly disclose future amendments to certain provisions of the Code of Business Ethics, or waivers of such provisions granted to executive officers and directors, on our website under “Leadership &amp; Governance” at investor.wdc.com.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234440" cy="685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34440" cy="68580"/>
                    </a:xfrm>
                    <a:prstGeom prst="rect">
                      <a:avLst/>
                    </a:prstGeom>
                    <a:noFill/>
                  </pic:spPr>
                </pic:pic>
              </a:graphicData>
            </a:graphic>
          </wp:anchor>
        </w:drawing>
      </w:r>
    </w:p>
    <w:p>
      <w:pPr>
        <w:spacing w:after="0" w:line="306"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COMMUNICATION WITH MANAGEMENT</w:t>
      </w:r>
    </w:p>
    <w:p>
      <w:pPr>
        <w:spacing w:after="0" w:line="252" w:lineRule="exact"/>
        <w:rPr>
          <w:sz w:val="20"/>
          <w:szCs w:val="20"/>
          <w:color w:val="auto"/>
        </w:rPr>
      </w:pPr>
    </w:p>
    <w:p>
      <w:pPr>
        <w:ind w:right="80"/>
        <w:spacing w:after="0" w:line="258" w:lineRule="auto"/>
        <w:rPr>
          <w:sz w:val="20"/>
          <w:szCs w:val="20"/>
          <w:color w:val="auto"/>
        </w:rPr>
      </w:pPr>
      <w:r>
        <w:rPr>
          <w:rFonts w:ascii="Arial" w:cs="Arial" w:eastAsia="Arial" w:hAnsi="Arial"/>
          <w:sz w:val="13"/>
          <w:szCs w:val="13"/>
          <w:color w:val="auto"/>
        </w:rPr>
        <w:t>We have devoted significant effort in recent years to enhancing communication between our Board and management and have adopted the following practices to promote clear, timely and regular communication between directors and management:</w:t>
      </w:r>
    </w:p>
    <w:p>
      <w:pPr>
        <w:spacing w:after="0" w:line="176" w:lineRule="exact"/>
        <w:rPr>
          <w:sz w:val="20"/>
          <w:szCs w:val="20"/>
          <w:color w:val="auto"/>
        </w:rPr>
      </w:pPr>
    </w:p>
    <w:p>
      <w:pPr>
        <w:ind w:left="240" w:hanging="232"/>
        <w:spacing w:after="0"/>
        <w:tabs>
          <w:tab w:leader="none" w:pos="240" w:val="left"/>
        </w:tabs>
        <w:numPr>
          <w:ilvl w:val="0"/>
          <w:numId w:val="115"/>
        </w:numPr>
        <w:rPr>
          <w:rFonts w:ascii="Arial" w:cs="Arial" w:eastAsia="Arial" w:hAnsi="Arial"/>
          <w:sz w:val="13"/>
          <w:szCs w:val="13"/>
          <w:color w:val="61C1AF"/>
        </w:rPr>
      </w:pPr>
      <w:r>
        <w:rPr>
          <w:rFonts w:ascii="Arial" w:cs="Arial" w:eastAsia="Arial" w:hAnsi="Arial"/>
          <w:sz w:val="13"/>
          <w:szCs w:val="13"/>
          <w:b w:val="1"/>
          <w:bCs w:val="1"/>
          <w:color w:val="61C4AF"/>
        </w:rPr>
        <w:t xml:space="preserve">Business Updates. </w:t>
      </w:r>
      <w:r>
        <w:rPr>
          <w:rFonts w:ascii="Arial" w:cs="Arial" w:eastAsia="Arial" w:hAnsi="Arial"/>
          <w:sz w:val="13"/>
          <w:szCs w:val="13"/>
          <w:color w:val="000000"/>
        </w:rPr>
        <w:t>In between Board meetings, management provides our Board with updates on our business performance.</w:t>
      </w:r>
    </w:p>
    <w:p>
      <w:pPr>
        <w:spacing w:after="0" w:line="107" w:lineRule="exact"/>
        <w:rPr>
          <w:rFonts w:ascii="Arial" w:cs="Arial" w:eastAsia="Arial" w:hAnsi="Arial"/>
          <w:sz w:val="13"/>
          <w:szCs w:val="13"/>
          <w:color w:val="61C1AF"/>
        </w:rPr>
      </w:pPr>
    </w:p>
    <w:p>
      <w:pPr>
        <w:ind w:left="240" w:right="240" w:hanging="232"/>
        <w:spacing w:after="0" w:line="284" w:lineRule="auto"/>
        <w:tabs>
          <w:tab w:leader="none" w:pos="240" w:val="left"/>
        </w:tabs>
        <w:numPr>
          <w:ilvl w:val="0"/>
          <w:numId w:val="115"/>
        </w:numPr>
        <w:rPr>
          <w:rFonts w:ascii="Arial" w:cs="Arial" w:eastAsia="Arial" w:hAnsi="Arial"/>
          <w:sz w:val="13"/>
          <w:szCs w:val="13"/>
          <w:color w:val="61C1AF"/>
        </w:rPr>
      </w:pPr>
      <w:r>
        <w:rPr>
          <w:rFonts w:ascii="Arial" w:cs="Arial" w:eastAsia="Arial" w:hAnsi="Arial"/>
          <w:sz w:val="13"/>
          <w:szCs w:val="13"/>
          <w:b w:val="1"/>
          <w:bCs w:val="1"/>
          <w:color w:val="61C4AF"/>
        </w:rPr>
        <w:t xml:space="preserve">Meeting Agendas and Presentations. </w:t>
      </w:r>
      <w:r>
        <w:rPr>
          <w:rFonts w:ascii="Arial" w:cs="Arial" w:eastAsia="Arial" w:hAnsi="Arial"/>
          <w:sz w:val="13"/>
          <w:szCs w:val="13"/>
          <w:color w:val="000000"/>
        </w:rPr>
        <w:t>Our Chairman of the Board and committee Chairs regularly communicate with management to discuss the development of meeting agendas</w:t>
      </w:r>
      <w:r>
        <w:rPr>
          <w:rFonts w:ascii="Arial" w:cs="Arial" w:eastAsia="Arial" w:hAnsi="Arial"/>
          <w:sz w:val="13"/>
          <w:szCs w:val="13"/>
          <w:b w:val="1"/>
          <w:bCs w:val="1"/>
          <w:color w:val="61C4AF"/>
        </w:rPr>
        <w:t xml:space="preserve"> </w:t>
      </w:r>
      <w:r>
        <w:rPr>
          <w:rFonts w:ascii="Arial" w:cs="Arial" w:eastAsia="Arial" w:hAnsi="Arial"/>
          <w:sz w:val="13"/>
          <w:szCs w:val="13"/>
          <w:color w:val="000000"/>
        </w:rPr>
        <w:t>and presentations.</w:t>
      </w:r>
    </w:p>
    <w:p>
      <w:pPr>
        <w:spacing w:after="0" w:line="51" w:lineRule="exact"/>
        <w:rPr>
          <w:rFonts w:ascii="Arial" w:cs="Arial" w:eastAsia="Arial" w:hAnsi="Arial"/>
          <w:sz w:val="13"/>
          <w:szCs w:val="13"/>
          <w:color w:val="61C1AF"/>
        </w:rPr>
      </w:pPr>
    </w:p>
    <w:p>
      <w:pPr>
        <w:ind w:left="240" w:right="100" w:hanging="232"/>
        <w:spacing w:after="0" w:line="284" w:lineRule="auto"/>
        <w:tabs>
          <w:tab w:leader="none" w:pos="240" w:val="left"/>
        </w:tabs>
        <w:numPr>
          <w:ilvl w:val="0"/>
          <w:numId w:val="115"/>
        </w:numPr>
        <w:rPr>
          <w:rFonts w:ascii="Arial" w:cs="Arial" w:eastAsia="Arial" w:hAnsi="Arial"/>
          <w:sz w:val="13"/>
          <w:szCs w:val="13"/>
          <w:color w:val="61C1AF"/>
        </w:rPr>
      </w:pPr>
      <w:r>
        <w:rPr>
          <w:rFonts w:ascii="Arial" w:cs="Arial" w:eastAsia="Arial" w:hAnsi="Arial"/>
          <w:sz w:val="13"/>
          <w:szCs w:val="13"/>
          <w:b w:val="1"/>
          <w:bCs w:val="1"/>
          <w:color w:val="61C4AF"/>
        </w:rPr>
        <w:t xml:space="preserve">Developing Matters. </w:t>
      </w:r>
      <w:r>
        <w:rPr>
          <w:rFonts w:ascii="Arial" w:cs="Arial" w:eastAsia="Arial" w:hAnsi="Arial"/>
          <w:sz w:val="13"/>
          <w:szCs w:val="13"/>
          <w:color w:val="000000"/>
        </w:rPr>
        <w:t>In between Board meetings, directors receive prompt updates from management on developing matters affecting our company and our business. These updates</w:t>
      </w:r>
      <w:r>
        <w:rPr>
          <w:rFonts w:ascii="Arial" w:cs="Arial" w:eastAsia="Arial" w:hAnsi="Arial"/>
          <w:sz w:val="13"/>
          <w:szCs w:val="13"/>
          <w:b w:val="1"/>
          <w:bCs w:val="1"/>
          <w:color w:val="61C4AF"/>
        </w:rPr>
        <w:t xml:space="preserve"> </w:t>
      </w:r>
      <w:r>
        <w:rPr>
          <w:rFonts w:ascii="Arial" w:cs="Arial" w:eastAsia="Arial" w:hAnsi="Arial"/>
          <w:sz w:val="13"/>
          <w:szCs w:val="13"/>
          <w:color w:val="000000"/>
        </w:rPr>
        <w:t>occurred weekly in the initial months after the pandemic was declared to facilitate increased communication and oversight in the dynamic environment created by COVID-19.</w:t>
      </w:r>
    </w:p>
    <w:p>
      <w:pPr>
        <w:spacing w:after="0" w:line="51" w:lineRule="exact"/>
        <w:rPr>
          <w:rFonts w:ascii="Arial" w:cs="Arial" w:eastAsia="Arial" w:hAnsi="Arial"/>
          <w:sz w:val="13"/>
          <w:szCs w:val="13"/>
          <w:color w:val="61C1AF"/>
        </w:rPr>
      </w:pPr>
    </w:p>
    <w:p>
      <w:pPr>
        <w:ind w:left="240" w:right="140" w:hanging="232"/>
        <w:spacing w:after="0" w:line="284" w:lineRule="auto"/>
        <w:tabs>
          <w:tab w:leader="none" w:pos="240" w:val="left"/>
        </w:tabs>
        <w:numPr>
          <w:ilvl w:val="0"/>
          <w:numId w:val="115"/>
        </w:numPr>
        <w:rPr>
          <w:rFonts w:ascii="Arial" w:cs="Arial" w:eastAsia="Arial" w:hAnsi="Arial"/>
          <w:sz w:val="13"/>
          <w:szCs w:val="13"/>
          <w:color w:val="61C1AF"/>
        </w:rPr>
      </w:pPr>
      <w:r>
        <w:rPr>
          <w:rFonts w:ascii="Arial" w:cs="Arial" w:eastAsia="Arial" w:hAnsi="Arial"/>
          <w:sz w:val="13"/>
          <w:szCs w:val="13"/>
          <w:b w:val="1"/>
          <w:bCs w:val="1"/>
          <w:color w:val="61C4AF"/>
        </w:rPr>
        <w:t xml:space="preserve">Reference Materials. </w:t>
      </w:r>
      <w:r>
        <w:rPr>
          <w:rFonts w:ascii="Arial" w:cs="Arial" w:eastAsia="Arial" w:hAnsi="Arial"/>
          <w:sz w:val="13"/>
          <w:szCs w:val="13"/>
          <w:color w:val="000000"/>
        </w:rPr>
        <w:t>Directors also regularly receive quarterly strategy updates, securities analysts’ reports, investor communications, company publications, news articles and other</w:t>
      </w:r>
      <w:r>
        <w:rPr>
          <w:rFonts w:ascii="Arial" w:cs="Arial" w:eastAsia="Arial" w:hAnsi="Arial"/>
          <w:sz w:val="13"/>
          <w:szCs w:val="13"/>
          <w:b w:val="1"/>
          <w:bCs w:val="1"/>
          <w:color w:val="61C4AF"/>
        </w:rPr>
        <w:t xml:space="preserve"> </w:t>
      </w:r>
      <w:r>
        <w:rPr>
          <w:rFonts w:ascii="Arial" w:cs="Arial" w:eastAsia="Arial" w:hAnsi="Arial"/>
          <w:sz w:val="13"/>
          <w:szCs w:val="13"/>
          <w:color w:val="000000"/>
        </w:rPr>
        <w:t>reference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234440" cy="685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34440" cy="68580"/>
                    </a:xfrm>
                    <a:prstGeom prst="rect">
                      <a:avLst/>
                    </a:prstGeom>
                    <a:noFill/>
                  </pic:spPr>
                </pic:pic>
              </a:graphicData>
            </a:graphic>
          </wp:anchor>
        </w:drawing>
      </w:r>
    </w:p>
    <w:p>
      <w:pPr>
        <w:spacing w:after="0" w:line="306"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DIRECTOR ORIENTATION AND EDUCATION</w:t>
      </w:r>
    </w:p>
    <w:p>
      <w:pPr>
        <w:spacing w:after="0" w:line="252" w:lineRule="exact"/>
        <w:rPr>
          <w:sz w:val="20"/>
          <w:szCs w:val="20"/>
          <w:color w:val="auto"/>
        </w:rPr>
      </w:pPr>
    </w:p>
    <w:p>
      <w:pPr>
        <w:ind w:right="20"/>
        <w:spacing w:after="0" w:line="241" w:lineRule="auto"/>
        <w:rPr>
          <w:sz w:val="20"/>
          <w:szCs w:val="20"/>
          <w:color w:val="auto"/>
        </w:rPr>
      </w:pPr>
      <w:r>
        <w:rPr>
          <w:rFonts w:ascii="Arial" w:cs="Arial" w:eastAsia="Arial" w:hAnsi="Arial"/>
          <w:sz w:val="13"/>
          <w:szCs w:val="13"/>
          <w:color w:val="auto"/>
        </w:rPr>
        <w:t>All new directors participate in an extensive director orientation program. New directors engage with members of the executive team and senior management to review, among other things, our historical business and go-forward strategy, technology, finance matters (tax, treasury and accounting), internal audit and enterprise risk matters, human resources matters, corporate governance policies and practices, Global Code of Conduct and legal matters. We provide new directors with written materials to supplement the management meetings to permit them to further understand our business, industry and product portfolio. We have also implemented a mentorship program to pair new directors with longer tenured directors to facilitate a smooth transition onto our Board of Directors. Based on input from our directors, we believe our director orientation program, coupled with participation in regular Board and committee meetings, provides new directors with a strong foundation in our business, connects directors with members of management with whom they will interact and accelerates their effectiveness to engage fully in Board deliberations. Directors are provided additional orientation and educational opportunities upon acceptance of new or additional responsibilities on our Board and in committees that focus on those specific responsibilities.</w:t>
      </w:r>
    </w:p>
    <w:p>
      <w:pPr>
        <w:spacing w:after="0" w:line="33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23628F"/>
        </w:rPr>
        <w:t>2020 PROXY STATEMENT</w:t>
      </w:r>
      <w:r>
        <w:rPr>
          <w:sz w:val="20"/>
          <w:szCs w:val="20"/>
          <w:color w:val="auto"/>
        </w:rPr>
        <w:tab/>
      </w:r>
      <w:r>
        <w:rPr>
          <w:rFonts w:ascii="Arial" w:cs="Arial" w:eastAsia="Arial" w:hAnsi="Arial"/>
          <w:sz w:val="16"/>
          <w:szCs w:val="16"/>
          <w:b w:val="1"/>
          <w:bCs w:val="1"/>
          <w:color w:val="23628F"/>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153275" cy="209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23628F"/>
        </w:rPr>
        <w:t>CORPORATE GOVERNANCE MATTERS</w:t>
      </w:r>
    </w:p>
    <w:p>
      <w:pPr>
        <w:spacing w:after="0" w:line="215" w:lineRule="exact"/>
        <w:rPr>
          <w:sz w:val="20"/>
          <w:szCs w:val="20"/>
          <w:color w:val="auto"/>
        </w:rPr>
      </w:pPr>
    </w:p>
    <w:p>
      <w:pPr>
        <w:ind w:right="340"/>
        <w:spacing w:after="0" w:line="248" w:lineRule="auto"/>
        <w:rPr>
          <w:sz w:val="20"/>
          <w:szCs w:val="20"/>
          <w:color w:val="auto"/>
        </w:rPr>
      </w:pPr>
      <w:r>
        <w:rPr>
          <w:rFonts w:ascii="Arial" w:cs="Arial" w:eastAsia="Arial" w:hAnsi="Arial"/>
          <w:sz w:val="13"/>
          <w:szCs w:val="13"/>
          <w:color w:val="auto"/>
        </w:rPr>
        <w:t>Because our Board believes that ongoing director education is vital to the ability of directors to fulfill their roles, directors are encouraged to participate in external continuing director education programs, and we reimburse directors for their expenses associated with this participation. We also periodically invite speakers to present during Board meetings on director education topics, such as emerging 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1234440" cy="6858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34440" cy="68580"/>
                    </a:xfrm>
                    <a:prstGeom prst="rect">
                      <a:avLst/>
                    </a:prstGeom>
                    <a:noFill/>
                  </pic:spPr>
                </pic:pic>
              </a:graphicData>
            </a:graphic>
          </wp:anchor>
        </w:drawing>
      </w:r>
    </w:p>
    <w:p>
      <w:pPr>
        <w:spacing w:after="0" w:line="302"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BOARD EVALUATION</w:t>
      </w:r>
    </w:p>
    <w:p>
      <w:pPr>
        <w:spacing w:after="0" w:line="252" w:lineRule="exact"/>
        <w:rPr>
          <w:sz w:val="20"/>
          <w:szCs w:val="20"/>
          <w:color w:val="auto"/>
        </w:rPr>
      </w:pPr>
    </w:p>
    <w:p>
      <w:pPr>
        <w:ind w:right="480"/>
        <w:spacing w:after="0" w:line="245" w:lineRule="auto"/>
        <w:rPr>
          <w:sz w:val="20"/>
          <w:szCs w:val="20"/>
          <w:color w:val="auto"/>
        </w:rPr>
      </w:pPr>
      <w:r>
        <w:rPr>
          <w:rFonts w:ascii="Arial" w:cs="Arial" w:eastAsia="Arial" w:hAnsi="Arial"/>
          <w:sz w:val="13"/>
          <w:szCs w:val="13"/>
          <w:color w:val="auto"/>
        </w:rPr>
        <w:t>Our Board of Directors believes that it is important to assess the performance of our Board, its committees and individual directors and to solicit and act upon the feedback received. Accordingly, the Governance Committee oversees an annual performance evaluation process. In 2020, our Board evaluation was conducted by an external advisor on corporate governance and board effectiveness. This third-party facilitator met with our Chairman of the Board, Lead Independent Director and Chair of the Governance Committee to develop evaluation topics to guide one-on-one discussions between the third-party facilitator and each Board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8859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31"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FFFFFF"/>
        </w:rPr>
        <w:t>Board and Committee Evaluation Process</w:t>
      </w:r>
    </w:p>
    <w:p>
      <w:pPr>
        <w:sectPr>
          <w:pgSz w:w="11900" w:h="16838" w:orient="portrait"/>
          <w:cols w:equalWidth="0" w:num="1">
            <w:col w:w="11240"/>
          </w:cols>
          <w:pgMar w:left="320" w:top="121" w:right="339" w:bottom="1440" w:gutter="0" w:footer="0" w:header="0"/>
        </w:sectPr>
      </w:pPr>
    </w:p>
    <w:p>
      <w:pPr>
        <w:spacing w:after="0" w:line="29" w:lineRule="exact"/>
        <w:rPr>
          <w:sz w:val="20"/>
          <w:szCs w:val="20"/>
          <w:color w:val="auto"/>
        </w:rPr>
      </w:pPr>
    </w:p>
    <w:p>
      <w:pPr>
        <w:ind w:left="720" w:hanging="638"/>
        <w:spacing w:after="0" w:line="180" w:lineRule="auto"/>
        <w:tabs>
          <w:tab w:leader="none" w:pos="428" w:val="left"/>
        </w:tabs>
        <w:numPr>
          <w:ilvl w:val="0"/>
          <w:numId w:val="116"/>
        </w:numPr>
        <w:rPr>
          <w:rFonts w:ascii="MS PGothic" w:cs="MS PGothic" w:eastAsia="MS PGothic" w:hAnsi="MS PGothic"/>
          <w:sz w:val="33"/>
          <w:szCs w:val="33"/>
          <w:color w:val="23628F"/>
          <w:vertAlign w:val="subscript"/>
        </w:rPr>
      </w:pPr>
      <w:r>
        <w:rPr>
          <w:rFonts w:ascii="Arial" w:cs="Arial" w:eastAsia="Arial" w:hAnsi="Arial"/>
          <w:sz w:val="47"/>
          <w:szCs w:val="47"/>
          <w:b w:val="1"/>
          <w:bCs w:val="1"/>
          <w:color w:val="63C4AF"/>
          <w:vertAlign w:val="subscript"/>
        </w:rPr>
        <w:t>1</w:t>
      </w:r>
      <w:r>
        <w:rPr>
          <w:rFonts w:ascii="Arial" w:cs="Arial" w:eastAsia="Arial" w:hAnsi="Arial"/>
          <w:sz w:val="13"/>
          <w:szCs w:val="13"/>
          <w:b w:val="1"/>
          <w:bCs w:val="1"/>
          <w:color w:val="23628F"/>
        </w:rPr>
        <w:t xml:space="preserve"> Third-party facilitator interviewed each Board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-247015</wp:posOffset>
            </wp:positionV>
            <wp:extent cx="17145" cy="8229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7145"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00"/>
        <w:spacing w:after="0"/>
        <w:rPr>
          <w:sz w:val="20"/>
          <w:szCs w:val="20"/>
          <w:color w:val="auto"/>
        </w:rPr>
      </w:pPr>
      <w:r>
        <w:rPr>
          <w:rFonts w:ascii="Arial" w:cs="Arial" w:eastAsia="Arial" w:hAnsi="Arial"/>
          <w:sz w:val="18"/>
          <w:szCs w:val="18"/>
          <w:color w:val="23628F"/>
        </w:rPr>
        <w:t>▼</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auto"/>
        </w:rPr>
        <w:t>The third-party facilitator conducted an interview with each director covering various topics, including:</w:t>
      </w:r>
    </w:p>
    <w:p>
      <w:pPr>
        <w:spacing w:after="0" w:line="107" w:lineRule="exact"/>
        <w:rPr>
          <w:sz w:val="20"/>
          <w:szCs w:val="20"/>
          <w:color w:val="auto"/>
        </w:rPr>
      </w:pPr>
    </w:p>
    <w:p>
      <w:pPr>
        <w:ind w:left="220" w:hanging="216"/>
        <w:spacing w:after="0"/>
        <w:tabs>
          <w:tab w:leader="none" w:pos="220" w:val="left"/>
        </w:tabs>
        <w:numPr>
          <w:ilvl w:val="0"/>
          <w:numId w:val="117"/>
        </w:numPr>
        <w:rPr>
          <w:rFonts w:ascii="Arial" w:cs="Arial" w:eastAsia="Arial" w:hAnsi="Arial"/>
          <w:sz w:val="13"/>
          <w:szCs w:val="13"/>
          <w:color w:val="61C4AF"/>
        </w:rPr>
      </w:pPr>
      <w:r>
        <w:rPr>
          <w:rFonts w:ascii="Arial" w:cs="Arial" w:eastAsia="Arial" w:hAnsi="Arial"/>
          <w:sz w:val="13"/>
          <w:szCs w:val="13"/>
          <w:color w:val="auto"/>
        </w:rPr>
        <w:t>effectiveness of Board materials and meetings, including scheduling, discussion and participation;</w:t>
      </w:r>
    </w:p>
    <w:p>
      <w:pPr>
        <w:spacing w:after="0" w:line="66" w:lineRule="exact"/>
        <w:rPr>
          <w:rFonts w:ascii="Arial" w:cs="Arial" w:eastAsia="Arial" w:hAnsi="Arial"/>
          <w:sz w:val="13"/>
          <w:szCs w:val="13"/>
          <w:color w:val="61C4AF"/>
        </w:rPr>
      </w:pPr>
    </w:p>
    <w:p>
      <w:pPr>
        <w:ind w:left="220" w:hanging="216"/>
        <w:spacing w:after="0"/>
        <w:tabs>
          <w:tab w:leader="none" w:pos="220" w:val="left"/>
        </w:tabs>
        <w:numPr>
          <w:ilvl w:val="0"/>
          <w:numId w:val="117"/>
        </w:numPr>
        <w:rPr>
          <w:rFonts w:ascii="Arial" w:cs="Arial" w:eastAsia="Arial" w:hAnsi="Arial"/>
          <w:sz w:val="13"/>
          <w:szCs w:val="13"/>
          <w:color w:val="63C4AF"/>
        </w:rPr>
      </w:pPr>
      <w:r>
        <w:rPr>
          <w:rFonts w:ascii="Arial" w:cs="Arial" w:eastAsia="Arial" w:hAnsi="Arial"/>
          <w:sz w:val="13"/>
          <w:szCs w:val="13"/>
          <w:color w:val="auto"/>
        </w:rPr>
        <w:t>Board involvement in strategy, particularly in response to significant events including the COVID-19 pandemic;</w:t>
      </w:r>
    </w:p>
    <w:p>
      <w:pPr>
        <w:spacing w:after="0" w:line="80" w:lineRule="exact"/>
        <w:rPr>
          <w:rFonts w:ascii="Arial" w:cs="Arial" w:eastAsia="Arial" w:hAnsi="Arial"/>
          <w:sz w:val="13"/>
          <w:szCs w:val="13"/>
          <w:color w:val="63C4AF"/>
        </w:rPr>
      </w:pPr>
    </w:p>
    <w:p>
      <w:pPr>
        <w:ind w:left="220" w:hanging="216"/>
        <w:spacing w:after="0"/>
        <w:tabs>
          <w:tab w:leader="none" w:pos="220" w:val="left"/>
        </w:tabs>
        <w:numPr>
          <w:ilvl w:val="0"/>
          <w:numId w:val="117"/>
        </w:numPr>
        <w:rPr>
          <w:rFonts w:ascii="Arial" w:cs="Arial" w:eastAsia="Arial" w:hAnsi="Arial"/>
          <w:sz w:val="13"/>
          <w:szCs w:val="13"/>
          <w:color w:val="63C4AF"/>
        </w:rPr>
      </w:pPr>
      <w:r>
        <w:rPr>
          <w:rFonts w:ascii="Arial" w:cs="Arial" w:eastAsia="Arial" w:hAnsi="Arial"/>
          <w:sz w:val="13"/>
          <w:szCs w:val="13"/>
          <w:color w:val="auto"/>
        </w:rPr>
        <w:t>oversight of and relationships with management;</w:t>
      </w:r>
    </w:p>
    <w:p>
      <w:pPr>
        <w:spacing w:after="0" w:line="66" w:lineRule="exact"/>
        <w:rPr>
          <w:rFonts w:ascii="Arial" w:cs="Arial" w:eastAsia="Arial" w:hAnsi="Arial"/>
          <w:sz w:val="13"/>
          <w:szCs w:val="13"/>
          <w:color w:val="63C4AF"/>
        </w:rPr>
      </w:pPr>
    </w:p>
    <w:p>
      <w:pPr>
        <w:ind w:left="220" w:hanging="216"/>
        <w:spacing w:after="0"/>
        <w:tabs>
          <w:tab w:leader="none" w:pos="220" w:val="left"/>
        </w:tabs>
        <w:numPr>
          <w:ilvl w:val="0"/>
          <w:numId w:val="117"/>
        </w:numPr>
        <w:rPr>
          <w:rFonts w:ascii="Arial" w:cs="Arial" w:eastAsia="Arial" w:hAnsi="Arial"/>
          <w:sz w:val="13"/>
          <w:szCs w:val="13"/>
          <w:color w:val="63C4AF"/>
        </w:rPr>
      </w:pPr>
      <w:r>
        <w:rPr>
          <w:rFonts w:ascii="Arial" w:cs="Arial" w:eastAsia="Arial" w:hAnsi="Arial"/>
          <w:sz w:val="13"/>
          <w:szCs w:val="13"/>
          <w:color w:val="auto"/>
        </w:rPr>
        <w:t>management and Board succession planning;</w:t>
      </w:r>
    </w:p>
    <w:p>
      <w:pPr>
        <w:spacing w:after="0" w:line="66" w:lineRule="exact"/>
        <w:rPr>
          <w:rFonts w:ascii="Arial" w:cs="Arial" w:eastAsia="Arial" w:hAnsi="Arial"/>
          <w:sz w:val="13"/>
          <w:szCs w:val="13"/>
          <w:color w:val="63C4AF"/>
        </w:rPr>
      </w:pPr>
    </w:p>
    <w:p>
      <w:pPr>
        <w:ind w:left="220" w:hanging="216"/>
        <w:spacing w:after="0"/>
        <w:tabs>
          <w:tab w:leader="none" w:pos="220" w:val="left"/>
        </w:tabs>
        <w:numPr>
          <w:ilvl w:val="0"/>
          <w:numId w:val="117"/>
        </w:numPr>
        <w:rPr>
          <w:rFonts w:ascii="Arial" w:cs="Arial" w:eastAsia="Arial" w:hAnsi="Arial"/>
          <w:sz w:val="13"/>
          <w:szCs w:val="13"/>
          <w:color w:val="63C4AF"/>
        </w:rPr>
      </w:pPr>
      <w:r>
        <w:rPr>
          <w:rFonts w:ascii="Arial" w:cs="Arial" w:eastAsia="Arial" w:hAnsi="Arial"/>
          <w:sz w:val="13"/>
          <w:szCs w:val="13"/>
          <w:color w:val="auto"/>
        </w:rPr>
        <w:t>committee performance; and</w:t>
      </w:r>
    </w:p>
    <w:p>
      <w:pPr>
        <w:spacing w:after="0" w:line="80" w:lineRule="exact"/>
        <w:rPr>
          <w:rFonts w:ascii="Arial" w:cs="Arial" w:eastAsia="Arial" w:hAnsi="Arial"/>
          <w:sz w:val="13"/>
          <w:szCs w:val="13"/>
          <w:color w:val="63C4AF"/>
        </w:rPr>
      </w:pPr>
    </w:p>
    <w:p>
      <w:pPr>
        <w:ind w:left="220" w:hanging="216"/>
        <w:spacing w:after="0"/>
        <w:tabs>
          <w:tab w:leader="none" w:pos="220" w:val="left"/>
        </w:tabs>
        <w:numPr>
          <w:ilvl w:val="0"/>
          <w:numId w:val="117"/>
        </w:numPr>
        <w:rPr>
          <w:rFonts w:ascii="Arial" w:cs="Arial" w:eastAsia="Arial" w:hAnsi="Arial"/>
          <w:sz w:val="13"/>
          <w:szCs w:val="13"/>
          <w:color w:val="63C4AF"/>
        </w:rPr>
      </w:pPr>
      <w:r>
        <w:rPr>
          <w:rFonts w:ascii="Arial" w:cs="Arial" w:eastAsia="Arial" w:hAnsi="Arial"/>
          <w:sz w:val="13"/>
          <w:szCs w:val="13"/>
          <w:color w:val="auto"/>
        </w:rPr>
        <w:t>overall Board effectiveness.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8255</wp:posOffset>
            </wp:positionV>
            <wp:extent cx="690943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09435" cy="8890"/>
                    </a:xfrm>
                    <a:prstGeom prst="rect">
                      <a:avLst/>
                    </a:prstGeom>
                    <a:noFill/>
                  </pic:spPr>
                </pic:pic>
              </a:graphicData>
            </a:graphic>
          </wp:anchor>
        </w:drawing>
      </w:r>
    </w:p>
    <w:p>
      <w:pPr>
        <w:spacing w:after="0" w:line="170" w:lineRule="exact"/>
        <w:rPr>
          <w:sz w:val="20"/>
          <w:szCs w:val="20"/>
          <w:color w:val="auto"/>
        </w:rPr>
      </w:pPr>
    </w:p>
    <w:p>
      <w:pPr>
        <w:sectPr>
          <w:pgSz w:w="11900" w:h="16838" w:orient="portrait"/>
          <w:cols w:equalWidth="0" w:num="2">
            <w:col w:w="1820" w:space="560"/>
            <w:col w:w="8860"/>
          </w:cols>
          <w:pgMar w:left="320" w:top="121" w:right="339" w:bottom="1440" w:gutter="0" w:footer="0" w:header="0"/>
          <w:type w:val="continuous"/>
        </w:sectPr>
      </w:pPr>
    </w:p>
    <w:tbl>
      <w:tblPr>
        <w:tblLayout w:type="fixed"/>
        <w:tblInd w:w="80" w:type="dxa"/>
        <w:tblCellMar>
          <w:top w:w="0" w:type="dxa"/>
          <w:left w:w="0" w:type="dxa"/>
          <w:bottom w:w="0" w:type="dxa"/>
          <w:right w:w="0" w:type="dxa"/>
        </w:tblCellMar>
      </w:tblPr>
      <w:tr>
        <w:trPr>
          <w:trHeight w:val="165"/>
        </w:trPr>
        <w:tc>
          <w:tcPr>
            <w:tcW w:w="560" w:type="dxa"/>
            <w:vAlign w:val="bottom"/>
            <w:gridSpan w:val="3"/>
            <w:vMerge w:val="restart"/>
          </w:tcPr>
          <w:p>
            <w:pPr>
              <w:jc w:val="right"/>
              <w:ind w:right="60"/>
              <w:spacing w:after="0" w:line="256" w:lineRule="exact"/>
              <w:rPr>
                <w:sz w:val="20"/>
                <w:szCs w:val="20"/>
                <w:color w:val="auto"/>
              </w:rPr>
            </w:pPr>
            <w:r>
              <w:rPr>
                <w:rFonts w:ascii="MS PGothic" w:cs="MS PGothic" w:eastAsia="MS PGothic" w:hAnsi="MS PGothic"/>
                <w:sz w:val="17"/>
                <w:szCs w:val="17"/>
                <w:color w:val="23628F"/>
              </w:rPr>
              <w:t>◯</w:t>
            </w:r>
            <w:r>
              <w:rPr>
                <w:rFonts w:ascii="Arial" w:cs="Arial" w:eastAsia="Arial" w:hAnsi="Arial"/>
                <w:sz w:val="25"/>
                <w:szCs w:val="25"/>
                <w:b w:val="1"/>
                <w:bCs w:val="1"/>
                <w:color w:val="63C4AF"/>
              </w:rPr>
              <w:t xml:space="preserve"> 2</w:t>
            </w:r>
          </w:p>
        </w:tc>
        <w:tc>
          <w:tcPr>
            <w:tcW w:w="1560" w:type="dxa"/>
            <w:vAlign w:val="bottom"/>
          </w:tcPr>
          <w:p>
            <w:pPr>
              <w:ind w:left="80"/>
              <w:spacing w:after="0"/>
              <w:rPr>
                <w:sz w:val="20"/>
                <w:szCs w:val="20"/>
                <w:color w:val="auto"/>
              </w:rPr>
            </w:pPr>
            <w:r>
              <w:rPr>
                <w:rFonts w:ascii="Arial" w:cs="Arial" w:eastAsia="Arial" w:hAnsi="Arial"/>
                <w:sz w:val="13"/>
                <w:szCs w:val="13"/>
                <w:b w:val="1"/>
                <w:bCs w:val="1"/>
                <w:color w:val="23628F"/>
              </w:rPr>
              <w:t>Third-party</w:t>
            </w:r>
          </w:p>
        </w:tc>
        <w:tc>
          <w:tcPr>
            <w:tcW w:w="9040" w:type="dxa"/>
            <w:vAlign w:val="bottom"/>
          </w:tcPr>
          <w:p>
            <w:pPr>
              <w:ind w:left="180"/>
              <w:spacing w:after="0"/>
              <w:rPr>
                <w:sz w:val="20"/>
                <w:szCs w:val="20"/>
                <w:color w:val="auto"/>
              </w:rPr>
            </w:pPr>
            <w:r>
              <w:rPr>
                <w:rFonts w:ascii="Arial" w:cs="Arial" w:eastAsia="Arial" w:hAnsi="Arial"/>
                <w:sz w:val="13"/>
                <w:szCs w:val="13"/>
                <w:color w:val="auto"/>
              </w:rPr>
              <w:t>The third-party facilitator discussed the feedback regarding each Board committee with the respective committee chair and discussed the overall</w:t>
            </w:r>
          </w:p>
        </w:tc>
        <w:tc>
          <w:tcPr>
            <w:tcW w:w="0" w:type="dxa"/>
            <w:vAlign w:val="bottom"/>
          </w:tcPr>
          <w:p>
            <w:pPr>
              <w:spacing w:after="0"/>
              <w:rPr>
                <w:sz w:val="1"/>
                <w:szCs w:val="1"/>
                <w:color w:val="auto"/>
              </w:rPr>
            </w:pPr>
          </w:p>
        </w:tc>
      </w:tr>
      <w:tr>
        <w:trPr>
          <w:trHeight w:val="149"/>
        </w:trPr>
        <w:tc>
          <w:tcPr>
            <w:tcW w:w="560" w:type="dxa"/>
            <w:vAlign w:val="bottom"/>
            <w:gridSpan w:val="3"/>
            <w:vMerge w:val="continue"/>
          </w:tcPr>
          <w:p>
            <w:pPr>
              <w:spacing w:after="0"/>
              <w:rPr>
                <w:sz w:val="12"/>
                <w:szCs w:val="12"/>
                <w:color w:val="auto"/>
              </w:rPr>
            </w:pPr>
          </w:p>
        </w:tc>
        <w:tc>
          <w:tcPr>
            <w:tcW w:w="1560" w:type="dxa"/>
            <w:vAlign w:val="bottom"/>
          </w:tcPr>
          <w:p>
            <w:pPr>
              <w:ind w:left="80"/>
              <w:spacing w:after="0"/>
              <w:rPr>
                <w:sz w:val="20"/>
                <w:szCs w:val="20"/>
                <w:color w:val="auto"/>
              </w:rPr>
            </w:pPr>
            <w:r>
              <w:rPr>
                <w:rFonts w:ascii="Arial" w:cs="Arial" w:eastAsia="Arial" w:hAnsi="Arial"/>
                <w:sz w:val="13"/>
                <w:szCs w:val="13"/>
                <w:b w:val="1"/>
                <w:bCs w:val="1"/>
                <w:color w:val="23628F"/>
              </w:rPr>
              <w:t>facilitator discussed</w:t>
            </w:r>
          </w:p>
        </w:tc>
        <w:tc>
          <w:tcPr>
            <w:tcW w:w="9040" w:type="dxa"/>
            <w:vAlign w:val="bottom"/>
          </w:tcPr>
          <w:p>
            <w:pPr>
              <w:ind w:left="180"/>
              <w:spacing w:after="0"/>
              <w:rPr>
                <w:sz w:val="20"/>
                <w:szCs w:val="20"/>
                <w:color w:val="auto"/>
              </w:rPr>
            </w:pPr>
            <w:r>
              <w:rPr>
                <w:rFonts w:ascii="Arial" w:cs="Arial" w:eastAsia="Arial" w:hAnsi="Arial"/>
                <w:sz w:val="13"/>
                <w:szCs w:val="13"/>
                <w:color w:val="auto"/>
              </w:rPr>
              <w:t>Board evaluation results with our Chairman of the Board, Lead Independent Director and Chair of the Governance Committee.</w:t>
            </w:r>
          </w:p>
        </w:tc>
        <w:tc>
          <w:tcPr>
            <w:tcW w:w="0" w:type="dxa"/>
            <w:vAlign w:val="bottom"/>
          </w:tcPr>
          <w:p>
            <w:pPr>
              <w:spacing w:after="0"/>
              <w:rPr>
                <w:sz w:val="1"/>
                <w:szCs w:val="1"/>
                <w:color w:val="auto"/>
              </w:rPr>
            </w:pPr>
          </w:p>
        </w:tc>
      </w:tr>
      <w:tr>
        <w:trPr>
          <w:trHeight w:val="148"/>
        </w:trPr>
        <w:tc>
          <w:tcPr>
            <w:tcW w:w="120" w:type="dxa"/>
            <w:vAlign w:val="bottom"/>
            <w:tcBorders>
              <w:right w:val="single" w:sz="8" w:color="23628F"/>
            </w:tcBorders>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tcPr>
          <w:p>
            <w:pPr>
              <w:ind w:left="80"/>
              <w:spacing w:after="0"/>
              <w:rPr>
                <w:sz w:val="20"/>
                <w:szCs w:val="20"/>
                <w:color w:val="auto"/>
              </w:rPr>
            </w:pPr>
            <w:r>
              <w:rPr>
                <w:rFonts w:ascii="Arial" w:cs="Arial" w:eastAsia="Arial" w:hAnsi="Arial"/>
                <w:sz w:val="13"/>
                <w:szCs w:val="13"/>
                <w:b w:val="1"/>
                <w:bCs w:val="1"/>
                <w:color w:val="23628F"/>
              </w:rPr>
              <w:t>evaluation</w:t>
            </w:r>
          </w:p>
        </w:tc>
        <w:tc>
          <w:tcPr>
            <w:tcW w:w="9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 w:type="dxa"/>
            <w:vAlign w:val="bottom"/>
            <w:tcBorders>
              <w:right w:val="single" w:sz="8" w:color="23628F"/>
            </w:tcBorders>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tcPr>
          <w:p>
            <w:pPr>
              <w:ind w:left="80"/>
              <w:spacing w:after="0"/>
              <w:rPr>
                <w:sz w:val="20"/>
                <w:szCs w:val="20"/>
                <w:color w:val="auto"/>
              </w:rPr>
            </w:pPr>
            <w:r>
              <w:rPr>
                <w:rFonts w:ascii="Arial" w:cs="Arial" w:eastAsia="Arial" w:hAnsi="Arial"/>
                <w:sz w:val="13"/>
                <w:szCs w:val="13"/>
                <w:b w:val="1"/>
                <w:bCs w:val="1"/>
                <w:color w:val="23628F"/>
              </w:rPr>
              <w:t>results with</w:t>
            </w:r>
          </w:p>
        </w:tc>
        <w:tc>
          <w:tcPr>
            <w:tcW w:w="9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20" w:type="dxa"/>
            <w:vAlign w:val="bottom"/>
            <w:tcBorders>
              <w:right w:val="single" w:sz="8" w:color="23628F"/>
            </w:tcBorders>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tcPr>
          <w:p>
            <w:pPr>
              <w:ind w:left="80"/>
              <w:spacing w:after="0"/>
              <w:rPr>
                <w:sz w:val="20"/>
                <w:szCs w:val="20"/>
                <w:color w:val="auto"/>
              </w:rPr>
            </w:pPr>
            <w:r>
              <w:rPr>
                <w:rFonts w:ascii="Arial" w:cs="Arial" w:eastAsia="Arial" w:hAnsi="Arial"/>
                <w:sz w:val="13"/>
                <w:szCs w:val="13"/>
                <w:b w:val="1"/>
                <w:bCs w:val="1"/>
                <w:color w:val="23628F"/>
              </w:rPr>
              <w:t>Board leadership</w:t>
            </w:r>
          </w:p>
        </w:tc>
        <w:tc>
          <w:tcPr>
            <w:tcW w:w="9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20" w:type="dxa"/>
            <w:vAlign w:val="bottom"/>
            <w:tcBorders>
              <w:right w:val="single" w:sz="8" w:color="23628F"/>
            </w:tcBorders>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bottom w:val="single" w:sz="8" w:color="63C4AF"/>
            </w:tcBorders>
          </w:tcPr>
          <w:p>
            <w:pPr>
              <w:spacing w:after="0"/>
              <w:rPr>
                <w:sz w:val="20"/>
                <w:szCs w:val="20"/>
                <w:color w:val="auto"/>
              </w:rPr>
            </w:pPr>
          </w:p>
        </w:tc>
        <w:tc>
          <w:tcPr>
            <w:tcW w:w="1560" w:type="dxa"/>
            <w:vAlign w:val="bottom"/>
            <w:tcBorders>
              <w:bottom w:val="single" w:sz="8" w:color="63C4AF"/>
            </w:tcBorders>
          </w:tcPr>
          <w:p>
            <w:pPr>
              <w:spacing w:after="0"/>
              <w:rPr>
                <w:sz w:val="20"/>
                <w:szCs w:val="20"/>
                <w:color w:val="auto"/>
              </w:rPr>
            </w:pPr>
          </w:p>
        </w:tc>
        <w:tc>
          <w:tcPr>
            <w:tcW w:w="9040" w:type="dxa"/>
            <w:vAlign w:val="bottom"/>
            <w:tcBorders>
              <w:bottom w:val="single" w:sz="8" w:color="63C4AF"/>
            </w:tcBorders>
          </w:tcPr>
          <w:p>
            <w:pPr>
              <w:spacing w:after="0"/>
              <w:rPr>
                <w:sz w:val="20"/>
                <w:szCs w:val="20"/>
                <w:color w:val="auto"/>
              </w:rPr>
            </w:pPr>
          </w:p>
        </w:tc>
        <w:tc>
          <w:tcPr>
            <w:tcW w:w="0" w:type="dxa"/>
            <w:vAlign w:val="bottom"/>
          </w:tcPr>
          <w:p>
            <w:pPr>
              <w:spacing w:after="0"/>
              <w:rPr>
                <w:sz w:val="1"/>
                <w:szCs w:val="1"/>
                <w:color w:val="auto"/>
              </w:rPr>
            </w:pPr>
          </w:p>
        </w:tc>
      </w:tr>
      <w:tr>
        <w:trPr>
          <w:trHeight w:val="152"/>
        </w:trPr>
        <w:tc>
          <w:tcPr>
            <w:tcW w:w="280" w:type="dxa"/>
            <w:vAlign w:val="bottom"/>
            <w:gridSpan w:val="2"/>
          </w:tcPr>
          <w:p>
            <w:pPr>
              <w:ind w:left="20"/>
              <w:spacing w:after="0" w:line="152" w:lineRule="exact"/>
              <w:rPr>
                <w:sz w:val="20"/>
                <w:szCs w:val="20"/>
                <w:color w:val="auto"/>
              </w:rPr>
            </w:pPr>
            <w:r>
              <w:rPr>
                <w:rFonts w:ascii="Arial" w:cs="Arial" w:eastAsia="Arial" w:hAnsi="Arial"/>
                <w:sz w:val="16"/>
                <w:szCs w:val="16"/>
                <w:color w:val="23628F"/>
              </w:rPr>
              <w:t>▼</w:t>
            </w:r>
          </w:p>
        </w:tc>
        <w:tc>
          <w:tcPr>
            <w:tcW w:w="2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60" w:type="dxa"/>
            <w:vAlign w:val="bottom"/>
            <w:gridSpan w:val="3"/>
            <w:vMerge w:val="restart"/>
          </w:tcPr>
          <w:p>
            <w:pPr>
              <w:jc w:val="right"/>
              <w:ind w:right="60"/>
              <w:spacing w:after="0" w:line="288" w:lineRule="exact"/>
              <w:rPr>
                <w:sz w:val="20"/>
                <w:szCs w:val="20"/>
                <w:color w:val="auto"/>
              </w:rPr>
            </w:pPr>
            <w:r>
              <w:rPr>
                <w:rFonts w:ascii="MS PGothic" w:cs="MS PGothic" w:eastAsia="MS PGothic" w:hAnsi="MS PGothic"/>
                <w:sz w:val="17"/>
                <w:szCs w:val="17"/>
                <w:color w:val="23628F"/>
              </w:rPr>
              <w:t>◯</w:t>
            </w:r>
            <w:r>
              <w:rPr>
                <w:rFonts w:ascii="Arial" w:cs="Arial" w:eastAsia="Arial" w:hAnsi="Arial"/>
                <w:sz w:val="25"/>
                <w:szCs w:val="25"/>
                <w:b w:val="1"/>
                <w:bCs w:val="1"/>
                <w:color w:val="63C4AF"/>
              </w:rPr>
              <w:t xml:space="preserve"> 3</w:t>
            </w:r>
          </w:p>
        </w:tc>
        <w:tc>
          <w:tcPr>
            <w:tcW w:w="1560" w:type="dxa"/>
            <w:vAlign w:val="bottom"/>
          </w:tcPr>
          <w:p>
            <w:pPr>
              <w:ind w:left="80"/>
              <w:spacing w:after="0"/>
              <w:rPr>
                <w:sz w:val="20"/>
                <w:szCs w:val="20"/>
                <w:color w:val="auto"/>
              </w:rPr>
            </w:pPr>
            <w:r>
              <w:rPr>
                <w:rFonts w:ascii="Arial" w:cs="Arial" w:eastAsia="Arial" w:hAnsi="Arial"/>
                <w:sz w:val="13"/>
                <w:szCs w:val="13"/>
                <w:b w:val="1"/>
                <w:bCs w:val="1"/>
                <w:color w:val="23628F"/>
              </w:rPr>
              <w:t>Results discussed</w:t>
            </w:r>
          </w:p>
        </w:tc>
        <w:tc>
          <w:tcPr>
            <w:tcW w:w="9040" w:type="dxa"/>
            <w:vAlign w:val="bottom"/>
          </w:tcPr>
          <w:p>
            <w:pPr>
              <w:ind w:left="180"/>
              <w:spacing w:after="0"/>
              <w:rPr>
                <w:sz w:val="20"/>
                <w:szCs w:val="20"/>
                <w:color w:val="auto"/>
              </w:rPr>
            </w:pPr>
            <w:r>
              <w:rPr>
                <w:rFonts w:ascii="Arial" w:cs="Arial" w:eastAsia="Arial" w:hAnsi="Arial"/>
                <w:sz w:val="13"/>
                <w:szCs w:val="13"/>
                <w:color w:val="auto"/>
              </w:rPr>
              <w:t>The third-party facilitator led discussions with the full Board, and each committee chair held discussions with the respective committees regarding</w:t>
            </w:r>
          </w:p>
        </w:tc>
        <w:tc>
          <w:tcPr>
            <w:tcW w:w="0" w:type="dxa"/>
            <w:vAlign w:val="bottom"/>
          </w:tcPr>
          <w:p>
            <w:pPr>
              <w:spacing w:after="0"/>
              <w:rPr>
                <w:sz w:val="1"/>
                <w:szCs w:val="1"/>
                <w:color w:val="auto"/>
              </w:rPr>
            </w:pPr>
          </w:p>
        </w:tc>
      </w:tr>
      <w:tr>
        <w:trPr>
          <w:trHeight w:val="164"/>
        </w:trPr>
        <w:tc>
          <w:tcPr>
            <w:tcW w:w="560" w:type="dxa"/>
            <w:vAlign w:val="bottom"/>
            <w:gridSpan w:val="3"/>
            <w:vMerge w:val="continue"/>
          </w:tcPr>
          <w:p>
            <w:pPr>
              <w:spacing w:after="0"/>
              <w:rPr>
                <w:sz w:val="14"/>
                <w:szCs w:val="14"/>
                <w:color w:val="auto"/>
              </w:rPr>
            </w:pPr>
          </w:p>
        </w:tc>
        <w:tc>
          <w:tcPr>
            <w:tcW w:w="1560" w:type="dxa"/>
            <w:vAlign w:val="bottom"/>
          </w:tcPr>
          <w:p>
            <w:pPr>
              <w:ind w:left="80"/>
              <w:spacing w:after="0"/>
              <w:rPr>
                <w:sz w:val="20"/>
                <w:szCs w:val="20"/>
                <w:color w:val="auto"/>
              </w:rPr>
            </w:pPr>
            <w:r>
              <w:rPr>
                <w:rFonts w:ascii="Arial" w:cs="Arial" w:eastAsia="Arial" w:hAnsi="Arial"/>
                <w:sz w:val="13"/>
                <w:szCs w:val="13"/>
                <w:b w:val="1"/>
                <w:bCs w:val="1"/>
                <w:color w:val="23628F"/>
              </w:rPr>
              <w:t>with the full</w:t>
            </w:r>
          </w:p>
        </w:tc>
        <w:tc>
          <w:tcPr>
            <w:tcW w:w="9040" w:type="dxa"/>
            <w:vAlign w:val="bottom"/>
          </w:tcPr>
          <w:p>
            <w:pPr>
              <w:ind w:left="180"/>
              <w:spacing w:after="0"/>
              <w:rPr>
                <w:sz w:val="20"/>
                <w:szCs w:val="20"/>
                <w:color w:val="auto"/>
              </w:rPr>
            </w:pPr>
            <w:r>
              <w:rPr>
                <w:rFonts w:ascii="Arial" w:cs="Arial" w:eastAsia="Arial" w:hAnsi="Arial"/>
                <w:sz w:val="13"/>
                <w:szCs w:val="13"/>
                <w:color w:val="auto"/>
              </w:rPr>
              <w:t>the evaluation results.</w:t>
            </w:r>
          </w:p>
        </w:tc>
        <w:tc>
          <w:tcPr>
            <w:tcW w:w="0" w:type="dxa"/>
            <w:vAlign w:val="bottom"/>
          </w:tcPr>
          <w:p>
            <w:pPr>
              <w:spacing w:after="0"/>
              <w:rPr>
                <w:sz w:val="1"/>
                <w:szCs w:val="1"/>
                <w:color w:val="auto"/>
              </w:rPr>
            </w:pPr>
          </w:p>
        </w:tc>
      </w:tr>
    </w:tbl>
    <w:p>
      <w:pPr>
        <w:ind w:left="720"/>
        <w:spacing w:after="0"/>
        <w:rPr>
          <w:sz w:val="20"/>
          <w:szCs w:val="20"/>
          <w:color w:val="auto"/>
        </w:rPr>
      </w:pPr>
      <w:r>
        <w:rPr>
          <w:rFonts w:ascii="Arial" w:cs="Arial" w:eastAsia="Arial" w:hAnsi="Arial"/>
          <w:sz w:val="13"/>
          <w:szCs w:val="13"/>
          <w:b w:val="1"/>
          <w:bCs w:val="1"/>
          <w:color w:val="23628F"/>
        </w:rPr>
        <w:t>Board and</w:t>
      </w:r>
    </w:p>
    <w:p>
      <w:pPr>
        <w:ind w:left="720"/>
        <w:spacing w:after="0"/>
        <w:rPr>
          <w:sz w:val="20"/>
          <w:szCs w:val="20"/>
          <w:color w:val="auto"/>
        </w:rPr>
      </w:pPr>
      <w:r>
        <w:rPr>
          <w:rFonts w:ascii="Arial" w:cs="Arial" w:eastAsia="Arial" w:hAnsi="Arial"/>
          <w:sz w:val="13"/>
          <w:szCs w:val="13"/>
          <w:b w:val="1"/>
          <w:bCs w:val="1"/>
          <w:color w:val="23628F"/>
        </w:rPr>
        <w:t>each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8859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14"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FFFFFF"/>
        </w:rPr>
        <w:t>Evaluation Results</w:t>
      </w:r>
    </w:p>
    <w:p>
      <w:pPr>
        <w:spacing w:after="0" w:line="312" w:lineRule="exact"/>
        <w:rPr>
          <w:sz w:val="20"/>
          <w:szCs w:val="20"/>
          <w:color w:val="auto"/>
        </w:rPr>
      </w:pPr>
    </w:p>
    <w:p>
      <w:pPr>
        <w:ind w:right="180"/>
        <w:spacing w:after="0" w:line="243" w:lineRule="auto"/>
        <w:rPr>
          <w:sz w:val="20"/>
          <w:szCs w:val="20"/>
          <w:color w:val="auto"/>
        </w:rPr>
      </w:pPr>
      <w:r>
        <w:rPr>
          <w:rFonts w:ascii="Arial" w:cs="Arial" w:eastAsia="Arial" w:hAnsi="Arial"/>
          <w:sz w:val="13"/>
          <w:szCs w:val="13"/>
          <w:color w:val="auto"/>
        </w:rPr>
        <w:t>Our Board of Directors utilizes the results of our Board and committee evaluations in making decisions on the structure of our Board, Board and committee responsibilities, agendas and meeting schedules for our Board and its committees, changes in the performance or functioning of our Board and continued service of individual directors on our Board. As a result of our annual performance evaluation process this year, enhancements have been made and are continuing to be made to Board processes and procedures, including streamlining Board presentations and materials to facilitate more effective and efficient Board meetings and establishing comprehensive annual Board and committee agendas to improve visibility into upcoming meeting topics throughout the year.</w:t>
      </w:r>
    </w:p>
    <w:p>
      <w:pPr>
        <w:spacing w:after="0" w:line="197" w:lineRule="exact"/>
        <w:rPr>
          <w:sz w:val="20"/>
          <w:szCs w:val="20"/>
          <w:color w:val="auto"/>
        </w:rPr>
      </w:pPr>
    </w:p>
    <w:p>
      <w:pPr>
        <w:ind w:left="440" w:hanging="432"/>
        <w:spacing w:after="0"/>
        <w:tabs>
          <w:tab w:leader="none" w:pos="440" w:val="left"/>
        </w:tabs>
        <w:numPr>
          <w:ilvl w:val="0"/>
          <w:numId w:val="118"/>
        </w:numPr>
        <w:rPr>
          <w:rFonts w:ascii="Arial" w:cs="Arial" w:eastAsia="Arial" w:hAnsi="Arial"/>
          <w:sz w:val="18"/>
          <w:szCs w:val="18"/>
          <w:b w:val="1"/>
          <w:bCs w:val="1"/>
          <w:color w:val="23628F"/>
        </w:rPr>
      </w:pPr>
      <w:r>
        <w:rPr>
          <w:rFonts w:ascii="Arial" w:cs="Arial" w:eastAsia="Arial" w:hAnsi="Arial"/>
          <w:sz w:val="13"/>
          <w:szCs w:val="13"/>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153275" cy="209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ind w:left="8720"/>
        <w:spacing w:after="0"/>
        <w:rPr>
          <w:sz w:val="20"/>
          <w:szCs w:val="20"/>
          <w:color w:val="auto"/>
        </w:rPr>
      </w:pPr>
      <w:r>
        <w:rPr>
          <w:rFonts w:ascii="Arial" w:cs="Arial" w:eastAsia="Arial" w:hAnsi="Arial"/>
          <w:sz w:val="13"/>
          <w:szCs w:val="13"/>
          <w:color w:val="23628F"/>
        </w:rPr>
        <w:t>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234440" cy="685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34440" cy="68580"/>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COMMUNICATING WITH DIRECTORS</w:t>
      </w:r>
    </w:p>
    <w:p>
      <w:pPr>
        <w:spacing w:after="0" w:line="252" w:lineRule="exact"/>
        <w:rPr>
          <w:sz w:val="20"/>
          <w:szCs w:val="20"/>
          <w:color w:val="auto"/>
        </w:rPr>
      </w:pPr>
    </w:p>
    <w:p>
      <w:pPr>
        <w:ind w:right="60"/>
        <w:spacing w:after="0"/>
        <w:rPr>
          <w:sz w:val="20"/>
          <w:szCs w:val="20"/>
          <w:color w:val="auto"/>
        </w:rPr>
      </w:pPr>
      <w:r>
        <w:rPr>
          <w:rFonts w:ascii="Arial" w:cs="Arial" w:eastAsia="Arial" w:hAnsi="Arial"/>
          <w:sz w:val="13"/>
          <w:szCs w:val="13"/>
          <w:color w:val="auto"/>
        </w:rPr>
        <w:t xml:space="preserve">Our Board of Directors provides a process for stockholders to send communications to our Board or to individual directors or groups of directors. In addition, interested parties may communicate with our Chairman of the Board or Lead Independent Director (who presides over executive sessions of our independent directors) or with our independent directors as a group. Our Board of Directors recommends that stockholders and other interested parties initiate any communications with our Board (or individual directors or groups of directors) in writing. </w:t>
      </w:r>
      <w:r>
        <w:rPr>
          <w:rFonts w:ascii="Arial" w:cs="Arial" w:eastAsia="Arial" w:hAnsi="Arial"/>
          <w:sz w:val="13"/>
          <w:szCs w:val="13"/>
          <w:b w:val="1"/>
          <w:bCs w:val="1"/>
          <w:color w:val="auto"/>
        </w:rPr>
        <w:t>These communications should be sent by mail to our Secretary at Western Digital Corporation, 5601 Great Oaks Parkway, San Jose, California 95119</w:t>
      </w:r>
      <w:r>
        <w:rPr>
          <w:rFonts w:ascii="Arial" w:cs="Arial" w:eastAsia="Arial" w:hAnsi="Arial"/>
          <w:sz w:val="13"/>
          <w:szCs w:val="13"/>
          <w:color w:val="auto"/>
        </w:rPr>
        <w:t>. This centralized process will assist our Board in reviewing and responding to stockholder and interested party communications in an appropriate manner. The name of any specific intended Board recipient or recipients should be clearly noted in the communication (including whether the communication is intended only for our non-executive Chairman of the Board, Lead Independent Director or for the non-management directors as a group). Our Board of Directors has instructed our Secretary to forward such correspondence only to the intended recipients; however, our Board has also instructed our Secretary, prior to forwarding any correspondence, to review such correspondence and not to forward any items deemed to be of a purely commercial or frivolous nature (such as spam) or otherwise obviously inappropriate for the intended recipient’s consideration. In such cases, our Secretary may forward some of the correspondence elsewhere within our company for review and possible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1234440" cy="6858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34440" cy="6858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TRANSACTIONS WITH RELATED PERSONS</w:t>
      </w:r>
    </w:p>
    <w:p>
      <w:pPr>
        <w:spacing w:after="0" w:line="219"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Policies and Procedures for Approval of Related Person Transactions</w:t>
      </w:r>
    </w:p>
    <w:p>
      <w:pPr>
        <w:spacing w:after="0" w:line="257" w:lineRule="exact"/>
        <w:rPr>
          <w:sz w:val="20"/>
          <w:szCs w:val="20"/>
          <w:color w:val="auto"/>
        </w:rPr>
      </w:pPr>
    </w:p>
    <w:p>
      <w:pPr>
        <w:ind w:right="60"/>
        <w:spacing w:after="0" w:line="243" w:lineRule="auto"/>
        <w:rPr>
          <w:sz w:val="20"/>
          <w:szCs w:val="20"/>
          <w:color w:val="auto"/>
        </w:rPr>
      </w:pPr>
      <w:r>
        <w:rPr>
          <w:rFonts w:ascii="Arial" w:cs="Arial" w:eastAsia="Arial" w:hAnsi="Arial"/>
          <w:sz w:val="13"/>
          <w:szCs w:val="13"/>
          <w:color w:val="auto"/>
        </w:rPr>
        <w:t>Our Board of Directors has adopted a written Related Person Transactions Policy. The purpose of this policy is to describe the procedures used to identify, review, approve and disclose, if necessary, any transaction, arrangement or relationship (or any series of similar transactions, arrangements or relationships) in which: (i) we were, are or will be a participant; (ii) the aggregate amount involved exceeds or is expected to exceed $120,000 in any fiscal year; and (iii) a related person has or will have a direct or indirect material interest. For purposes of the policy, a related person is: (i) any person who is, or at any time since the beginning of our last fiscal year was, one of our directors or executive officers or a nominee to become a director; (ii) any person who is known to be the beneficial owner of more than 5% of our common stock; or (iii) any immediate family member of any of the foregoing persons.</w:t>
      </w:r>
    </w:p>
    <w:p>
      <w:pPr>
        <w:spacing w:after="0" w:line="202" w:lineRule="exact"/>
        <w:rPr>
          <w:sz w:val="20"/>
          <w:szCs w:val="20"/>
          <w:color w:val="auto"/>
        </w:rPr>
      </w:pPr>
    </w:p>
    <w:p>
      <w:pPr>
        <w:ind w:right="180"/>
        <w:spacing w:after="0" w:line="243" w:lineRule="auto"/>
        <w:rPr>
          <w:sz w:val="20"/>
          <w:szCs w:val="20"/>
          <w:color w:val="auto"/>
        </w:rPr>
      </w:pPr>
      <w:r>
        <w:rPr>
          <w:rFonts w:ascii="Arial" w:cs="Arial" w:eastAsia="Arial" w:hAnsi="Arial"/>
          <w:sz w:val="13"/>
          <w:szCs w:val="13"/>
          <w:color w:val="auto"/>
        </w:rPr>
        <w:t>Under the policy, once a related person transaction has been identified, the Audit Committee must review the transaction for approval or ratification. In determining whether to approve or ratify a related person transaction, the Audit Committee is to consider all relevant facts and circumstances of the related person transaction available to the Audit Committee. The Audit Committee may approve only those related person transactions that are in, or not inconsistent with, our best interests and the best interests of our stockholders, as the Audit Committee determines in good faith. No member of the Audit Committee will participate in any consideration of a related party transaction with respect to which that member or any member of his or her immediate family is a related person.</w:t>
      </w:r>
    </w:p>
    <w:p>
      <w:pPr>
        <w:spacing w:after="0" w:line="168"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Certain Transactions with Related Persons</w:t>
      </w:r>
    </w:p>
    <w:p>
      <w:pPr>
        <w:spacing w:after="0" w:line="257" w:lineRule="exact"/>
        <w:rPr>
          <w:sz w:val="20"/>
          <w:szCs w:val="20"/>
          <w:color w:val="auto"/>
        </w:rPr>
      </w:pPr>
    </w:p>
    <w:p>
      <w:pPr>
        <w:spacing w:after="0"/>
        <w:rPr>
          <w:sz w:val="20"/>
          <w:szCs w:val="20"/>
          <w:color w:val="auto"/>
        </w:rPr>
      </w:pPr>
      <w:r>
        <w:rPr>
          <w:rFonts w:ascii="Arial" w:cs="Arial" w:eastAsia="Arial" w:hAnsi="Arial"/>
          <w:sz w:val="13"/>
          <w:szCs w:val="13"/>
          <w:color w:val="auto"/>
        </w:rPr>
        <w:t>We have not participated in any transaction with a related person since the beginning of fiscal 2020.</w:t>
      </w:r>
    </w:p>
    <w:p>
      <w:pPr>
        <w:spacing w:after="0" w:line="184" w:lineRule="exact"/>
        <w:rPr>
          <w:sz w:val="20"/>
          <w:szCs w:val="20"/>
          <w:color w:val="auto"/>
        </w:rPr>
      </w:pPr>
    </w:p>
    <w:p>
      <w:pPr>
        <w:spacing w:after="0"/>
        <w:rPr>
          <w:sz w:val="20"/>
          <w:szCs w:val="20"/>
          <w:color w:val="auto"/>
        </w:rPr>
      </w:pPr>
      <w:r>
        <w:rPr>
          <w:rFonts w:ascii="Arial" w:cs="Arial" w:eastAsia="Arial" w:hAnsi="Arial"/>
          <w:sz w:val="31"/>
          <w:szCs w:val="31"/>
          <w:b w:val="1"/>
          <w:bCs w:val="1"/>
          <w:color w:val="567EA5"/>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1234440" cy="685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34440" cy="68580"/>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EXECUTIVE SUMMARY</w:t>
      </w:r>
    </w:p>
    <w:p>
      <w:pPr>
        <w:spacing w:after="0" w:line="252" w:lineRule="exact"/>
        <w:rPr>
          <w:sz w:val="20"/>
          <w:szCs w:val="20"/>
          <w:color w:val="auto"/>
        </w:rPr>
      </w:pPr>
    </w:p>
    <w:p>
      <w:pPr>
        <w:spacing w:after="0" w:line="245" w:lineRule="auto"/>
        <w:rPr>
          <w:sz w:val="20"/>
          <w:szCs w:val="20"/>
          <w:color w:val="auto"/>
        </w:rPr>
      </w:pPr>
      <w:r>
        <w:rPr>
          <w:rFonts w:ascii="Arial" w:cs="Arial" w:eastAsia="Arial" w:hAnsi="Arial"/>
          <w:sz w:val="13"/>
          <w:szCs w:val="13"/>
          <w:color w:val="auto"/>
        </w:rPr>
        <w:t>We believe that it is important to attract and retain exceptional and experienced directors who understand our business, and to offer compensation opportunities that further align the interests of our directors with those of our stockholders. Our Board of Directors works with the independent compensation consultant to the Compensation and Talent Committee to regularly assess the competitiveness and reasonableness of our directors’ compensation. To that end, we established a compensation program for fiscal 2020 for each of our non-employee directors that consisted of a combination of:</w:t>
      </w:r>
    </w:p>
    <w:p>
      <w:pPr>
        <w:spacing w:after="0" w:line="200" w:lineRule="exact"/>
        <w:rPr>
          <w:sz w:val="20"/>
          <w:szCs w:val="20"/>
          <w:color w:val="auto"/>
        </w:rPr>
      </w:pPr>
    </w:p>
    <w:p>
      <w:pPr>
        <w:ind w:left="240" w:hanging="232"/>
        <w:spacing w:after="0"/>
        <w:tabs>
          <w:tab w:leader="none" w:pos="240" w:val="left"/>
        </w:tabs>
        <w:numPr>
          <w:ilvl w:val="0"/>
          <w:numId w:val="119"/>
        </w:numPr>
        <w:rPr>
          <w:rFonts w:ascii="Arial" w:cs="Arial" w:eastAsia="Arial" w:hAnsi="Arial"/>
          <w:sz w:val="13"/>
          <w:szCs w:val="13"/>
          <w:color w:val="61C4AF"/>
        </w:rPr>
      </w:pPr>
      <w:r>
        <w:rPr>
          <w:rFonts w:ascii="Arial" w:cs="Arial" w:eastAsia="Arial" w:hAnsi="Arial"/>
          <w:sz w:val="13"/>
          <w:szCs w:val="13"/>
          <w:color w:val="auto"/>
        </w:rPr>
        <w:t>annual cash retainer fees; and</w:t>
      </w:r>
    </w:p>
    <w:p>
      <w:pPr>
        <w:spacing w:after="0" w:line="107" w:lineRule="exact"/>
        <w:rPr>
          <w:rFonts w:ascii="Arial" w:cs="Arial" w:eastAsia="Arial" w:hAnsi="Arial"/>
          <w:sz w:val="13"/>
          <w:szCs w:val="13"/>
          <w:color w:val="61C4AF"/>
        </w:rPr>
      </w:pPr>
    </w:p>
    <w:p>
      <w:pPr>
        <w:ind w:left="240" w:hanging="232"/>
        <w:spacing w:after="0"/>
        <w:tabs>
          <w:tab w:leader="none" w:pos="240" w:val="left"/>
        </w:tabs>
        <w:numPr>
          <w:ilvl w:val="0"/>
          <w:numId w:val="119"/>
        </w:numPr>
        <w:rPr>
          <w:rFonts w:ascii="Arial" w:cs="Arial" w:eastAsia="Arial" w:hAnsi="Arial"/>
          <w:sz w:val="13"/>
          <w:szCs w:val="13"/>
          <w:color w:val="61C4AF"/>
        </w:rPr>
      </w:pPr>
      <w:r>
        <w:rPr>
          <w:rFonts w:ascii="Arial" w:cs="Arial" w:eastAsia="Arial" w:hAnsi="Arial"/>
          <w:sz w:val="13"/>
          <w:szCs w:val="13"/>
          <w:color w:val="auto"/>
        </w:rPr>
        <w:t>equity incentive awards in the form of RSUs.</w:t>
      </w:r>
    </w:p>
    <w:p>
      <w:pPr>
        <w:spacing w:after="0" w:line="19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23628F"/>
        </w:rPr>
        <w:t>2020 PROXY STATEMENT</w:t>
      </w:r>
      <w:r>
        <w:rPr>
          <w:sz w:val="20"/>
          <w:szCs w:val="20"/>
          <w:color w:val="auto"/>
        </w:rPr>
        <w:tab/>
      </w:r>
      <w:r>
        <w:rPr>
          <w:rFonts w:ascii="Arial" w:cs="Arial" w:eastAsia="Arial" w:hAnsi="Arial"/>
          <w:sz w:val="16"/>
          <w:szCs w:val="16"/>
          <w:b w:val="1"/>
          <w:bCs w:val="1"/>
          <w:color w:val="23628F"/>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153275" cy="209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23628F"/>
        </w:rPr>
        <w:t>CORPORATE GOVERNANCE MATTERS</w:t>
      </w:r>
    </w:p>
    <w:p>
      <w:pPr>
        <w:spacing w:after="0" w:line="215" w:lineRule="exact"/>
        <w:rPr>
          <w:sz w:val="20"/>
          <w:szCs w:val="20"/>
          <w:color w:val="auto"/>
        </w:rPr>
      </w:pPr>
    </w:p>
    <w:p>
      <w:pPr>
        <w:ind w:right="180"/>
        <w:spacing w:after="0" w:line="258" w:lineRule="auto"/>
        <w:rPr>
          <w:sz w:val="20"/>
          <w:szCs w:val="20"/>
          <w:color w:val="auto"/>
        </w:rPr>
      </w:pPr>
      <w:r>
        <w:rPr>
          <w:rFonts w:ascii="Arial" w:cs="Arial" w:eastAsia="Arial" w:hAnsi="Arial"/>
          <w:sz w:val="13"/>
          <w:szCs w:val="13"/>
          <w:color w:val="auto"/>
        </w:rPr>
        <w:t>We also permit directors to participate in our Deferred Compensation Plan. Any director who is employed by us is not entitled to additional compensation under our director compensation program for serving as a director. Our director compensation program for fiscal 2020 is described in more detail in the tables and narrative that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797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23"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FFFFFF"/>
        </w:rPr>
        <w:t>Director Compensation Program Review Process</w:t>
      </w:r>
    </w:p>
    <w:p>
      <w:pPr>
        <w:spacing w:after="0" w:line="120" w:lineRule="exact"/>
        <w:rPr>
          <w:sz w:val="20"/>
          <w:szCs w:val="20"/>
          <w:color w:val="auto"/>
        </w:rPr>
      </w:pPr>
    </w:p>
    <w:tbl>
      <w:tblPr>
        <w:tblLayout w:type="fixed"/>
        <w:tblInd w:w="280" w:type="dxa"/>
        <w:tblCellMar>
          <w:top w:w="0" w:type="dxa"/>
          <w:left w:w="0" w:type="dxa"/>
          <w:bottom w:w="0" w:type="dxa"/>
          <w:right w:w="0" w:type="dxa"/>
        </w:tblCellMar>
      </w:tblPr>
      <w:tr>
        <w:trPr>
          <w:trHeight w:val="162"/>
        </w:trPr>
        <w:tc>
          <w:tcPr>
            <w:tcW w:w="360" w:type="dxa"/>
            <w:vAlign w:val="bottom"/>
            <w:vMerge w:val="restart"/>
          </w:tcPr>
          <w:p>
            <w:pPr>
              <w:jc w:val="right"/>
              <w:spacing w:after="0"/>
              <w:rPr>
                <w:sz w:val="20"/>
                <w:szCs w:val="20"/>
                <w:color w:val="auto"/>
              </w:rPr>
            </w:pPr>
            <w:r>
              <w:rPr>
                <w:rFonts w:ascii="Arial" w:cs="Arial" w:eastAsia="Arial" w:hAnsi="Arial"/>
                <w:sz w:val="25"/>
                <w:szCs w:val="25"/>
                <w:b w:val="1"/>
                <w:bCs w:val="1"/>
                <w:color w:val="61C4AF"/>
              </w:rPr>
              <w:t>1</w:t>
            </w:r>
          </w:p>
        </w:tc>
        <w:tc>
          <w:tcPr>
            <w:tcW w:w="2220" w:type="dxa"/>
            <w:vAlign w:val="bottom"/>
          </w:tcPr>
          <w:p>
            <w:pPr>
              <w:ind w:left="80"/>
              <w:spacing w:after="0"/>
              <w:rPr>
                <w:sz w:val="20"/>
                <w:szCs w:val="20"/>
                <w:color w:val="auto"/>
              </w:rPr>
            </w:pPr>
            <w:r>
              <w:rPr>
                <w:rFonts w:ascii="Arial" w:cs="Arial" w:eastAsia="Arial" w:hAnsi="Arial"/>
                <w:sz w:val="13"/>
                <w:szCs w:val="13"/>
                <w:b w:val="1"/>
                <w:bCs w:val="1"/>
                <w:color w:val="23628F"/>
              </w:rPr>
              <w:t>Periodic Review by</w:t>
            </w:r>
          </w:p>
        </w:tc>
        <w:tc>
          <w:tcPr>
            <w:tcW w:w="8380" w:type="dxa"/>
            <w:vAlign w:val="bottom"/>
          </w:tcPr>
          <w:p>
            <w:pPr>
              <w:ind w:left="300"/>
              <w:spacing w:after="0"/>
              <w:rPr>
                <w:sz w:val="20"/>
                <w:szCs w:val="20"/>
                <w:color w:val="auto"/>
              </w:rPr>
            </w:pPr>
            <w:r>
              <w:rPr>
                <w:rFonts w:ascii="Arial" w:cs="Arial" w:eastAsia="Arial" w:hAnsi="Arial"/>
                <w:sz w:val="13"/>
                <w:szCs w:val="13"/>
                <w:color w:val="auto"/>
              </w:rPr>
              <w:t>The Compensation and Talent Committee regularly reviews our non-employee director compensation and trends concerning director</w:t>
            </w:r>
          </w:p>
        </w:tc>
        <w:tc>
          <w:tcPr>
            <w:tcW w:w="0" w:type="dxa"/>
            <w:vAlign w:val="bottom"/>
          </w:tcPr>
          <w:p>
            <w:pPr>
              <w:spacing w:after="0"/>
              <w:rPr>
                <w:sz w:val="1"/>
                <w:szCs w:val="1"/>
                <w:color w:val="auto"/>
              </w:rPr>
            </w:pPr>
          </w:p>
        </w:tc>
      </w:tr>
      <w:tr>
        <w:trPr>
          <w:trHeight w:val="148"/>
        </w:trPr>
        <w:tc>
          <w:tcPr>
            <w:tcW w:w="360" w:type="dxa"/>
            <w:vAlign w:val="bottom"/>
            <w:vMerge w:val="continue"/>
          </w:tcPr>
          <w:p>
            <w:pPr>
              <w:spacing w:after="0"/>
              <w:rPr>
                <w:sz w:val="12"/>
                <w:szCs w:val="12"/>
                <w:color w:val="auto"/>
              </w:rPr>
            </w:pPr>
          </w:p>
        </w:tc>
        <w:tc>
          <w:tcPr>
            <w:tcW w:w="2220" w:type="dxa"/>
            <w:vAlign w:val="bottom"/>
          </w:tcPr>
          <w:p>
            <w:pPr>
              <w:ind w:left="80"/>
              <w:spacing w:after="0"/>
              <w:rPr>
                <w:sz w:val="20"/>
                <w:szCs w:val="20"/>
                <w:color w:val="auto"/>
              </w:rPr>
            </w:pPr>
            <w:r>
              <w:rPr>
                <w:rFonts w:ascii="Arial" w:cs="Arial" w:eastAsia="Arial" w:hAnsi="Arial"/>
                <w:sz w:val="13"/>
                <w:szCs w:val="13"/>
                <w:b w:val="1"/>
                <w:bCs w:val="1"/>
                <w:color w:val="23628F"/>
              </w:rPr>
              <w:t>Compensation and Talent</w:t>
            </w:r>
          </w:p>
        </w:tc>
        <w:tc>
          <w:tcPr>
            <w:tcW w:w="8380" w:type="dxa"/>
            <w:vAlign w:val="bottom"/>
          </w:tcPr>
          <w:p>
            <w:pPr>
              <w:ind w:left="300"/>
              <w:spacing w:after="0"/>
              <w:rPr>
                <w:sz w:val="20"/>
                <w:szCs w:val="20"/>
                <w:color w:val="auto"/>
              </w:rPr>
            </w:pPr>
            <w:r>
              <w:rPr>
                <w:rFonts w:ascii="Arial" w:cs="Arial" w:eastAsia="Arial" w:hAnsi="Arial"/>
                <w:sz w:val="13"/>
                <w:szCs w:val="13"/>
                <w:color w:val="auto"/>
              </w:rPr>
              <w:t>compensation.</w:t>
            </w:r>
          </w:p>
        </w:tc>
        <w:tc>
          <w:tcPr>
            <w:tcW w:w="0" w:type="dxa"/>
            <w:vAlign w:val="bottom"/>
          </w:tcPr>
          <w:p>
            <w:pPr>
              <w:spacing w:after="0"/>
              <w:rPr>
                <w:sz w:val="1"/>
                <w:szCs w:val="1"/>
                <w:color w:val="auto"/>
              </w:rPr>
            </w:pPr>
          </w:p>
        </w:tc>
      </w:tr>
      <w:tr>
        <w:trPr>
          <w:trHeight w:val="186"/>
        </w:trPr>
        <w:tc>
          <w:tcPr>
            <w:tcW w:w="360" w:type="dxa"/>
            <w:vAlign w:val="bottom"/>
            <w:tcBorders>
              <w:bottom w:val="single" w:sz="8" w:color="61C4AF"/>
            </w:tcBorders>
          </w:tcPr>
          <w:p>
            <w:pPr>
              <w:spacing w:after="0"/>
              <w:rPr>
                <w:sz w:val="16"/>
                <w:szCs w:val="16"/>
                <w:color w:val="auto"/>
              </w:rPr>
            </w:pPr>
          </w:p>
        </w:tc>
        <w:tc>
          <w:tcPr>
            <w:tcW w:w="2220" w:type="dxa"/>
            <w:vAlign w:val="bottom"/>
            <w:tcBorders>
              <w:bottom w:val="single" w:sz="8" w:color="61C4AF"/>
            </w:tcBorders>
          </w:tcPr>
          <w:p>
            <w:pPr>
              <w:ind w:left="80"/>
              <w:spacing w:after="0"/>
              <w:rPr>
                <w:sz w:val="20"/>
                <w:szCs w:val="20"/>
                <w:color w:val="auto"/>
              </w:rPr>
            </w:pPr>
            <w:r>
              <w:rPr>
                <w:rFonts w:ascii="Arial" w:cs="Arial" w:eastAsia="Arial" w:hAnsi="Arial"/>
                <w:sz w:val="13"/>
                <w:szCs w:val="13"/>
                <w:b w:val="1"/>
                <w:bCs w:val="1"/>
                <w:color w:val="23628F"/>
              </w:rPr>
              <w:t>Committee</w:t>
            </w:r>
          </w:p>
        </w:tc>
        <w:tc>
          <w:tcPr>
            <w:tcW w:w="8380" w:type="dxa"/>
            <w:vAlign w:val="bottom"/>
            <w:tcBorders>
              <w:bottom w:val="single" w:sz="8" w:color="61C4AF"/>
            </w:tcBorders>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360" w:type="dxa"/>
            <w:vAlign w:val="bottom"/>
            <w:vMerge w:val="restart"/>
          </w:tcPr>
          <w:p>
            <w:pPr>
              <w:jc w:val="right"/>
              <w:spacing w:after="0"/>
              <w:rPr>
                <w:sz w:val="20"/>
                <w:szCs w:val="20"/>
                <w:color w:val="auto"/>
              </w:rPr>
            </w:pPr>
            <w:r>
              <w:rPr>
                <w:rFonts w:ascii="Arial" w:cs="Arial" w:eastAsia="Arial" w:hAnsi="Arial"/>
                <w:sz w:val="25"/>
                <w:szCs w:val="25"/>
                <w:b w:val="1"/>
                <w:bCs w:val="1"/>
                <w:color w:val="61C4AF"/>
              </w:rPr>
              <w:t>2</w:t>
            </w:r>
          </w:p>
        </w:tc>
        <w:tc>
          <w:tcPr>
            <w:tcW w:w="2220" w:type="dxa"/>
            <w:vAlign w:val="bottom"/>
          </w:tcPr>
          <w:p>
            <w:pPr>
              <w:ind w:left="80"/>
              <w:spacing w:after="0"/>
              <w:rPr>
                <w:sz w:val="20"/>
                <w:szCs w:val="20"/>
                <w:color w:val="auto"/>
              </w:rPr>
            </w:pPr>
            <w:r>
              <w:rPr>
                <w:rFonts w:ascii="Arial" w:cs="Arial" w:eastAsia="Arial" w:hAnsi="Arial"/>
                <w:sz w:val="13"/>
                <w:szCs w:val="13"/>
                <w:b w:val="1"/>
                <w:bCs w:val="1"/>
                <w:color w:val="23628F"/>
              </w:rPr>
              <w:t>Evaluation by Compensation</w:t>
            </w:r>
          </w:p>
        </w:tc>
        <w:tc>
          <w:tcPr>
            <w:tcW w:w="8380" w:type="dxa"/>
            <w:vAlign w:val="bottom"/>
          </w:tcPr>
          <w:p>
            <w:pPr>
              <w:ind w:left="300"/>
              <w:spacing w:after="0"/>
              <w:rPr>
                <w:sz w:val="20"/>
                <w:szCs w:val="20"/>
                <w:color w:val="auto"/>
              </w:rPr>
            </w:pPr>
            <w:r>
              <w:rPr>
                <w:rFonts w:ascii="Arial" w:cs="Arial" w:eastAsia="Arial" w:hAnsi="Arial"/>
                <w:sz w:val="13"/>
                <w:szCs w:val="13"/>
                <w:color w:val="auto"/>
              </w:rPr>
              <w:t>The Compensation and Talent Committee’s independent compensation consultant periodically reviews and evaluates the</w:t>
            </w:r>
          </w:p>
        </w:tc>
        <w:tc>
          <w:tcPr>
            <w:tcW w:w="0" w:type="dxa"/>
            <w:vAlign w:val="bottom"/>
          </w:tcPr>
          <w:p>
            <w:pPr>
              <w:spacing w:after="0"/>
              <w:rPr>
                <w:sz w:val="1"/>
                <w:szCs w:val="1"/>
                <w:color w:val="auto"/>
              </w:rPr>
            </w:pPr>
          </w:p>
        </w:tc>
      </w:tr>
      <w:tr>
        <w:trPr>
          <w:trHeight w:val="164"/>
        </w:trPr>
        <w:tc>
          <w:tcPr>
            <w:tcW w:w="360" w:type="dxa"/>
            <w:vAlign w:val="bottom"/>
            <w:vMerge w:val="continue"/>
          </w:tcPr>
          <w:p>
            <w:pPr>
              <w:spacing w:after="0"/>
              <w:rPr>
                <w:sz w:val="14"/>
                <w:szCs w:val="14"/>
                <w:color w:val="auto"/>
              </w:rPr>
            </w:pPr>
          </w:p>
        </w:tc>
        <w:tc>
          <w:tcPr>
            <w:tcW w:w="2220" w:type="dxa"/>
            <w:vAlign w:val="bottom"/>
          </w:tcPr>
          <w:p>
            <w:pPr>
              <w:ind w:left="80"/>
              <w:spacing w:after="0"/>
              <w:rPr>
                <w:sz w:val="20"/>
                <w:szCs w:val="20"/>
                <w:color w:val="auto"/>
              </w:rPr>
            </w:pPr>
            <w:r>
              <w:rPr>
                <w:rFonts w:ascii="Arial" w:cs="Arial" w:eastAsia="Arial" w:hAnsi="Arial"/>
                <w:sz w:val="13"/>
                <w:szCs w:val="13"/>
                <w:b w:val="1"/>
                <w:bCs w:val="1"/>
                <w:color w:val="23628F"/>
              </w:rPr>
              <w:t>Consultant</w:t>
            </w:r>
          </w:p>
        </w:tc>
        <w:tc>
          <w:tcPr>
            <w:tcW w:w="8380" w:type="dxa"/>
            <w:vAlign w:val="bottom"/>
          </w:tcPr>
          <w:p>
            <w:pPr>
              <w:ind w:left="300"/>
              <w:spacing w:after="0"/>
              <w:rPr>
                <w:sz w:val="20"/>
                <w:szCs w:val="20"/>
                <w:color w:val="auto"/>
              </w:rPr>
            </w:pPr>
            <w:r>
              <w:rPr>
                <w:rFonts w:ascii="Arial" w:cs="Arial" w:eastAsia="Arial" w:hAnsi="Arial"/>
                <w:sz w:val="13"/>
                <w:szCs w:val="13"/>
                <w:color w:val="auto"/>
              </w:rPr>
              <w:t>competitiveness and reasonableness of our non-employee director compensation program in light of general trends and the 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-581660</wp:posOffset>
            </wp:positionV>
            <wp:extent cx="120015" cy="8058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0015" cy="805815"/>
                    </a:xfrm>
                    <a:prstGeom prst="rect">
                      <a:avLst/>
                    </a:prstGeom>
                    <a:noFill/>
                  </pic:spPr>
                </pic:pic>
              </a:graphicData>
            </a:graphic>
          </wp:anchor>
        </w:drawing>
      </w:r>
    </w:p>
    <w:p>
      <w:pPr>
        <w:ind w:left="3160" w:right="460"/>
        <w:spacing w:after="0" w:line="249" w:lineRule="auto"/>
        <w:rPr>
          <w:sz w:val="20"/>
          <w:szCs w:val="20"/>
          <w:color w:val="auto"/>
        </w:rPr>
      </w:pPr>
      <w:r>
        <w:rPr>
          <w:rFonts w:ascii="Arial" w:cs="Arial" w:eastAsia="Arial" w:hAnsi="Arial"/>
          <w:sz w:val="13"/>
          <w:szCs w:val="13"/>
          <w:color w:val="auto"/>
        </w:rPr>
        <w:t>compensation practices of our peer group companies identified in the section entitled “Executive Compensation—Compensation Discussion and Analysis.”</w:t>
      </w:r>
    </w:p>
    <w:p>
      <w:pPr>
        <w:spacing w:after="0" w:line="119" w:lineRule="exact"/>
        <w:rPr>
          <w:sz w:val="20"/>
          <w:szCs w:val="20"/>
          <w:color w:val="auto"/>
        </w:rPr>
      </w:pPr>
    </w:p>
    <w:p>
      <w:pPr>
        <w:ind w:left="3160" w:right="120" w:hanging="2738"/>
        <w:spacing w:after="0" w:line="248" w:lineRule="auto"/>
        <w:tabs>
          <w:tab w:leader="none" w:pos="717" w:val="left"/>
        </w:tabs>
        <w:numPr>
          <w:ilvl w:val="0"/>
          <w:numId w:val="120"/>
        </w:numPr>
        <w:rPr>
          <w:rFonts w:ascii="Arial" w:cs="Arial" w:eastAsia="Arial" w:hAnsi="Arial"/>
          <w:sz w:val="50"/>
          <w:szCs w:val="50"/>
          <w:b w:val="1"/>
          <w:bCs w:val="1"/>
          <w:color w:val="61C4AF"/>
          <w:vertAlign w:val="subscript"/>
        </w:rPr>
      </w:pPr>
      <w:r>
        <w:rPr>
          <w:rFonts w:ascii="Arial" w:cs="Arial" w:eastAsia="Arial" w:hAnsi="Arial"/>
          <w:sz w:val="13"/>
          <w:szCs w:val="13"/>
          <w:b w:val="1"/>
          <w:bCs w:val="1"/>
          <w:color w:val="23628F"/>
        </w:rPr>
        <w:t>Recommendation to Full Board</w:t>
      </w:r>
      <w:r>
        <w:rPr>
          <w:rFonts w:ascii="Arial" w:cs="Arial" w:eastAsia="Arial" w:hAnsi="Arial"/>
          <w:sz w:val="13"/>
          <w:szCs w:val="13"/>
          <w:color w:val="auto"/>
        </w:rPr>
        <w:t>After receiving input from the independent compensation consultant, the Compensation and Talent Committee makes recommendations to the full Board regarding any changes in our nonemployee director compensation program that the Compensation and Talent Committee determines are advisable.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-360045</wp:posOffset>
            </wp:positionV>
            <wp:extent cx="7089140" cy="3943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089140" cy="39433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-360045</wp:posOffset>
            </wp:positionV>
            <wp:extent cx="7089140" cy="3943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089140" cy="394335"/>
                    </a:xfrm>
                    <a:prstGeom prst="rect">
                      <a:avLst/>
                    </a:prstGeom>
                    <a:noFill/>
                  </pic:spPr>
                </pic:pic>
              </a:graphicData>
            </a:graphic>
          </wp:anchor>
        </w:drawing>
      </w:r>
    </w:p>
    <w:p>
      <w:pPr>
        <w:spacing w:after="0" w:line="97" w:lineRule="exact"/>
        <w:rPr>
          <w:sz w:val="20"/>
          <w:szCs w:val="20"/>
          <w:color w:val="auto"/>
        </w:rPr>
      </w:pPr>
    </w:p>
    <w:tbl>
      <w:tblPr>
        <w:tblLayout w:type="fixed"/>
        <w:tblInd w:w="420" w:type="dxa"/>
        <w:tblCellMar>
          <w:top w:w="0" w:type="dxa"/>
          <w:left w:w="0" w:type="dxa"/>
          <w:bottom w:w="0" w:type="dxa"/>
          <w:right w:w="0" w:type="dxa"/>
        </w:tblCellMar>
      </w:tblPr>
      <w:tr>
        <w:trPr>
          <w:trHeight w:val="178"/>
        </w:trPr>
        <w:tc>
          <w:tcPr>
            <w:tcW w:w="220" w:type="dxa"/>
            <w:vAlign w:val="bottom"/>
            <w:vMerge w:val="restart"/>
          </w:tcPr>
          <w:p>
            <w:pPr>
              <w:jc w:val="right"/>
              <w:spacing w:after="0"/>
              <w:rPr>
                <w:sz w:val="20"/>
                <w:szCs w:val="20"/>
                <w:color w:val="auto"/>
              </w:rPr>
            </w:pPr>
            <w:r>
              <w:rPr>
                <w:rFonts w:ascii="Arial" w:cs="Arial" w:eastAsia="Arial" w:hAnsi="Arial"/>
                <w:sz w:val="25"/>
                <w:szCs w:val="25"/>
                <w:b w:val="1"/>
                <w:bCs w:val="1"/>
                <w:color w:val="61C4AF"/>
                <w:w w:val="85"/>
              </w:rPr>
              <w:t>4</w:t>
            </w:r>
          </w:p>
        </w:tc>
        <w:tc>
          <w:tcPr>
            <w:tcW w:w="1620" w:type="dxa"/>
            <w:vAlign w:val="bottom"/>
          </w:tcPr>
          <w:p>
            <w:pPr>
              <w:ind w:left="80"/>
              <w:spacing w:after="0"/>
              <w:rPr>
                <w:sz w:val="20"/>
                <w:szCs w:val="20"/>
                <w:color w:val="auto"/>
              </w:rPr>
            </w:pPr>
            <w:r>
              <w:rPr>
                <w:rFonts w:ascii="Arial" w:cs="Arial" w:eastAsia="Arial" w:hAnsi="Arial"/>
                <w:sz w:val="13"/>
                <w:szCs w:val="13"/>
                <w:b w:val="1"/>
                <w:bCs w:val="1"/>
                <w:color w:val="23628F"/>
              </w:rPr>
              <w:t>Outcomes</w:t>
            </w:r>
          </w:p>
        </w:tc>
        <w:tc>
          <w:tcPr>
            <w:tcW w:w="8720" w:type="dxa"/>
            <w:vAlign w:val="bottom"/>
          </w:tcPr>
          <w:p>
            <w:pPr>
              <w:ind w:left="900"/>
              <w:spacing w:after="0"/>
              <w:rPr>
                <w:sz w:val="20"/>
                <w:szCs w:val="20"/>
                <w:color w:val="auto"/>
              </w:rPr>
            </w:pPr>
            <w:r>
              <w:rPr>
                <w:rFonts w:ascii="Arial" w:cs="Arial" w:eastAsia="Arial" w:hAnsi="Arial"/>
                <w:sz w:val="13"/>
                <w:szCs w:val="13"/>
                <w:color w:val="auto"/>
              </w:rPr>
              <w:t>After reviewing this input, our Board determines whether any changes should be made to our non-employee director compensation</w:t>
            </w:r>
          </w:p>
        </w:tc>
        <w:tc>
          <w:tcPr>
            <w:tcW w:w="0" w:type="dxa"/>
            <w:vAlign w:val="bottom"/>
          </w:tcPr>
          <w:p>
            <w:pPr>
              <w:spacing w:after="0"/>
              <w:rPr>
                <w:sz w:val="1"/>
                <w:szCs w:val="1"/>
                <w:color w:val="auto"/>
              </w:rPr>
            </w:pPr>
          </w:p>
        </w:tc>
      </w:tr>
      <w:tr>
        <w:trPr>
          <w:trHeight w:val="149"/>
        </w:trPr>
        <w:tc>
          <w:tcPr>
            <w:tcW w:w="220" w:type="dxa"/>
            <w:vAlign w:val="bottom"/>
            <w:vMerge w:val="continue"/>
          </w:tcPr>
          <w:p>
            <w:pPr>
              <w:spacing w:after="0"/>
              <w:rPr>
                <w:sz w:val="12"/>
                <w:szCs w:val="12"/>
                <w:color w:val="auto"/>
              </w:rPr>
            </w:pPr>
          </w:p>
        </w:tc>
        <w:tc>
          <w:tcPr>
            <w:tcW w:w="1620" w:type="dxa"/>
            <w:vAlign w:val="bottom"/>
          </w:tcPr>
          <w:p>
            <w:pPr>
              <w:spacing w:after="0"/>
              <w:rPr>
                <w:sz w:val="12"/>
                <w:szCs w:val="12"/>
                <w:color w:val="auto"/>
              </w:rPr>
            </w:pPr>
          </w:p>
        </w:tc>
        <w:tc>
          <w:tcPr>
            <w:tcW w:w="8720" w:type="dxa"/>
            <w:vAlign w:val="bottom"/>
          </w:tcPr>
          <w:p>
            <w:pPr>
              <w:ind w:left="900"/>
              <w:spacing w:after="0"/>
              <w:rPr>
                <w:sz w:val="20"/>
                <w:szCs w:val="20"/>
                <w:color w:val="auto"/>
              </w:rPr>
            </w:pPr>
            <w:r>
              <w:rPr>
                <w:rFonts w:ascii="Arial" w:cs="Arial" w:eastAsia="Arial" w:hAnsi="Arial"/>
                <w:sz w:val="13"/>
                <w:szCs w:val="13"/>
                <w:color w:val="auto"/>
              </w:rPr>
              <w:t>program. No changes were made to our non-employee director compensation program for fiscal 2020, except providing the 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-204470</wp:posOffset>
            </wp:positionV>
            <wp:extent cx="120015" cy="1200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jc w:val="center"/>
        <w:ind w:right="300"/>
        <w:spacing w:after="0"/>
        <w:rPr>
          <w:sz w:val="20"/>
          <w:szCs w:val="20"/>
          <w:color w:val="auto"/>
        </w:rPr>
      </w:pPr>
      <w:r>
        <w:rPr>
          <w:rFonts w:ascii="Arial" w:cs="Arial" w:eastAsia="Arial" w:hAnsi="Arial"/>
          <w:sz w:val="13"/>
          <w:szCs w:val="13"/>
          <w:color w:val="auto"/>
        </w:rPr>
        <w:t>retainer fees discussed below to the members of the CEO Search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1234440" cy="685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34440" cy="68580"/>
                    </a:xfrm>
                    <a:prstGeom prst="rect">
                      <a:avLst/>
                    </a:prstGeom>
                    <a:noFill/>
                  </pic:spPr>
                </pic:pic>
              </a:graphicData>
            </a:graphic>
          </wp:anchor>
        </w:drawing>
      </w:r>
    </w:p>
    <w:p>
      <w:pPr>
        <w:spacing w:after="0" w:line="387"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FISCAL 2020 DIRECTOR COMPENSATION PROGRAM</w:t>
      </w:r>
    </w:p>
    <w:p>
      <w:pPr>
        <w:spacing w:after="0" w:line="252" w:lineRule="exact"/>
        <w:rPr>
          <w:sz w:val="20"/>
          <w:szCs w:val="20"/>
          <w:color w:val="auto"/>
        </w:rPr>
      </w:pPr>
    </w:p>
    <w:p>
      <w:pPr>
        <w:spacing w:after="0"/>
        <w:rPr>
          <w:sz w:val="20"/>
          <w:szCs w:val="20"/>
          <w:color w:val="auto"/>
        </w:rPr>
      </w:pPr>
      <w:r>
        <w:rPr>
          <w:rFonts w:ascii="Arial" w:cs="Arial" w:eastAsia="Arial" w:hAnsi="Arial"/>
          <w:sz w:val="13"/>
          <w:szCs w:val="13"/>
          <w:color w:val="auto"/>
        </w:rPr>
        <w:t>The following section describes the elements and other features of our director compensation program for fiscal 2020 for non-employee directors.</w:t>
      </w:r>
    </w:p>
    <w:p>
      <w:pPr>
        <w:spacing w:after="0" w:line="182"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Non-Employee Director Cash Retainer Fees</w:t>
      </w:r>
    </w:p>
    <w:p>
      <w:pPr>
        <w:spacing w:after="0" w:line="257" w:lineRule="exact"/>
        <w:rPr>
          <w:sz w:val="20"/>
          <w:szCs w:val="20"/>
          <w:color w:val="auto"/>
        </w:rPr>
      </w:pPr>
    </w:p>
    <w:p>
      <w:pPr>
        <w:ind w:right="140"/>
        <w:spacing w:after="0" w:line="258" w:lineRule="auto"/>
        <w:rPr>
          <w:sz w:val="20"/>
          <w:szCs w:val="20"/>
          <w:color w:val="auto"/>
        </w:rPr>
      </w:pPr>
      <w:r>
        <w:rPr>
          <w:rFonts w:ascii="Arial" w:cs="Arial" w:eastAsia="Arial" w:hAnsi="Arial"/>
          <w:sz w:val="13"/>
          <w:szCs w:val="13"/>
          <w:color w:val="auto"/>
        </w:rPr>
        <w:t>Other than the CEO Search Committee retainers, which were paid in a single lump sum, cash retainer fees are paid to our non-employee directors based on Board and committee service from annual meeting to annual meeting and are paid in a lump sum immediately following the annual meeting marking the start of the year.</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sets forth the schedule of the annual cash retainer and committee membership fees for non-employee directors for fiscal 2020.</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0" w:type="dxa"/>
            <w:vAlign w:val="bottom"/>
          </w:tcPr>
          <w:p>
            <w:pPr>
              <w:spacing w:after="0"/>
              <w:rPr>
                <w:sz w:val="12"/>
                <w:szCs w:val="12"/>
                <w:color w:val="auto"/>
              </w:rPr>
            </w:pPr>
          </w:p>
        </w:tc>
        <w:tc>
          <w:tcPr>
            <w:tcW w:w="10100" w:type="dxa"/>
            <w:vAlign w:val="bottom"/>
            <w:tcBorders>
              <w:right w:val="single" w:sz="8" w:color="auto"/>
            </w:tcBorders>
          </w:tcPr>
          <w:p>
            <w:pPr>
              <w:spacing w:after="0"/>
              <w:rPr>
                <w:sz w:val="12"/>
                <w:szCs w:val="12"/>
                <w:color w:val="auto"/>
              </w:rPr>
            </w:pPr>
          </w:p>
        </w:tc>
        <w:tc>
          <w:tcPr>
            <w:tcW w:w="880" w:type="dxa"/>
            <w:vAlign w:val="bottom"/>
          </w:tcPr>
          <w:p>
            <w:pPr>
              <w:jc w:val="right"/>
              <w:ind w:right="13"/>
              <w:spacing w:after="0"/>
              <w:rPr>
                <w:sz w:val="20"/>
                <w:szCs w:val="20"/>
                <w:color w:val="auto"/>
              </w:rPr>
            </w:pPr>
            <w:r>
              <w:rPr>
                <w:rFonts w:ascii="Arial" w:cs="Arial" w:eastAsia="Arial" w:hAnsi="Arial"/>
                <w:sz w:val="13"/>
                <w:szCs w:val="13"/>
                <w:b w:val="1"/>
                <w:bCs w:val="1"/>
                <w:color w:val="auto"/>
              </w:rPr>
              <w:t>Current</w:t>
            </w:r>
          </w:p>
        </w:tc>
        <w:tc>
          <w:tcPr>
            <w:tcW w:w="20" w:type="dxa"/>
            <w:vAlign w:val="bottom"/>
          </w:tcPr>
          <w:p>
            <w:pPr>
              <w:spacing w:after="0"/>
              <w:rPr>
                <w:sz w:val="12"/>
                <w:szCs w:val="12"/>
                <w:color w:val="auto"/>
              </w:rPr>
            </w:pPr>
          </w:p>
        </w:tc>
      </w:tr>
      <w:tr>
        <w:trPr>
          <w:trHeight w:val="149"/>
        </w:trPr>
        <w:tc>
          <w:tcPr>
            <w:tcW w:w="260" w:type="dxa"/>
            <w:vAlign w:val="bottom"/>
          </w:tcPr>
          <w:p>
            <w:pPr>
              <w:spacing w:after="0"/>
              <w:rPr>
                <w:sz w:val="12"/>
                <w:szCs w:val="12"/>
                <w:color w:val="auto"/>
              </w:rPr>
            </w:pPr>
          </w:p>
        </w:tc>
        <w:tc>
          <w:tcPr>
            <w:tcW w:w="10100" w:type="dxa"/>
            <w:vAlign w:val="bottom"/>
            <w:tcBorders>
              <w:right w:val="single" w:sz="8" w:color="auto"/>
            </w:tcBorders>
          </w:tcPr>
          <w:p>
            <w:pPr>
              <w:spacing w:after="0"/>
              <w:rPr>
                <w:sz w:val="12"/>
                <w:szCs w:val="12"/>
                <w:color w:val="auto"/>
              </w:rPr>
            </w:pPr>
          </w:p>
        </w:tc>
        <w:tc>
          <w:tcPr>
            <w:tcW w:w="880" w:type="dxa"/>
            <w:vAlign w:val="bottom"/>
          </w:tcPr>
          <w:p>
            <w:pPr>
              <w:jc w:val="right"/>
              <w:ind w:right="13"/>
              <w:spacing w:after="0"/>
              <w:rPr>
                <w:sz w:val="20"/>
                <w:szCs w:val="20"/>
                <w:color w:val="auto"/>
              </w:rPr>
            </w:pPr>
            <w:r>
              <w:rPr>
                <w:rFonts w:ascii="Arial" w:cs="Arial" w:eastAsia="Arial" w:hAnsi="Arial"/>
                <w:sz w:val="13"/>
                <w:szCs w:val="13"/>
                <w:b w:val="1"/>
                <w:bCs w:val="1"/>
                <w:color w:val="auto"/>
              </w:rPr>
              <w:t>Annual Fee</w:t>
            </w:r>
          </w:p>
        </w:tc>
        <w:tc>
          <w:tcPr>
            <w:tcW w:w="20" w:type="dxa"/>
            <w:vAlign w:val="bottom"/>
          </w:tcPr>
          <w:p>
            <w:pPr>
              <w:spacing w:after="0"/>
              <w:rPr>
                <w:sz w:val="12"/>
                <w:szCs w:val="12"/>
                <w:color w:val="auto"/>
              </w:rPr>
            </w:pPr>
          </w:p>
        </w:tc>
      </w:tr>
      <w:tr>
        <w:trPr>
          <w:trHeight w:val="186"/>
        </w:trPr>
        <w:tc>
          <w:tcPr>
            <w:tcW w:w="1036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Type of Fee</w:t>
            </w: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6"/>
                <w:szCs w:val="16"/>
                <w:color w:val="auto"/>
              </w:rPr>
            </w:pPr>
          </w:p>
        </w:tc>
      </w:tr>
      <w:tr>
        <w:trPr>
          <w:trHeight w:val="202"/>
        </w:trPr>
        <w:tc>
          <w:tcPr>
            <w:tcW w:w="10360" w:type="dxa"/>
            <w:vAlign w:val="bottom"/>
            <w:gridSpan w:val="2"/>
          </w:tcPr>
          <w:p>
            <w:pPr>
              <w:ind w:left="80"/>
              <w:spacing w:after="0"/>
              <w:rPr>
                <w:sz w:val="20"/>
                <w:szCs w:val="20"/>
                <w:color w:val="auto"/>
              </w:rPr>
            </w:pPr>
            <w:r>
              <w:rPr>
                <w:rFonts w:ascii="Arial" w:cs="Arial" w:eastAsia="Arial" w:hAnsi="Arial"/>
                <w:sz w:val="13"/>
                <w:szCs w:val="13"/>
                <w:color w:val="auto"/>
              </w:rPr>
              <w:t>Annual Cash Retainer</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75,000</w:t>
            </w:r>
          </w:p>
        </w:tc>
        <w:tc>
          <w:tcPr>
            <w:tcW w:w="20" w:type="dxa"/>
            <w:vAlign w:val="bottom"/>
          </w:tcPr>
          <w:p>
            <w:pPr>
              <w:spacing w:after="0"/>
              <w:rPr>
                <w:sz w:val="17"/>
                <w:szCs w:val="17"/>
                <w:color w:val="auto"/>
              </w:rPr>
            </w:pPr>
          </w:p>
        </w:tc>
      </w:tr>
      <w:tr>
        <w:trPr>
          <w:trHeight w:val="41"/>
        </w:trPr>
        <w:tc>
          <w:tcPr>
            <w:tcW w:w="10360" w:type="dxa"/>
            <w:vAlign w:val="bottom"/>
            <w:tcBorders>
              <w:bottom w:val="single" w:sz="8" w:color="959595"/>
            </w:tcBorders>
            <w:gridSpan w:val="2"/>
          </w:tcPr>
          <w:p>
            <w:pPr>
              <w:spacing w:after="0"/>
              <w:rPr>
                <w:sz w:val="3"/>
                <w:szCs w:val="3"/>
                <w:color w:val="auto"/>
              </w:rPr>
            </w:pPr>
          </w:p>
        </w:tc>
        <w:tc>
          <w:tcPr>
            <w:tcW w:w="880" w:type="dxa"/>
            <w:vAlign w:val="bottom"/>
            <w:tcBorders>
              <w:bottom w:val="single" w:sz="8" w:color="959595"/>
            </w:tcBorders>
          </w:tcPr>
          <w:p>
            <w:pPr>
              <w:spacing w:after="0"/>
              <w:rPr>
                <w:sz w:val="3"/>
                <w:szCs w:val="3"/>
                <w:color w:val="auto"/>
              </w:rPr>
            </w:pPr>
          </w:p>
        </w:tc>
        <w:tc>
          <w:tcPr>
            <w:tcW w:w="20" w:type="dxa"/>
            <w:vAlign w:val="bottom"/>
          </w:tcPr>
          <w:p>
            <w:pPr>
              <w:spacing w:after="0"/>
              <w:rPr>
                <w:sz w:val="3"/>
                <w:szCs w:val="3"/>
                <w:color w:val="auto"/>
              </w:rPr>
            </w:pPr>
          </w:p>
        </w:tc>
      </w:tr>
      <w:tr>
        <w:trPr>
          <w:trHeight w:val="196"/>
        </w:trPr>
        <w:tc>
          <w:tcPr>
            <w:tcW w:w="10360" w:type="dxa"/>
            <w:vAlign w:val="bottom"/>
            <w:gridSpan w:val="2"/>
          </w:tcPr>
          <w:p>
            <w:pPr>
              <w:ind w:left="80"/>
              <w:spacing w:after="0"/>
              <w:rPr>
                <w:sz w:val="20"/>
                <w:szCs w:val="20"/>
                <w:color w:val="auto"/>
              </w:rPr>
            </w:pPr>
            <w:r>
              <w:rPr>
                <w:rFonts w:ascii="Arial" w:cs="Arial" w:eastAsia="Arial" w:hAnsi="Arial"/>
                <w:sz w:val="13"/>
                <w:szCs w:val="13"/>
                <w:color w:val="auto"/>
              </w:rPr>
              <w:t>Additional Non-Executive Chairman of the Board Cash Retainer</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100,000</w:t>
            </w:r>
          </w:p>
        </w:tc>
        <w:tc>
          <w:tcPr>
            <w:tcW w:w="20" w:type="dxa"/>
            <w:vAlign w:val="bottom"/>
          </w:tcPr>
          <w:p>
            <w:pPr>
              <w:spacing w:after="0"/>
              <w:rPr>
                <w:sz w:val="17"/>
                <w:szCs w:val="17"/>
                <w:color w:val="auto"/>
              </w:rPr>
            </w:pPr>
          </w:p>
        </w:tc>
      </w:tr>
      <w:tr>
        <w:trPr>
          <w:trHeight w:val="41"/>
        </w:trPr>
        <w:tc>
          <w:tcPr>
            <w:tcW w:w="10360" w:type="dxa"/>
            <w:vAlign w:val="bottom"/>
            <w:tcBorders>
              <w:bottom w:val="single" w:sz="8" w:color="959595"/>
            </w:tcBorders>
            <w:gridSpan w:val="2"/>
          </w:tcPr>
          <w:p>
            <w:pPr>
              <w:spacing w:after="0"/>
              <w:rPr>
                <w:sz w:val="3"/>
                <w:szCs w:val="3"/>
                <w:color w:val="auto"/>
              </w:rPr>
            </w:pPr>
          </w:p>
        </w:tc>
        <w:tc>
          <w:tcPr>
            <w:tcW w:w="880" w:type="dxa"/>
            <w:vAlign w:val="bottom"/>
            <w:tcBorders>
              <w:bottom w:val="single" w:sz="8" w:color="959595"/>
            </w:tcBorders>
          </w:tcPr>
          <w:p>
            <w:pPr>
              <w:spacing w:after="0"/>
              <w:rPr>
                <w:sz w:val="3"/>
                <w:szCs w:val="3"/>
                <w:color w:val="auto"/>
              </w:rPr>
            </w:pPr>
          </w:p>
        </w:tc>
        <w:tc>
          <w:tcPr>
            <w:tcW w:w="20" w:type="dxa"/>
            <w:vAlign w:val="bottom"/>
          </w:tcPr>
          <w:p>
            <w:pPr>
              <w:spacing w:after="0"/>
              <w:rPr>
                <w:sz w:val="3"/>
                <w:szCs w:val="3"/>
                <w:color w:val="auto"/>
              </w:rPr>
            </w:pPr>
          </w:p>
        </w:tc>
      </w:tr>
      <w:tr>
        <w:trPr>
          <w:trHeight w:val="195"/>
        </w:trPr>
        <w:tc>
          <w:tcPr>
            <w:tcW w:w="10360" w:type="dxa"/>
            <w:vAlign w:val="bottom"/>
            <w:gridSpan w:val="2"/>
          </w:tcPr>
          <w:p>
            <w:pPr>
              <w:ind w:left="80"/>
              <w:spacing w:after="0"/>
              <w:rPr>
                <w:sz w:val="20"/>
                <w:szCs w:val="20"/>
                <w:color w:val="auto"/>
              </w:rPr>
            </w:pPr>
            <w:r>
              <w:rPr>
                <w:rFonts w:ascii="Arial" w:cs="Arial" w:eastAsia="Arial" w:hAnsi="Arial"/>
                <w:sz w:val="13"/>
                <w:szCs w:val="13"/>
                <w:color w:val="auto"/>
              </w:rPr>
              <w:t>Additional Committee Member Cash Retainers</w:t>
            </w: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
        </w:trPr>
        <w:tc>
          <w:tcPr>
            <w:tcW w:w="260" w:type="dxa"/>
            <w:vAlign w:val="bottom"/>
            <w:tcBorders>
              <w:bottom w:val="single" w:sz="8" w:color="959595"/>
            </w:tcBorders>
          </w:tcPr>
          <w:p>
            <w:pPr>
              <w:spacing w:after="0"/>
              <w:rPr>
                <w:sz w:val="3"/>
                <w:szCs w:val="3"/>
                <w:color w:val="auto"/>
              </w:rPr>
            </w:pPr>
          </w:p>
        </w:tc>
        <w:tc>
          <w:tcPr>
            <w:tcW w:w="10100" w:type="dxa"/>
            <w:vAlign w:val="bottom"/>
            <w:tcBorders>
              <w:bottom w:val="single" w:sz="8" w:color="959595"/>
            </w:tcBorders>
          </w:tcPr>
          <w:p>
            <w:pPr>
              <w:spacing w:after="0"/>
              <w:rPr>
                <w:sz w:val="3"/>
                <w:szCs w:val="3"/>
                <w:color w:val="auto"/>
              </w:rPr>
            </w:pPr>
          </w:p>
        </w:tc>
        <w:tc>
          <w:tcPr>
            <w:tcW w:w="880" w:type="dxa"/>
            <w:vAlign w:val="bottom"/>
            <w:tcBorders>
              <w:bottom w:val="single" w:sz="8" w:color="959595"/>
            </w:tcBorders>
          </w:tcPr>
          <w:p>
            <w:pPr>
              <w:spacing w:after="0"/>
              <w:rPr>
                <w:sz w:val="3"/>
                <w:szCs w:val="3"/>
                <w:color w:val="auto"/>
              </w:rPr>
            </w:pPr>
          </w:p>
        </w:tc>
        <w:tc>
          <w:tcPr>
            <w:tcW w:w="20" w:type="dxa"/>
            <w:vAlign w:val="bottom"/>
          </w:tcPr>
          <w:p>
            <w:pPr>
              <w:spacing w:after="0"/>
              <w:rPr>
                <w:sz w:val="3"/>
                <w:szCs w:val="3"/>
                <w:color w:val="auto"/>
              </w:rPr>
            </w:pPr>
          </w:p>
        </w:tc>
      </w:tr>
      <w:tr>
        <w:trPr>
          <w:trHeight w:val="196"/>
        </w:trPr>
        <w:tc>
          <w:tcPr>
            <w:tcW w:w="260" w:type="dxa"/>
            <w:vAlign w:val="bottom"/>
          </w:tcPr>
          <w:p>
            <w:pPr>
              <w:spacing w:after="0"/>
              <w:rPr>
                <w:sz w:val="17"/>
                <w:szCs w:val="17"/>
                <w:color w:val="auto"/>
              </w:rPr>
            </w:pPr>
          </w:p>
        </w:tc>
        <w:tc>
          <w:tcPr>
            <w:tcW w:w="10100" w:type="dxa"/>
            <w:vAlign w:val="bottom"/>
          </w:tcPr>
          <w:p>
            <w:pPr>
              <w:ind w:left="80"/>
              <w:spacing w:after="0"/>
              <w:rPr>
                <w:sz w:val="20"/>
                <w:szCs w:val="20"/>
                <w:color w:val="auto"/>
              </w:rPr>
            </w:pPr>
            <w:r>
              <w:rPr>
                <w:rFonts w:ascii="Arial" w:cs="Arial" w:eastAsia="Arial" w:hAnsi="Arial"/>
                <w:sz w:val="13"/>
                <w:szCs w:val="13"/>
                <w:color w:val="auto"/>
              </w:rPr>
              <w:t>Audit Committee</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15,000</w:t>
            </w:r>
          </w:p>
        </w:tc>
        <w:tc>
          <w:tcPr>
            <w:tcW w:w="20" w:type="dxa"/>
            <w:vAlign w:val="bottom"/>
          </w:tcPr>
          <w:p>
            <w:pPr>
              <w:spacing w:after="0"/>
              <w:rPr>
                <w:sz w:val="17"/>
                <w:szCs w:val="17"/>
                <w:color w:val="auto"/>
              </w:rPr>
            </w:pPr>
          </w:p>
        </w:tc>
      </w:tr>
      <w:tr>
        <w:trPr>
          <w:trHeight w:val="41"/>
        </w:trPr>
        <w:tc>
          <w:tcPr>
            <w:tcW w:w="260" w:type="dxa"/>
            <w:vAlign w:val="bottom"/>
            <w:tcBorders>
              <w:bottom w:val="single" w:sz="8" w:color="959595"/>
            </w:tcBorders>
          </w:tcPr>
          <w:p>
            <w:pPr>
              <w:spacing w:after="0"/>
              <w:rPr>
                <w:sz w:val="3"/>
                <w:szCs w:val="3"/>
                <w:color w:val="auto"/>
              </w:rPr>
            </w:pPr>
          </w:p>
        </w:tc>
        <w:tc>
          <w:tcPr>
            <w:tcW w:w="10100" w:type="dxa"/>
            <w:vAlign w:val="bottom"/>
            <w:tcBorders>
              <w:bottom w:val="single" w:sz="8" w:color="959595"/>
            </w:tcBorders>
          </w:tcPr>
          <w:p>
            <w:pPr>
              <w:spacing w:after="0"/>
              <w:rPr>
                <w:sz w:val="3"/>
                <w:szCs w:val="3"/>
                <w:color w:val="auto"/>
              </w:rPr>
            </w:pPr>
          </w:p>
        </w:tc>
        <w:tc>
          <w:tcPr>
            <w:tcW w:w="880" w:type="dxa"/>
            <w:vAlign w:val="bottom"/>
            <w:tcBorders>
              <w:bottom w:val="single" w:sz="8" w:color="959595"/>
            </w:tcBorders>
          </w:tcPr>
          <w:p>
            <w:pPr>
              <w:spacing w:after="0"/>
              <w:rPr>
                <w:sz w:val="3"/>
                <w:szCs w:val="3"/>
                <w:color w:val="auto"/>
              </w:rPr>
            </w:pPr>
          </w:p>
        </w:tc>
        <w:tc>
          <w:tcPr>
            <w:tcW w:w="20" w:type="dxa"/>
            <w:vAlign w:val="bottom"/>
          </w:tcPr>
          <w:p>
            <w:pPr>
              <w:spacing w:after="0"/>
              <w:rPr>
                <w:sz w:val="3"/>
                <w:szCs w:val="3"/>
                <w:color w:val="auto"/>
              </w:rPr>
            </w:pPr>
          </w:p>
        </w:tc>
      </w:tr>
      <w:tr>
        <w:trPr>
          <w:trHeight w:val="195"/>
        </w:trPr>
        <w:tc>
          <w:tcPr>
            <w:tcW w:w="260" w:type="dxa"/>
            <w:vAlign w:val="bottom"/>
          </w:tcPr>
          <w:p>
            <w:pPr>
              <w:spacing w:after="0"/>
              <w:rPr>
                <w:sz w:val="17"/>
                <w:szCs w:val="17"/>
                <w:color w:val="auto"/>
              </w:rPr>
            </w:pPr>
          </w:p>
        </w:tc>
        <w:tc>
          <w:tcPr>
            <w:tcW w:w="10100" w:type="dxa"/>
            <w:vAlign w:val="bottom"/>
          </w:tcPr>
          <w:p>
            <w:pPr>
              <w:ind w:left="80"/>
              <w:spacing w:after="0"/>
              <w:rPr>
                <w:sz w:val="20"/>
                <w:szCs w:val="20"/>
                <w:color w:val="auto"/>
              </w:rPr>
            </w:pPr>
            <w:r>
              <w:rPr>
                <w:rFonts w:ascii="Arial" w:cs="Arial" w:eastAsia="Arial" w:hAnsi="Arial"/>
                <w:sz w:val="13"/>
                <w:szCs w:val="13"/>
                <w:color w:val="auto"/>
              </w:rPr>
              <w:t>Compensation and Talent Committee</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12,500</w:t>
            </w:r>
          </w:p>
        </w:tc>
        <w:tc>
          <w:tcPr>
            <w:tcW w:w="20" w:type="dxa"/>
            <w:vAlign w:val="bottom"/>
          </w:tcPr>
          <w:p>
            <w:pPr>
              <w:spacing w:after="0"/>
              <w:rPr>
                <w:sz w:val="17"/>
                <w:szCs w:val="17"/>
                <w:color w:val="auto"/>
              </w:rPr>
            </w:pPr>
          </w:p>
        </w:tc>
      </w:tr>
      <w:tr>
        <w:trPr>
          <w:trHeight w:val="41"/>
        </w:trPr>
        <w:tc>
          <w:tcPr>
            <w:tcW w:w="260" w:type="dxa"/>
            <w:vAlign w:val="bottom"/>
            <w:tcBorders>
              <w:bottom w:val="single" w:sz="8" w:color="959595"/>
            </w:tcBorders>
          </w:tcPr>
          <w:p>
            <w:pPr>
              <w:spacing w:after="0"/>
              <w:rPr>
                <w:sz w:val="3"/>
                <w:szCs w:val="3"/>
                <w:color w:val="auto"/>
              </w:rPr>
            </w:pPr>
          </w:p>
        </w:tc>
        <w:tc>
          <w:tcPr>
            <w:tcW w:w="10100" w:type="dxa"/>
            <w:vAlign w:val="bottom"/>
            <w:tcBorders>
              <w:bottom w:val="single" w:sz="8" w:color="959595"/>
            </w:tcBorders>
          </w:tcPr>
          <w:p>
            <w:pPr>
              <w:spacing w:after="0"/>
              <w:rPr>
                <w:sz w:val="3"/>
                <w:szCs w:val="3"/>
                <w:color w:val="auto"/>
              </w:rPr>
            </w:pPr>
          </w:p>
        </w:tc>
        <w:tc>
          <w:tcPr>
            <w:tcW w:w="880" w:type="dxa"/>
            <w:vAlign w:val="bottom"/>
            <w:tcBorders>
              <w:bottom w:val="single" w:sz="8" w:color="959595"/>
            </w:tcBorders>
          </w:tcPr>
          <w:p>
            <w:pPr>
              <w:spacing w:after="0"/>
              <w:rPr>
                <w:sz w:val="3"/>
                <w:szCs w:val="3"/>
                <w:color w:val="auto"/>
              </w:rPr>
            </w:pPr>
          </w:p>
        </w:tc>
        <w:tc>
          <w:tcPr>
            <w:tcW w:w="20" w:type="dxa"/>
            <w:vAlign w:val="bottom"/>
          </w:tcPr>
          <w:p>
            <w:pPr>
              <w:spacing w:after="0"/>
              <w:rPr>
                <w:sz w:val="3"/>
                <w:szCs w:val="3"/>
                <w:color w:val="auto"/>
              </w:rPr>
            </w:pPr>
          </w:p>
        </w:tc>
      </w:tr>
      <w:tr>
        <w:trPr>
          <w:trHeight w:val="195"/>
        </w:trPr>
        <w:tc>
          <w:tcPr>
            <w:tcW w:w="260" w:type="dxa"/>
            <w:vAlign w:val="bottom"/>
          </w:tcPr>
          <w:p>
            <w:pPr>
              <w:spacing w:after="0"/>
              <w:rPr>
                <w:sz w:val="17"/>
                <w:szCs w:val="17"/>
                <w:color w:val="auto"/>
              </w:rPr>
            </w:pPr>
          </w:p>
        </w:tc>
        <w:tc>
          <w:tcPr>
            <w:tcW w:w="10100" w:type="dxa"/>
            <w:vAlign w:val="bottom"/>
          </w:tcPr>
          <w:p>
            <w:pPr>
              <w:ind w:left="80"/>
              <w:spacing w:after="0"/>
              <w:rPr>
                <w:sz w:val="20"/>
                <w:szCs w:val="20"/>
                <w:color w:val="auto"/>
              </w:rPr>
            </w:pPr>
            <w:r>
              <w:rPr>
                <w:rFonts w:ascii="Arial" w:cs="Arial" w:eastAsia="Arial" w:hAnsi="Arial"/>
                <w:sz w:val="13"/>
                <w:szCs w:val="13"/>
                <w:color w:val="auto"/>
              </w:rPr>
              <w:t>Governance Committee</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10,000</w:t>
            </w:r>
          </w:p>
        </w:tc>
        <w:tc>
          <w:tcPr>
            <w:tcW w:w="20" w:type="dxa"/>
            <w:vAlign w:val="bottom"/>
          </w:tcPr>
          <w:p>
            <w:pPr>
              <w:spacing w:after="0"/>
              <w:rPr>
                <w:sz w:val="17"/>
                <w:szCs w:val="17"/>
                <w:color w:val="auto"/>
              </w:rPr>
            </w:pPr>
          </w:p>
        </w:tc>
      </w:tr>
      <w:tr>
        <w:trPr>
          <w:trHeight w:val="41"/>
        </w:trPr>
        <w:tc>
          <w:tcPr>
            <w:tcW w:w="10360" w:type="dxa"/>
            <w:vAlign w:val="bottom"/>
            <w:tcBorders>
              <w:bottom w:val="single" w:sz="8" w:color="959595"/>
            </w:tcBorders>
            <w:gridSpan w:val="2"/>
          </w:tcPr>
          <w:p>
            <w:pPr>
              <w:spacing w:after="0"/>
              <w:rPr>
                <w:sz w:val="3"/>
                <w:szCs w:val="3"/>
                <w:color w:val="auto"/>
              </w:rPr>
            </w:pPr>
          </w:p>
        </w:tc>
        <w:tc>
          <w:tcPr>
            <w:tcW w:w="880" w:type="dxa"/>
            <w:vAlign w:val="bottom"/>
            <w:tcBorders>
              <w:bottom w:val="single" w:sz="8" w:color="959595"/>
            </w:tcBorders>
          </w:tcPr>
          <w:p>
            <w:pPr>
              <w:spacing w:after="0"/>
              <w:rPr>
                <w:sz w:val="3"/>
                <w:szCs w:val="3"/>
                <w:color w:val="auto"/>
              </w:rPr>
            </w:pPr>
          </w:p>
        </w:tc>
        <w:tc>
          <w:tcPr>
            <w:tcW w:w="20" w:type="dxa"/>
            <w:vAlign w:val="bottom"/>
          </w:tcPr>
          <w:p>
            <w:pPr>
              <w:spacing w:after="0"/>
              <w:rPr>
                <w:sz w:val="3"/>
                <w:szCs w:val="3"/>
                <w:color w:val="auto"/>
              </w:rPr>
            </w:pPr>
          </w:p>
        </w:tc>
      </w:tr>
      <w:tr>
        <w:trPr>
          <w:trHeight w:val="195"/>
        </w:trPr>
        <w:tc>
          <w:tcPr>
            <w:tcW w:w="10360" w:type="dxa"/>
            <w:vAlign w:val="bottom"/>
            <w:gridSpan w:val="2"/>
          </w:tcPr>
          <w:p>
            <w:pPr>
              <w:ind w:left="80"/>
              <w:spacing w:after="0"/>
              <w:rPr>
                <w:sz w:val="20"/>
                <w:szCs w:val="20"/>
                <w:color w:val="auto"/>
              </w:rPr>
            </w:pPr>
            <w:r>
              <w:rPr>
                <w:rFonts w:ascii="Arial" w:cs="Arial" w:eastAsia="Arial" w:hAnsi="Arial"/>
                <w:sz w:val="13"/>
                <w:szCs w:val="13"/>
                <w:color w:val="auto"/>
              </w:rPr>
              <w:t>Additional Committee Chair Cash Retainers</w:t>
            </w: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
        </w:trPr>
        <w:tc>
          <w:tcPr>
            <w:tcW w:w="260" w:type="dxa"/>
            <w:vAlign w:val="bottom"/>
            <w:tcBorders>
              <w:bottom w:val="single" w:sz="8" w:color="959595"/>
            </w:tcBorders>
          </w:tcPr>
          <w:p>
            <w:pPr>
              <w:spacing w:after="0"/>
              <w:rPr>
                <w:sz w:val="3"/>
                <w:szCs w:val="3"/>
                <w:color w:val="auto"/>
              </w:rPr>
            </w:pPr>
          </w:p>
        </w:tc>
        <w:tc>
          <w:tcPr>
            <w:tcW w:w="10100" w:type="dxa"/>
            <w:vAlign w:val="bottom"/>
            <w:tcBorders>
              <w:bottom w:val="single" w:sz="8" w:color="959595"/>
            </w:tcBorders>
          </w:tcPr>
          <w:p>
            <w:pPr>
              <w:spacing w:after="0"/>
              <w:rPr>
                <w:sz w:val="3"/>
                <w:szCs w:val="3"/>
                <w:color w:val="auto"/>
              </w:rPr>
            </w:pPr>
          </w:p>
        </w:tc>
        <w:tc>
          <w:tcPr>
            <w:tcW w:w="880" w:type="dxa"/>
            <w:vAlign w:val="bottom"/>
            <w:tcBorders>
              <w:bottom w:val="single" w:sz="8" w:color="959595"/>
            </w:tcBorders>
          </w:tcPr>
          <w:p>
            <w:pPr>
              <w:spacing w:after="0"/>
              <w:rPr>
                <w:sz w:val="3"/>
                <w:szCs w:val="3"/>
                <w:color w:val="auto"/>
              </w:rPr>
            </w:pPr>
          </w:p>
        </w:tc>
        <w:tc>
          <w:tcPr>
            <w:tcW w:w="20" w:type="dxa"/>
            <w:vAlign w:val="bottom"/>
          </w:tcPr>
          <w:p>
            <w:pPr>
              <w:spacing w:after="0"/>
              <w:rPr>
                <w:sz w:val="3"/>
                <w:szCs w:val="3"/>
                <w:color w:val="auto"/>
              </w:rPr>
            </w:pPr>
          </w:p>
        </w:tc>
      </w:tr>
      <w:tr>
        <w:trPr>
          <w:trHeight w:val="195"/>
        </w:trPr>
        <w:tc>
          <w:tcPr>
            <w:tcW w:w="260" w:type="dxa"/>
            <w:vAlign w:val="bottom"/>
          </w:tcPr>
          <w:p>
            <w:pPr>
              <w:spacing w:after="0"/>
              <w:rPr>
                <w:sz w:val="17"/>
                <w:szCs w:val="17"/>
                <w:color w:val="auto"/>
              </w:rPr>
            </w:pPr>
          </w:p>
        </w:tc>
        <w:tc>
          <w:tcPr>
            <w:tcW w:w="10100" w:type="dxa"/>
            <w:vAlign w:val="bottom"/>
          </w:tcPr>
          <w:p>
            <w:pPr>
              <w:ind w:left="80"/>
              <w:spacing w:after="0"/>
              <w:rPr>
                <w:sz w:val="20"/>
                <w:szCs w:val="20"/>
                <w:color w:val="auto"/>
              </w:rPr>
            </w:pPr>
            <w:r>
              <w:rPr>
                <w:rFonts w:ascii="Arial" w:cs="Arial" w:eastAsia="Arial" w:hAnsi="Arial"/>
                <w:sz w:val="13"/>
                <w:szCs w:val="13"/>
                <w:color w:val="auto"/>
              </w:rPr>
              <w:t>Audit Committee</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25,000</w:t>
            </w:r>
          </w:p>
        </w:tc>
        <w:tc>
          <w:tcPr>
            <w:tcW w:w="20" w:type="dxa"/>
            <w:vAlign w:val="bottom"/>
          </w:tcPr>
          <w:p>
            <w:pPr>
              <w:spacing w:after="0"/>
              <w:rPr>
                <w:sz w:val="17"/>
                <w:szCs w:val="17"/>
                <w:color w:val="auto"/>
              </w:rPr>
            </w:pPr>
          </w:p>
        </w:tc>
      </w:tr>
      <w:tr>
        <w:trPr>
          <w:trHeight w:val="41"/>
        </w:trPr>
        <w:tc>
          <w:tcPr>
            <w:tcW w:w="260" w:type="dxa"/>
            <w:vAlign w:val="bottom"/>
            <w:tcBorders>
              <w:bottom w:val="single" w:sz="8" w:color="959595"/>
            </w:tcBorders>
          </w:tcPr>
          <w:p>
            <w:pPr>
              <w:spacing w:after="0"/>
              <w:rPr>
                <w:sz w:val="3"/>
                <w:szCs w:val="3"/>
                <w:color w:val="auto"/>
              </w:rPr>
            </w:pPr>
          </w:p>
        </w:tc>
        <w:tc>
          <w:tcPr>
            <w:tcW w:w="10100" w:type="dxa"/>
            <w:vAlign w:val="bottom"/>
            <w:tcBorders>
              <w:bottom w:val="single" w:sz="8" w:color="959595"/>
            </w:tcBorders>
          </w:tcPr>
          <w:p>
            <w:pPr>
              <w:spacing w:after="0"/>
              <w:rPr>
                <w:sz w:val="3"/>
                <w:szCs w:val="3"/>
                <w:color w:val="auto"/>
              </w:rPr>
            </w:pPr>
          </w:p>
        </w:tc>
        <w:tc>
          <w:tcPr>
            <w:tcW w:w="880" w:type="dxa"/>
            <w:vAlign w:val="bottom"/>
            <w:tcBorders>
              <w:bottom w:val="single" w:sz="8" w:color="959595"/>
            </w:tcBorders>
          </w:tcPr>
          <w:p>
            <w:pPr>
              <w:spacing w:after="0"/>
              <w:rPr>
                <w:sz w:val="3"/>
                <w:szCs w:val="3"/>
                <w:color w:val="auto"/>
              </w:rPr>
            </w:pPr>
          </w:p>
        </w:tc>
        <w:tc>
          <w:tcPr>
            <w:tcW w:w="20" w:type="dxa"/>
            <w:vAlign w:val="bottom"/>
          </w:tcPr>
          <w:p>
            <w:pPr>
              <w:spacing w:after="0"/>
              <w:rPr>
                <w:sz w:val="3"/>
                <w:szCs w:val="3"/>
                <w:color w:val="auto"/>
              </w:rPr>
            </w:pPr>
          </w:p>
        </w:tc>
      </w:tr>
      <w:tr>
        <w:trPr>
          <w:trHeight w:val="195"/>
        </w:trPr>
        <w:tc>
          <w:tcPr>
            <w:tcW w:w="260" w:type="dxa"/>
            <w:vAlign w:val="bottom"/>
          </w:tcPr>
          <w:p>
            <w:pPr>
              <w:spacing w:after="0"/>
              <w:rPr>
                <w:sz w:val="17"/>
                <w:szCs w:val="17"/>
                <w:color w:val="auto"/>
              </w:rPr>
            </w:pPr>
          </w:p>
        </w:tc>
        <w:tc>
          <w:tcPr>
            <w:tcW w:w="10100" w:type="dxa"/>
            <w:vAlign w:val="bottom"/>
          </w:tcPr>
          <w:p>
            <w:pPr>
              <w:ind w:left="80"/>
              <w:spacing w:after="0"/>
              <w:rPr>
                <w:sz w:val="20"/>
                <w:szCs w:val="20"/>
                <w:color w:val="auto"/>
              </w:rPr>
            </w:pPr>
            <w:r>
              <w:rPr>
                <w:rFonts w:ascii="Arial" w:cs="Arial" w:eastAsia="Arial" w:hAnsi="Arial"/>
                <w:sz w:val="13"/>
                <w:szCs w:val="13"/>
                <w:color w:val="auto"/>
              </w:rPr>
              <w:t>Compensation and Talent Committee</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22,500</w:t>
            </w:r>
          </w:p>
        </w:tc>
        <w:tc>
          <w:tcPr>
            <w:tcW w:w="20" w:type="dxa"/>
            <w:vAlign w:val="bottom"/>
          </w:tcPr>
          <w:p>
            <w:pPr>
              <w:spacing w:after="0"/>
              <w:rPr>
                <w:sz w:val="17"/>
                <w:szCs w:val="17"/>
                <w:color w:val="auto"/>
              </w:rPr>
            </w:pPr>
          </w:p>
        </w:tc>
      </w:tr>
      <w:tr>
        <w:trPr>
          <w:trHeight w:val="41"/>
        </w:trPr>
        <w:tc>
          <w:tcPr>
            <w:tcW w:w="260" w:type="dxa"/>
            <w:vAlign w:val="bottom"/>
            <w:tcBorders>
              <w:bottom w:val="single" w:sz="8" w:color="959595"/>
            </w:tcBorders>
          </w:tcPr>
          <w:p>
            <w:pPr>
              <w:spacing w:after="0"/>
              <w:rPr>
                <w:sz w:val="3"/>
                <w:szCs w:val="3"/>
                <w:color w:val="auto"/>
              </w:rPr>
            </w:pPr>
          </w:p>
        </w:tc>
        <w:tc>
          <w:tcPr>
            <w:tcW w:w="10100" w:type="dxa"/>
            <w:vAlign w:val="bottom"/>
            <w:tcBorders>
              <w:bottom w:val="single" w:sz="8" w:color="959595"/>
            </w:tcBorders>
          </w:tcPr>
          <w:p>
            <w:pPr>
              <w:spacing w:after="0"/>
              <w:rPr>
                <w:sz w:val="3"/>
                <w:szCs w:val="3"/>
                <w:color w:val="auto"/>
              </w:rPr>
            </w:pPr>
          </w:p>
        </w:tc>
        <w:tc>
          <w:tcPr>
            <w:tcW w:w="880" w:type="dxa"/>
            <w:vAlign w:val="bottom"/>
            <w:tcBorders>
              <w:bottom w:val="single" w:sz="8" w:color="959595"/>
            </w:tcBorders>
          </w:tcPr>
          <w:p>
            <w:pPr>
              <w:spacing w:after="0"/>
              <w:rPr>
                <w:sz w:val="3"/>
                <w:szCs w:val="3"/>
                <w:color w:val="auto"/>
              </w:rPr>
            </w:pPr>
          </w:p>
        </w:tc>
        <w:tc>
          <w:tcPr>
            <w:tcW w:w="20" w:type="dxa"/>
            <w:vAlign w:val="bottom"/>
          </w:tcPr>
          <w:p>
            <w:pPr>
              <w:spacing w:after="0"/>
              <w:rPr>
                <w:sz w:val="3"/>
                <w:szCs w:val="3"/>
                <w:color w:val="auto"/>
              </w:rPr>
            </w:pPr>
          </w:p>
        </w:tc>
      </w:tr>
      <w:tr>
        <w:trPr>
          <w:trHeight w:val="195"/>
        </w:trPr>
        <w:tc>
          <w:tcPr>
            <w:tcW w:w="260" w:type="dxa"/>
            <w:vAlign w:val="bottom"/>
          </w:tcPr>
          <w:p>
            <w:pPr>
              <w:spacing w:after="0"/>
              <w:rPr>
                <w:sz w:val="17"/>
                <w:szCs w:val="17"/>
                <w:color w:val="auto"/>
              </w:rPr>
            </w:pPr>
          </w:p>
        </w:tc>
        <w:tc>
          <w:tcPr>
            <w:tcW w:w="10100" w:type="dxa"/>
            <w:vAlign w:val="bottom"/>
          </w:tcPr>
          <w:p>
            <w:pPr>
              <w:ind w:left="80"/>
              <w:spacing w:after="0"/>
              <w:rPr>
                <w:sz w:val="20"/>
                <w:szCs w:val="20"/>
                <w:color w:val="auto"/>
              </w:rPr>
            </w:pPr>
            <w:r>
              <w:rPr>
                <w:rFonts w:ascii="Arial" w:cs="Arial" w:eastAsia="Arial" w:hAnsi="Arial"/>
                <w:sz w:val="13"/>
                <w:szCs w:val="13"/>
                <w:color w:val="auto"/>
              </w:rPr>
              <w:t>Governance Committee</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12,500</w:t>
            </w:r>
          </w:p>
        </w:tc>
        <w:tc>
          <w:tcPr>
            <w:tcW w:w="20" w:type="dxa"/>
            <w:vAlign w:val="bottom"/>
          </w:tcPr>
          <w:p>
            <w:pPr>
              <w:spacing w:after="0"/>
              <w:rPr>
                <w:sz w:val="17"/>
                <w:szCs w:val="17"/>
                <w:color w:val="auto"/>
              </w:rPr>
            </w:pPr>
          </w:p>
        </w:tc>
      </w:tr>
      <w:tr>
        <w:trPr>
          <w:trHeight w:val="41"/>
        </w:trPr>
        <w:tc>
          <w:tcPr>
            <w:tcW w:w="10360" w:type="dxa"/>
            <w:vAlign w:val="bottom"/>
            <w:tcBorders>
              <w:bottom w:val="single" w:sz="8" w:color="959595"/>
            </w:tcBorders>
            <w:gridSpan w:val="2"/>
          </w:tcPr>
          <w:p>
            <w:pPr>
              <w:spacing w:after="0"/>
              <w:rPr>
                <w:sz w:val="3"/>
                <w:szCs w:val="3"/>
                <w:color w:val="auto"/>
              </w:rPr>
            </w:pPr>
          </w:p>
        </w:tc>
        <w:tc>
          <w:tcPr>
            <w:tcW w:w="880" w:type="dxa"/>
            <w:vAlign w:val="bottom"/>
            <w:tcBorders>
              <w:bottom w:val="single" w:sz="8" w:color="959595"/>
            </w:tcBorders>
          </w:tcPr>
          <w:p>
            <w:pPr>
              <w:spacing w:after="0"/>
              <w:rPr>
                <w:sz w:val="3"/>
                <w:szCs w:val="3"/>
                <w:color w:val="auto"/>
              </w:rPr>
            </w:pPr>
          </w:p>
        </w:tc>
        <w:tc>
          <w:tcPr>
            <w:tcW w:w="20" w:type="dxa"/>
            <w:vAlign w:val="bottom"/>
          </w:tcPr>
          <w:p>
            <w:pPr>
              <w:spacing w:after="0"/>
              <w:rPr>
                <w:sz w:val="3"/>
                <w:szCs w:val="3"/>
                <w:color w:val="auto"/>
              </w:rPr>
            </w:pPr>
          </w:p>
        </w:tc>
      </w:tr>
      <w:tr>
        <w:trPr>
          <w:trHeight w:val="196"/>
        </w:trPr>
        <w:tc>
          <w:tcPr>
            <w:tcW w:w="10360" w:type="dxa"/>
            <w:vAlign w:val="bottom"/>
            <w:gridSpan w:val="2"/>
          </w:tcPr>
          <w:p>
            <w:pPr>
              <w:ind w:left="80"/>
              <w:spacing w:after="0"/>
              <w:rPr>
                <w:sz w:val="20"/>
                <w:szCs w:val="20"/>
                <w:color w:val="auto"/>
              </w:rPr>
            </w:pPr>
            <w:r>
              <w:rPr>
                <w:rFonts w:ascii="Arial" w:cs="Arial" w:eastAsia="Arial" w:hAnsi="Arial"/>
                <w:sz w:val="13"/>
                <w:szCs w:val="13"/>
                <w:color w:val="auto"/>
              </w:rPr>
              <w:t>Additional CEO Search Committee Member Cash Retainer</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10,000</w:t>
            </w:r>
          </w:p>
        </w:tc>
        <w:tc>
          <w:tcPr>
            <w:tcW w:w="20" w:type="dxa"/>
            <w:vAlign w:val="bottom"/>
          </w:tcPr>
          <w:p>
            <w:pPr>
              <w:spacing w:after="0"/>
              <w:rPr>
                <w:sz w:val="17"/>
                <w:szCs w:val="17"/>
                <w:color w:val="auto"/>
              </w:rPr>
            </w:pPr>
          </w:p>
        </w:tc>
      </w:tr>
      <w:tr>
        <w:trPr>
          <w:trHeight w:val="41"/>
        </w:trPr>
        <w:tc>
          <w:tcPr>
            <w:tcW w:w="10360" w:type="dxa"/>
            <w:vAlign w:val="bottom"/>
            <w:tcBorders>
              <w:bottom w:val="single" w:sz="8" w:color="959595"/>
            </w:tcBorders>
            <w:gridSpan w:val="2"/>
          </w:tcPr>
          <w:p>
            <w:pPr>
              <w:spacing w:after="0"/>
              <w:rPr>
                <w:sz w:val="3"/>
                <w:szCs w:val="3"/>
                <w:color w:val="auto"/>
              </w:rPr>
            </w:pPr>
          </w:p>
        </w:tc>
        <w:tc>
          <w:tcPr>
            <w:tcW w:w="880" w:type="dxa"/>
            <w:vAlign w:val="bottom"/>
            <w:tcBorders>
              <w:bottom w:val="single" w:sz="8" w:color="959595"/>
            </w:tcBorders>
          </w:tcPr>
          <w:p>
            <w:pPr>
              <w:spacing w:after="0"/>
              <w:rPr>
                <w:sz w:val="3"/>
                <w:szCs w:val="3"/>
                <w:color w:val="auto"/>
              </w:rPr>
            </w:pPr>
          </w:p>
        </w:tc>
        <w:tc>
          <w:tcPr>
            <w:tcW w:w="20" w:type="dxa"/>
            <w:vAlign w:val="bottom"/>
          </w:tcPr>
          <w:p>
            <w:pPr>
              <w:spacing w:after="0"/>
              <w:rPr>
                <w:sz w:val="3"/>
                <w:szCs w:val="3"/>
                <w:color w:val="auto"/>
              </w:rPr>
            </w:pPr>
          </w:p>
        </w:tc>
      </w:tr>
      <w:tr>
        <w:trPr>
          <w:trHeight w:val="195"/>
        </w:trPr>
        <w:tc>
          <w:tcPr>
            <w:tcW w:w="10360" w:type="dxa"/>
            <w:vAlign w:val="bottom"/>
            <w:gridSpan w:val="2"/>
          </w:tcPr>
          <w:p>
            <w:pPr>
              <w:ind w:left="80"/>
              <w:spacing w:after="0"/>
              <w:rPr>
                <w:sz w:val="20"/>
                <w:szCs w:val="20"/>
                <w:color w:val="auto"/>
              </w:rPr>
            </w:pPr>
            <w:r>
              <w:rPr>
                <w:rFonts w:ascii="Arial" w:cs="Arial" w:eastAsia="Arial" w:hAnsi="Arial"/>
                <w:sz w:val="13"/>
                <w:szCs w:val="13"/>
                <w:color w:val="auto"/>
              </w:rPr>
              <w:t>Additional CEO Search Committee Chair Cash Retainer</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2,500</w:t>
            </w:r>
          </w:p>
        </w:tc>
        <w:tc>
          <w:tcPr>
            <w:tcW w:w="20" w:type="dxa"/>
            <w:vAlign w:val="bottom"/>
          </w:tcPr>
          <w:p>
            <w:pPr>
              <w:spacing w:after="0"/>
              <w:rPr>
                <w:sz w:val="17"/>
                <w:szCs w:val="17"/>
                <w:color w:val="auto"/>
              </w:rPr>
            </w:pPr>
          </w:p>
        </w:tc>
      </w:tr>
      <w:tr>
        <w:trPr>
          <w:trHeight w:val="41"/>
        </w:trPr>
        <w:tc>
          <w:tcPr>
            <w:tcW w:w="260" w:type="dxa"/>
            <w:vAlign w:val="bottom"/>
            <w:tcBorders>
              <w:bottom w:val="single" w:sz="8" w:color="959595"/>
            </w:tcBorders>
          </w:tcPr>
          <w:p>
            <w:pPr>
              <w:spacing w:after="0"/>
              <w:rPr>
                <w:sz w:val="3"/>
                <w:szCs w:val="3"/>
                <w:color w:val="auto"/>
              </w:rPr>
            </w:pPr>
          </w:p>
        </w:tc>
        <w:tc>
          <w:tcPr>
            <w:tcW w:w="10100" w:type="dxa"/>
            <w:vAlign w:val="bottom"/>
            <w:tcBorders>
              <w:bottom w:val="single" w:sz="8" w:color="959595"/>
            </w:tcBorders>
          </w:tcPr>
          <w:p>
            <w:pPr>
              <w:spacing w:after="0"/>
              <w:rPr>
                <w:sz w:val="3"/>
                <w:szCs w:val="3"/>
                <w:color w:val="auto"/>
              </w:rPr>
            </w:pPr>
          </w:p>
        </w:tc>
        <w:tc>
          <w:tcPr>
            <w:tcW w:w="880" w:type="dxa"/>
            <w:vAlign w:val="bottom"/>
            <w:tcBorders>
              <w:bottom w:val="single" w:sz="8" w:color="959595"/>
            </w:tcBorders>
          </w:tcPr>
          <w:p>
            <w:pPr>
              <w:spacing w:after="0"/>
              <w:rPr>
                <w:sz w:val="3"/>
                <w:szCs w:val="3"/>
                <w:color w:val="auto"/>
              </w:rPr>
            </w:pPr>
          </w:p>
        </w:tc>
        <w:tc>
          <w:tcPr>
            <w:tcW w:w="20" w:type="dxa"/>
            <w:vAlign w:val="bottom"/>
          </w:tcPr>
          <w:p>
            <w:pPr>
              <w:spacing w:after="0"/>
              <w:rPr>
                <w:sz w:val="3"/>
                <w:szCs w:val="3"/>
                <w:color w:val="auto"/>
              </w:rPr>
            </w:pPr>
          </w:p>
        </w:tc>
      </w:tr>
      <w:tr>
        <w:trPr>
          <w:trHeight w:val="424"/>
        </w:trPr>
        <w:tc>
          <w:tcPr>
            <w:tcW w:w="260" w:type="dxa"/>
            <w:vAlign w:val="bottom"/>
          </w:tcPr>
          <w:p>
            <w:pPr>
              <w:spacing w:after="0"/>
              <w:rPr>
                <w:sz w:val="20"/>
                <w:szCs w:val="20"/>
                <w:color w:val="auto"/>
              </w:rPr>
            </w:pPr>
            <w:r>
              <w:rPr>
                <w:rFonts w:ascii="Arial" w:cs="Arial" w:eastAsia="Arial" w:hAnsi="Arial"/>
                <w:sz w:val="18"/>
                <w:szCs w:val="18"/>
                <w:b w:val="1"/>
                <w:bCs w:val="1"/>
                <w:color w:val="23628F"/>
              </w:rPr>
              <w:t>40</w:t>
            </w:r>
          </w:p>
        </w:tc>
        <w:tc>
          <w:tcPr>
            <w:tcW w:w="10100" w:type="dxa"/>
            <w:vAlign w:val="bottom"/>
          </w:tcPr>
          <w:p>
            <w:pPr>
              <w:ind w:left="180"/>
              <w:spacing w:after="0"/>
              <w:rPr>
                <w:sz w:val="20"/>
                <w:szCs w:val="20"/>
                <w:color w:val="auto"/>
              </w:rPr>
            </w:pPr>
            <w:r>
              <w:rPr>
                <w:rFonts w:ascii="Arial" w:cs="Arial" w:eastAsia="Arial" w:hAnsi="Arial"/>
                <w:sz w:val="13"/>
                <w:szCs w:val="13"/>
                <w:color w:val="23628F"/>
              </w:rPr>
              <w:t>WESTERN DIGITAL</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5"/>
        </w:trPr>
        <w:tc>
          <w:tcPr>
            <w:tcW w:w="260" w:type="dxa"/>
            <w:vAlign w:val="bottom"/>
            <w:tcBorders>
              <w:bottom w:val="single" w:sz="8" w:color="808080"/>
            </w:tcBorders>
          </w:tcPr>
          <w:p>
            <w:pPr>
              <w:spacing w:after="0"/>
              <w:rPr>
                <w:sz w:val="18"/>
                <w:szCs w:val="18"/>
                <w:color w:val="auto"/>
              </w:rPr>
            </w:pPr>
          </w:p>
        </w:tc>
        <w:tc>
          <w:tcPr>
            <w:tcW w:w="10100" w:type="dxa"/>
            <w:vAlign w:val="bottom"/>
            <w:tcBorders>
              <w:bottom w:val="single" w:sz="8" w:color="808080"/>
            </w:tcBorders>
          </w:tcPr>
          <w:p>
            <w:pPr>
              <w:spacing w:after="0"/>
              <w:rPr>
                <w:sz w:val="18"/>
                <w:szCs w:val="18"/>
                <w:color w:val="auto"/>
              </w:rPr>
            </w:pPr>
          </w:p>
        </w:tc>
        <w:tc>
          <w:tcPr>
            <w:tcW w:w="88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-13970</wp:posOffset>
            </wp:positionV>
            <wp:extent cx="1270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ind w:left="8720"/>
        <w:spacing w:after="0"/>
        <w:rPr>
          <w:sz w:val="20"/>
          <w:szCs w:val="20"/>
          <w:color w:val="auto"/>
        </w:rPr>
      </w:pPr>
      <w:r>
        <w:rPr>
          <w:rFonts w:ascii="Arial" w:cs="Arial" w:eastAsia="Arial" w:hAnsi="Arial"/>
          <w:sz w:val="13"/>
          <w:szCs w:val="13"/>
          <w:color w:val="23628F"/>
        </w:rPr>
        <w:t>CORPORATE GOVERNANCE MATTERS</w:t>
      </w:r>
    </w:p>
    <w:p>
      <w:pPr>
        <w:spacing w:after="0" w:line="215" w:lineRule="exact"/>
        <w:rPr>
          <w:sz w:val="20"/>
          <w:szCs w:val="20"/>
          <w:color w:val="auto"/>
        </w:rPr>
      </w:pPr>
    </w:p>
    <w:p>
      <w:pPr>
        <w:ind w:right="60"/>
        <w:spacing w:after="0" w:line="242" w:lineRule="auto"/>
        <w:rPr>
          <w:sz w:val="20"/>
          <w:szCs w:val="20"/>
          <w:color w:val="auto"/>
        </w:rPr>
      </w:pPr>
      <w:r>
        <w:rPr>
          <w:rFonts w:ascii="Arial" w:cs="Arial" w:eastAsia="Arial" w:hAnsi="Arial"/>
          <w:sz w:val="13"/>
          <w:szCs w:val="13"/>
          <w:color w:val="auto"/>
        </w:rPr>
        <w:t>If our Chairman of the Board is not one of our employees, he or she is entitled to both the Annual Cash Retainer and the Additional Non-Executive Chairman of the Board Cash Retainer referred to above. A non-employee director serving as Chair of a Board committee receives both the Additional Committee Chair Cash Retainer for that committee and the Additional Committee Member Cash Retainer paid to all members of that committee. A non-employee director serving as Chair of the special CEO Search Committee received both the Additional Special CEO Search Committee Chair Cash Retainer and the Additional CEO Search Committee Member Cash Retainer. Directors who are appointed to our Board, a Board committee, or to one of our Chair positions noted above during the year are paid a pro rata amount of the annual retainer fees for that position based on service to be rendered for the remaining part of the year after appointment.</w:t>
      </w:r>
    </w:p>
    <w:p>
      <w:pPr>
        <w:spacing w:after="0" w:line="353" w:lineRule="exact"/>
        <w:rPr>
          <w:sz w:val="20"/>
          <w:szCs w:val="20"/>
          <w:color w:val="auto"/>
        </w:rPr>
      </w:pPr>
    </w:p>
    <w:p>
      <w:pPr>
        <w:ind w:right="160"/>
        <w:spacing w:after="0" w:line="258" w:lineRule="auto"/>
        <w:rPr>
          <w:sz w:val="20"/>
          <w:szCs w:val="20"/>
          <w:color w:val="auto"/>
        </w:rPr>
      </w:pPr>
      <w:r>
        <w:rPr>
          <w:rFonts w:ascii="Arial" w:cs="Arial" w:eastAsia="Arial" w:hAnsi="Arial"/>
          <w:sz w:val="13"/>
          <w:szCs w:val="13"/>
          <w:color w:val="auto"/>
        </w:rPr>
        <w:t>Non-employee directors do not receive a separate fee for each Board or committee meeting they attend. However, we reimburse our non-employee directors for reasonable out-of-pocket expenses incurred to attend each Board or committee meeting.</w:t>
      </w:r>
    </w:p>
    <w:p>
      <w:pPr>
        <w:spacing w:after="0" w:line="158"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Non-Employee Director Equity Awards</w:t>
      </w:r>
    </w:p>
    <w:p>
      <w:pPr>
        <w:spacing w:after="0" w:line="257" w:lineRule="exact"/>
        <w:rPr>
          <w:sz w:val="20"/>
          <w:szCs w:val="20"/>
          <w:color w:val="auto"/>
        </w:rPr>
      </w:pPr>
    </w:p>
    <w:p>
      <w:pPr>
        <w:spacing w:after="0" w:line="243" w:lineRule="auto"/>
        <w:rPr>
          <w:sz w:val="20"/>
          <w:szCs w:val="20"/>
          <w:color w:val="auto"/>
        </w:rPr>
      </w:pPr>
      <w:r>
        <w:rPr>
          <w:rFonts w:ascii="Arial" w:cs="Arial" w:eastAsia="Arial" w:hAnsi="Arial"/>
          <w:sz w:val="13"/>
          <w:szCs w:val="13"/>
          <w:color w:val="auto"/>
        </w:rPr>
        <w:t>Our Board of Directors has adopted a Non-Employee Director Restricted Stock Unit Grant Program under our 2017 Performance Incentive Plan. For fiscal 2020, the Non-Employee Director Restricted Stock Unit Grant Program provided that each of our non-employee directors automatically receive, immediately following each annual meeting of stockholders if he or she has been reelected as a director at that annual meeting, an award of RSUs equal in value to $240,000 (or, in the case of our non-employee director serving as Chairman of the Board, $290,000, or, in the case of our Lead Independent Director, $270,000), based on the closing price of our common stock on the Nasdaq Stock Market on the grant date, rounded down to the nearest whole share.</w:t>
      </w:r>
    </w:p>
    <w:p>
      <w:pPr>
        <w:spacing w:after="0" w:line="353" w:lineRule="exact"/>
        <w:rPr>
          <w:sz w:val="20"/>
          <w:szCs w:val="20"/>
          <w:color w:val="auto"/>
        </w:rPr>
      </w:pPr>
    </w:p>
    <w:p>
      <w:pPr>
        <w:ind w:right="120"/>
        <w:spacing w:after="0" w:line="243" w:lineRule="auto"/>
        <w:rPr>
          <w:sz w:val="20"/>
          <w:szCs w:val="20"/>
          <w:color w:val="auto"/>
        </w:rPr>
      </w:pPr>
      <w:r>
        <w:rPr>
          <w:rFonts w:ascii="Arial" w:cs="Arial" w:eastAsia="Arial" w:hAnsi="Arial"/>
          <w:sz w:val="13"/>
          <w:szCs w:val="13"/>
          <w:color w:val="auto"/>
        </w:rPr>
        <w:t>We award non-employee directors who are newly elected or appointed to our Board after the date of the annual meeting for a given year a prorated award of RSUs for that year. If a non-employee director is appointed after the date of the annual meeting for a given year as Chairman of the Board or Lead Independent Director, our Board may award the non-employee director an incremental RSU award reflecting the additional annual value of the RSU award for that position, prorated for the portion of the year remaining after the appointment. We also award Board members a prorated award of RSUs upon or as soon as practical after first becoming a non-employee director by virtue of retiring or otherwise ceasing to be employed by us after the annual meeting for a given year. Each award of RSUs represents the right to receive an equivalent number of shares of our common stock on the applicable vesting date.</w:t>
      </w:r>
    </w:p>
    <w:p>
      <w:pPr>
        <w:spacing w:after="0" w:line="202" w:lineRule="exact"/>
        <w:rPr>
          <w:sz w:val="20"/>
          <w:szCs w:val="20"/>
          <w:color w:val="auto"/>
        </w:rPr>
      </w:pPr>
    </w:p>
    <w:p>
      <w:pPr>
        <w:jc w:val="both"/>
        <w:ind w:right="120"/>
        <w:spacing w:after="0" w:line="248" w:lineRule="auto"/>
        <w:rPr>
          <w:sz w:val="20"/>
          <w:szCs w:val="20"/>
          <w:color w:val="auto"/>
        </w:rPr>
      </w:pPr>
      <w:r>
        <w:rPr>
          <w:rFonts w:ascii="Arial" w:cs="Arial" w:eastAsia="Arial" w:hAnsi="Arial"/>
          <w:sz w:val="13"/>
          <w:szCs w:val="13"/>
          <w:color w:val="auto"/>
        </w:rPr>
        <w:t>The RSUs granted in fiscal 2020 vest 100% upon the earlier of: (i) the first anniversary of the grant date; and (ii) immediately prior to the first annual meeting of stockholders held after the grant date. If dividends are paid prior to the vesting and payment of any RSUs granted to our non-employee directors, the director is credited with additional RSUs as dividend equivalents that are subject to the same vesting requirements as the underlying RSUs.</w:t>
      </w:r>
    </w:p>
    <w:p>
      <w:pPr>
        <w:spacing w:after="0" w:line="198" w:lineRule="exact"/>
        <w:rPr>
          <w:sz w:val="20"/>
          <w:szCs w:val="20"/>
          <w:color w:val="auto"/>
        </w:rPr>
      </w:pPr>
    </w:p>
    <w:p>
      <w:pPr>
        <w:jc w:val="both"/>
        <w:ind w:right="200"/>
        <w:spacing w:after="0" w:line="248" w:lineRule="auto"/>
        <w:rPr>
          <w:sz w:val="20"/>
          <w:szCs w:val="20"/>
          <w:color w:val="auto"/>
        </w:rPr>
      </w:pPr>
      <w:r>
        <w:rPr>
          <w:rFonts w:ascii="Arial" w:cs="Arial" w:eastAsia="Arial" w:hAnsi="Arial"/>
          <w:sz w:val="13"/>
          <w:szCs w:val="13"/>
          <w:color w:val="auto"/>
        </w:rPr>
        <w:t>Our stockholders have approved a cap on the value of equity awards that can be granted to our non-employee directors under our 2017 Performance Incentive Plan. Under that cap, the aggregate value of RSUs granted to our non-employee directors cannot exceed $900,000 during the one-year period between our annual meetings of stockholders (or such other annual period as our Board may determine), based on the grant date fair value of the awards.</w:t>
      </w:r>
    </w:p>
    <w:p>
      <w:pPr>
        <w:spacing w:after="0" w:line="165"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Deferred Compensation Plan for Non-Employee Directors</w:t>
      </w:r>
    </w:p>
    <w:p>
      <w:pPr>
        <w:spacing w:after="0" w:line="257" w:lineRule="exact"/>
        <w:rPr>
          <w:sz w:val="20"/>
          <w:szCs w:val="20"/>
          <w:color w:val="auto"/>
        </w:rPr>
      </w:pPr>
    </w:p>
    <w:p>
      <w:pPr>
        <w:ind w:right="60"/>
        <w:spacing w:after="0" w:line="245" w:lineRule="auto"/>
        <w:rPr>
          <w:sz w:val="20"/>
          <w:szCs w:val="20"/>
          <w:color w:val="auto"/>
        </w:rPr>
      </w:pPr>
      <w:r>
        <w:rPr>
          <w:rFonts w:ascii="Arial" w:cs="Arial" w:eastAsia="Arial" w:hAnsi="Arial"/>
          <w:sz w:val="13"/>
          <w:szCs w:val="13"/>
          <w:color w:val="auto"/>
        </w:rPr>
        <w:t>For each calendar year, we permit each non-employee director to defer payment of up to 80% of any cash compensation to be paid to the director during the following calendar year in accordance with our Deferred Compensation Plan. We also permit non-employee directors to defer payment of any RSUs awarded under our Non-Employee Director Restricted Stock Unit Grant Program beyond the vesting date of the award. RSUs and other amounts deferred in cash by a director are generally credited and payable in the same manner as amounts deferred by our executive officers and other participants in our Deferred Compensation Plan as further described in the “Fiscal 2020 Non-Qualified Deferred Compensation Table.”</w:t>
      </w:r>
    </w:p>
    <w:p>
      <w:pPr>
        <w:spacing w:after="0" w:line="18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23628F"/>
        </w:rPr>
        <w:t>2020 PROXY STATEMENT</w:t>
      </w:r>
      <w:r>
        <w:rPr>
          <w:sz w:val="20"/>
          <w:szCs w:val="20"/>
          <w:color w:val="auto"/>
        </w:rPr>
        <w:tab/>
      </w:r>
      <w:r>
        <w:rPr>
          <w:rFonts w:ascii="Arial" w:cs="Arial" w:eastAsia="Arial" w:hAnsi="Arial"/>
          <w:sz w:val="16"/>
          <w:szCs w:val="16"/>
          <w:b w:val="1"/>
          <w:bCs w:val="1"/>
          <w:color w:val="23628F"/>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153275" cy="209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23628F"/>
        </w:rPr>
        <w:t>CORPORATE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234440" cy="6858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34440" cy="68580"/>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DIRECTOR COMPENSATION TABLE FOR FISCAL 2020</w:t>
      </w:r>
    </w:p>
    <w:p>
      <w:pPr>
        <w:spacing w:after="0" w:line="252" w:lineRule="exact"/>
        <w:rPr>
          <w:sz w:val="20"/>
          <w:szCs w:val="20"/>
          <w:color w:val="auto"/>
        </w:rPr>
      </w:pPr>
    </w:p>
    <w:p>
      <w:pPr>
        <w:ind w:right="220"/>
        <w:spacing w:after="0" w:line="248" w:lineRule="auto"/>
        <w:rPr>
          <w:sz w:val="20"/>
          <w:szCs w:val="20"/>
          <w:color w:val="auto"/>
        </w:rPr>
      </w:pPr>
      <w:r>
        <w:rPr>
          <w:rFonts w:ascii="Arial" w:cs="Arial" w:eastAsia="Arial" w:hAnsi="Arial"/>
          <w:sz w:val="13"/>
          <w:szCs w:val="13"/>
          <w:color w:val="auto"/>
        </w:rPr>
        <w:t>The table below summarizes the compensation for fiscal 2020 for each of our non-employee directors. Messrs. Milligan and Goeckeler were named executive officers for fiscal 2020 and information regarding their compensation for fiscal 2020 is presented in the “Fiscal 2018—2020 Summary Compensation Table” and the related explanatory tables. As our employees, Messrs. Milligan and Goeckeler did not receive any additional compensation for their services as directors during fiscal 2020.</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86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Fees</w:t>
            </w:r>
          </w:p>
        </w:tc>
        <w:tc>
          <w:tcPr>
            <w:tcW w:w="680" w:type="dxa"/>
            <w:vAlign w:val="bottom"/>
            <w:tcBorders>
              <w:right w:val="single" w:sz="8" w:color="auto"/>
            </w:tcBorders>
          </w:tcPr>
          <w:p>
            <w:pPr>
              <w:spacing w:after="0"/>
              <w:rPr>
                <w:sz w:val="13"/>
                <w:szCs w:val="13"/>
                <w:color w:val="auto"/>
              </w:rPr>
            </w:pPr>
          </w:p>
        </w:tc>
        <w:tc>
          <w:tcPr>
            <w:tcW w:w="660" w:type="dxa"/>
            <w:vAlign w:val="bottom"/>
          </w:tcPr>
          <w:p>
            <w:pPr>
              <w:spacing w:after="0"/>
              <w:rPr>
                <w:sz w:val="13"/>
                <w:szCs w:val="13"/>
                <w:color w:val="auto"/>
              </w:rPr>
            </w:pPr>
          </w:p>
        </w:tc>
      </w:tr>
      <w:tr>
        <w:trPr>
          <w:trHeight w:val="148"/>
        </w:trPr>
        <w:tc>
          <w:tcPr>
            <w:tcW w:w="88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Earned or</w:t>
            </w:r>
          </w:p>
        </w:tc>
        <w:tc>
          <w:tcPr>
            <w:tcW w:w="68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r>
      <w:tr>
        <w:trPr>
          <w:trHeight w:val="148"/>
        </w:trPr>
        <w:tc>
          <w:tcPr>
            <w:tcW w:w="88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Paid in</w:t>
            </w:r>
          </w:p>
        </w:tc>
        <w:tc>
          <w:tcPr>
            <w:tcW w:w="6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Stock</w:t>
            </w:r>
          </w:p>
        </w:tc>
        <w:tc>
          <w:tcPr>
            <w:tcW w:w="660" w:type="dxa"/>
            <w:vAlign w:val="bottom"/>
          </w:tcPr>
          <w:p>
            <w:pPr>
              <w:spacing w:after="0"/>
              <w:rPr>
                <w:sz w:val="12"/>
                <w:szCs w:val="12"/>
                <w:color w:val="auto"/>
              </w:rPr>
            </w:pPr>
          </w:p>
        </w:tc>
      </w:tr>
      <w:tr>
        <w:trPr>
          <w:trHeight w:val="179"/>
        </w:trPr>
        <w:tc>
          <w:tcPr>
            <w:tcW w:w="886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Cash</w:t>
            </w:r>
          </w:p>
        </w:tc>
        <w:tc>
          <w:tcPr>
            <w:tcW w:w="6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Awards</w:t>
            </w:r>
          </w:p>
        </w:tc>
        <w:tc>
          <w:tcPr>
            <w:tcW w:w="660" w:type="dxa"/>
            <w:vAlign w:val="bottom"/>
          </w:tcPr>
          <w:p>
            <w:pPr>
              <w:jc w:val="right"/>
              <w:ind w:right="13"/>
              <w:spacing w:after="0"/>
              <w:rPr>
                <w:sz w:val="20"/>
                <w:szCs w:val="20"/>
                <w:color w:val="auto"/>
              </w:rPr>
            </w:pPr>
            <w:r>
              <w:rPr>
                <w:rFonts w:ascii="Arial" w:cs="Arial" w:eastAsia="Arial" w:hAnsi="Arial"/>
                <w:sz w:val="13"/>
                <w:szCs w:val="13"/>
                <w:b w:val="1"/>
                <w:bCs w:val="1"/>
                <w:color w:val="auto"/>
              </w:rPr>
              <w:t>Total</w:t>
            </w:r>
          </w:p>
        </w:tc>
      </w:tr>
      <w:tr>
        <w:trPr>
          <w:trHeight w:val="203"/>
        </w:trPr>
        <w:tc>
          <w:tcPr>
            <w:tcW w:w="88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rPr>
              <w:t>Name</w:t>
            </w:r>
          </w:p>
        </w:tc>
        <w:tc>
          <w:tcPr>
            <w:tcW w:w="1040" w:type="dxa"/>
            <w:vAlign w:val="bottom"/>
            <w:tcBorders>
              <w:bottom w:val="single" w:sz="8" w:color="auto"/>
              <w:right w:val="single" w:sz="8" w:color="auto"/>
            </w:tcBorders>
          </w:tcPr>
          <w:p>
            <w:pPr>
              <w:jc w:val="right"/>
              <w:ind w:right="233"/>
              <w:spacing w:after="0" w:line="203"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2"/>
                <w:szCs w:val="22"/>
                <w:b w:val="1"/>
                <w:bCs w:val="1"/>
                <w:color w:val="auto"/>
                <w:vertAlign w:val="superscript"/>
              </w:rPr>
              <w:t>(1)</w:t>
            </w:r>
          </w:p>
        </w:tc>
        <w:tc>
          <w:tcPr>
            <w:tcW w:w="680" w:type="dxa"/>
            <w:vAlign w:val="bottom"/>
            <w:tcBorders>
              <w:bottom w:val="single" w:sz="8" w:color="auto"/>
              <w:right w:val="single" w:sz="8" w:color="auto"/>
            </w:tcBorders>
          </w:tcPr>
          <w:p>
            <w:pPr>
              <w:jc w:val="right"/>
              <w:ind w:right="13"/>
              <w:spacing w:after="0" w:line="203"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2"/>
                <w:szCs w:val="22"/>
                <w:b w:val="1"/>
                <w:bCs w:val="1"/>
                <w:color w:val="auto"/>
                <w:vertAlign w:val="superscript"/>
              </w:rPr>
              <w:t>(2)</w:t>
            </w: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w:t>
            </w:r>
          </w:p>
        </w:tc>
      </w:tr>
      <w:tr>
        <w:trPr>
          <w:trHeight w:val="263"/>
        </w:trPr>
        <w:tc>
          <w:tcPr>
            <w:tcW w:w="886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23628F"/>
              </w:rPr>
              <w:t>Kimberly E. Alexy</w:t>
            </w:r>
          </w:p>
        </w:tc>
        <w:tc>
          <w:tcPr>
            <w:tcW w:w="1040" w:type="dxa"/>
            <w:vAlign w:val="bottom"/>
            <w:tcBorders>
              <w:bottom w:val="single" w:sz="8" w:color="959595"/>
            </w:tcBorders>
          </w:tcPr>
          <w:p>
            <w:pPr>
              <w:jc w:val="right"/>
              <w:ind w:right="93"/>
              <w:spacing w:after="0"/>
              <w:rPr>
                <w:sz w:val="20"/>
                <w:szCs w:val="20"/>
                <w:color w:val="auto"/>
              </w:rPr>
            </w:pPr>
            <w:r>
              <w:rPr>
                <w:rFonts w:ascii="Arial" w:cs="Arial" w:eastAsia="Arial" w:hAnsi="Arial"/>
                <w:sz w:val="13"/>
                <w:szCs w:val="13"/>
                <w:color w:val="auto"/>
              </w:rPr>
              <w:t>130,059</w:t>
            </w:r>
            <w:r>
              <w:rPr>
                <w:rFonts w:ascii="Arial" w:cs="Arial" w:eastAsia="Arial" w:hAnsi="Arial"/>
                <w:sz w:val="22"/>
                <w:szCs w:val="22"/>
                <w:color w:val="auto"/>
                <w:vertAlign w:val="superscript"/>
              </w:rPr>
              <w:t>(3)</w:t>
            </w:r>
          </w:p>
        </w:tc>
        <w:tc>
          <w:tcPr>
            <w:tcW w:w="6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239,960</w:t>
            </w:r>
          </w:p>
        </w:tc>
        <w:tc>
          <w:tcPr>
            <w:tcW w:w="6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370,019</w:t>
            </w:r>
          </w:p>
        </w:tc>
      </w:tr>
      <w:tr>
        <w:trPr>
          <w:trHeight w:val="263"/>
        </w:trPr>
        <w:tc>
          <w:tcPr>
            <w:tcW w:w="886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23628F"/>
              </w:rPr>
              <w:t>Martin I. Cole</w:t>
            </w:r>
          </w:p>
        </w:tc>
        <w:tc>
          <w:tcPr>
            <w:tcW w:w="1040" w:type="dxa"/>
            <w:vAlign w:val="bottom"/>
            <w:tcBorders>
              <w:bottom w:val="single" w:sz="8" w:color="959595"/>
            </w:tcBorders>
          </w:tcPr>
          <w:p>
            <w:pPr>
              <w:jc w:val="right"/>
              <w:ind w:right="93"/>
              <w:spacing w:after="0"/>
              <w:rPr>
                <w:sz w:val="20"/>
                <w:szCs w:val="20"/>
                <w:color w:val="auto"/>
              </w:rPr>
            </w:pPr>
            <w:r>
              <w:rPr>
                <w:rFonts w:ascii="Arial" w:cs="Arial" w:eastAsia="Arial" w:hAnsi="Arial"/>
                <w:sz w:val="13"/>
                <w:szCs w:val="13"/>
                <w:color w:val="auto"/>
              </w:rPr>
              <w:t>130,716</w:t>
            </w:r>
            <w:r>
              <w:rPr>
                <w:rFonts w:ascii="Arial" w:cs="Arial" w:eastAsia="Arial" w:hAnsi="Arial"/>
                <w:sz w:val="22"/>
                <w:szCs w:val="22"/>
                <w:color w:val="auto"/>
                <w:vertAlign w:val="superscript"/>
              </w:rPr>
              <w:t>(4)</w:t>
            </w:r>
          </w:p>
        </w:tc>
        <w:tc>
          <w:tcPr>
            <w:tcW w:w="6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239,960</w:t>
            </w:r>
          </w:p>
        </w:tc>
        <w:tc>
          <w:tcPr>
            <w:tcW w:w="6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370,676</w:t>
            </w:r>
          </w:p>
        </w:tc>
      </w:tr>
      <w:tr>
        <w:trPr>
          <w:trHeight w:val="263"/>
        </w:trPr>
        <w:tc>
          <w:tcPr>
            <w:tcW w:w="886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23628F"/>
              </w:rPr>
              <w:t>Kathleen A. Cote</w:t>
            </w:r>
          </w:p>
        </w:tc>
        <w:tc>
          <w:tcPr>
            <w:tcW w:w="1040" w:type="dxa"/>
            <w:vAlign w:val="bottom"/>
            <w:tcBorders>
              <w:bottom w:val="single" w:sz="8" w:color="959595"/>
            </w:tcBorders>
          </w:tcPr>
          <w:p>
            <w:pPr>
              <w:jc w:val="right"/>
              <w:ind w:right="93"/>
              <w:spacing w:after="0"/>
              <w:rPr>
                <w:sz w:val="20"/>
                <w:szCs w:val="20"/>
                <w:color w:val="auto"/>
              </w:rPr>
            </w:pPr>
            <w:r>
              <w:rPr>
                <w:rFonts w:ascii="Arial" w:cs="Arial" w:eastAsia="Arial" w:hAnsi="Arial"/>
                <w:sz w:val="13"/>
                <w:szCs w:val="13"/>
                <w:color w:val="auto"/>
              </w:rPr>
              <w:t>107,500</w:t>
            </w:r>
            <w:r>
              <w:rPr>
                <w:rFonts w:ascii="Arial" w:cs="Arial" w:eastAsia="Arial" w:hAnsi="Arial"/>
                <w:sz w:val="22"/>
                <w:szCs w:val="22"/>
                <w:color w:val="auto"/>
                <w:vertAlign w:val="superscript"/>
              </w:rPr>
              <w:t>(5)</w:t>
            </w:r>
          </w:p>
        </w:tc>
        <w:tc>
          <w:tcPr>
            <w:tcW w:w="6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257,715</w:t>
            </w:r>
          </w:p>
        </w:tc>
        <w:tc>
          <w:tcPr>
            <w:tcW w:w="6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365,215</w:t>
            </w:r>
          </w:p>
        </w:tc>
      </w:tr>
      <w:tr>
        <w:trPr>
          <w:trHeight w:val="291"/>
        </w:trPr>
        <w:tc>
          <w:tcPr>
            <w:tcW w:w="886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23628F"/>
              </w:rPr>
              <w:t>Henry T. DeNero</w:t>
            </w:r>
            <w:r>
              <w:rPr>
                <w:rFonts w:ascii="Arial" w:cs="Arial" w:eastAsia="Arial" w:hAnsi="Arial"/>
                <w:sz w:val="22"/>
                <w:szCs w:val="22"/>
                <w:b w:val="1"/>
                <w:bCs w:val="1"/>
                <w:color w:val="23628F"/>
                <w:vertAlign w:val="superscript"/>
              </w:rPr>
              <w:t>(6)</w:t>
            </w:r>
          </w:p>
        </w:tc>
        <w:tc>
          <w:tcPr>
            <w:tcW w:w="1040" w:type="dxa"/>
            <w:vAlign w:val="bottom"/>
            <w:tcBorders>
              <w:bottom w:val="single" w:sz="8" w:color="959595"/>
            </w:tcBorders>
          </w:tcPr>
          <w:p>
            <w:pPr>
              <w:jc w:val="right"/>
              <w:ind w:right="233"/>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r>
      <w:tr>
        <w:trPr>
          <w:trHeight w:val="195"/>
        </w:trPr>
        <w:tc>
          <w:tcPr>
            <w:tcW w:w="8860" w:type="dxa"/>
            <w:vAlign w:val="bottom"/>
          </w:tcPr>
          <w:p>
            <w:pPr>
              <w:ind w:left="80"/>
              <w:spacing w:after="0"/>
              <w:rPr>
                <w:sz w:val="20"/>
                <w:szCs w:val="20"/>
                <w:color w:val="auto"/>
              </w:rPr>
            </w:pPr>
            <w:r>
              <w:rPr>
                <w:rFonts w:ascii="Arial" w:cs="Arial" w:eastAsia="Arial" w:hAnsi="Arial"/>
                <w:sz w:val="13"/>
                <w:szCs w:val="13"/>
                <w:b w:val="1"/>
                <w:bCs w:val="1"/>
                <w:color w:val="23628F"/>
              </w:rPr>
              <w:t>Tunç Doluca</w:t>
            </w:r>
          </w:p>
        </w:tc>
        <w:tc>
          <w:tcPr>
            <w:tcW w:w="1040" w:type="dxa"/>
            <w:vAlign w:val="bottom"/>
          </w:tcPr>
          <w:p>
            <w:pPr>
              <w:jc w:val="right"/>
              <w:ind w:right="233"/>
              <w:spacing w:after="0"/>
              <w:rPr>
                <w:sz w:val="20"/>
                <w:szCs w:val="20"/>
                <w:color w:val="auto"/>
              </w:rPr>
            </w:pPr>
            <w:r>
              <w:rPr>
                <w:rFonts w:ascii="Arial" w:cs="Arial" w:eastAsia="Arial" w:hAnsi="Arial"/>
                <w:sz w:val="13"/>
                <w:szCs w:val="13"/>
                <w:color w:val="auto"/>
              </w:rPr>
              <w:t>87,500</w:t>
            </w:r>
          </w:p>
        </w:tc>
        <w:tc>
          <w:tcPr>
            <w:tcW w:w="680" w:type="dxa"/>
            <w:vAlign w:val="bottom"/>
          </w:tcPr>
          <w:p>
            <w:pPr>
              <w:jc w:val="right"/>
              <w:ind w:right="13"/>
              <w:spacing w:after="0"/>
              <w:rPr>
                <w:sz w:val="20"/>
                <w:szCs w:val="20"/>
                <w:color w:val="auto"/>
              </w:rPr>
            </w:pPr>
            <w:r>
              <w:rPr>
                <w:rFonts w:ascii="Arial" w:cs="Arial" w:eastAsia="Arial" w:hAnsi="Arial"/>
                <w:sz w:val="13"/>
                <w:szCs w:val="13"/>
                <w:color w:val="auto"/>
              </w:rPr>
              <w:t>239,960</w:t>
            </w:r>
          </w:p>
        </w:tc>
        <w:tc>
          <w:tcPr>
            <w:tcW w:w="660" w:type="dxa"/>
            <w:vAlign w:val="bottom"/>
          </w:tcPr>
          <w:p>
            <w:pPr>
              <w:jc w:val="right"/>
              <w:ind w:right="13"/>
              <w:spacing w:after="0"/>
              <w:rPr>
                <w:sz w:val="20"/>
                <w:szCs w:val="20"/>
                <w:color w:val="auto"/>
              </w:rPr>
            </w:pPr>
            <w:r>
              <w:rPr>
                <w:rFonts w:ascii="Arial" w:cs="Arial" w:eastAsia="Arial" w:hAnsi="Arial"/>
                <w:sz w:val="13"/>
                <w:szCs w:val="13"/>
                <w:color w:val="auto"/>
              </w:rPr>
              <w:t>327,460</w:t>
            </w:r>
          </w:p>
        </w:tc>
      </w:tr>
      <w:tr>
        <w:trPr>
          <w:trHeight w:val="41"/>
        </w:trPr>
        <w:tc>
          <w:tcPr>
            <w:tcW w:w="8860" w:type="dxa"/>
            <w:vAlign w:val="bottom"/>
            <w:tcBorders>
              <w:bottom w:val="single" w:sz="8" w:color="959595"/>
            </w:tcBorders>
          </w:tcPr>
          <w:p>
            <w:pPr>
              <w:spacing w:after="0"/>
              <w:rPr>
                <w:sz w:val="3"/>
                <w:szCs w:val="3"/>
                <w:color w:val="auto"/>
              </w:rPr>
            </w:pPr>
          </w:p>
        </w:tc>
        <w:tc>
          <w:tcPr>
            <w:tcW w:w="1040" w:type="dxa"/>
            <w:vAlign w:val="bottom"/>
            <w:tcBorders>
              <w:bottom w:val="single" w:sz="8" w:color="959595"/>
            </w:tcBorders>
          </w:tcPr>
          <w:p>
            <w:pPr>
              <w:spacing w:after="0"/>
              <w:rPr>
                <w:sz w:val="3"/>
                <w:szCs w:val="3"/>
                <w:color w:val="auto"/>
              </w:rPr>
            </w:pPr>
          </w:p>
        </w:tc>
        <w:tc>
          <w:tcPr>
            <w:tcW w:w="680" w:type="dxa"/>
            <w:vAlign w:val="bottom"/>
            <w:tcBorders>
              <w:bottom w:val="single" w:sz="8" w:color="959595"/>
            </w:tcBorders>
          </w:tcPr>
          <w:p>
            <w:pPr>
              <w:spacing w:after="0"/>
              <w:rPr>
                <w:sz w:val="3"/>
                <w:szCs w:val="3"/>
                <w:color w:val="auto"/>
              </w:rPr>
            </w:pPr>
          </w:p>
        </w:tc>
        <w:tc>
          <w:tcPr>
            <w:tcW w:w="660" w:type="dxa"/>
            <w:vAlign w:val="bottom"/>
            <w:tcBorders>
              <w:bottom w:val="single" w:sz="8" w:color="959595"/>
            </w:tcBorders>
          </w:tcPr>
          <w:p>
            <w:pPr>
              <w:spacing w:after="0"/>
              <w:rPr>
                <w:sz w:val="3"/>
                <w:szCs w:val="3"/>
                <w:color w:val="auto"/>
              </w:rPr>
            </w:pPr>
          </w:p>
        </w:tc>
      </w:tr>
      <w:tr>
        <w:trPr>
          <w:trHeight w:val="290"/>
        </w:trPr>
        <w:tc>
          <w:tcPr>
            <w:tcW w:w="886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23628F"/>
              </w:rPr>
              <w:t>Michael D. Lambert</w:t>
            </w:r>
            <w:r>
              <w:rPr>
                <w:rFonts w:ascii="Arial" w:cs="Arial" w:eastAsia="Arial" w:hAnsi="Arial"/>
                <w:sz w:val="22"/>
                <w:szCs w:val="22"/>
                <w:b w:val="1"/>
                <w:bCs w:val="1"/>
                <w:color w:val="23628F"/>
                <w:vertAlign w:val="superscript"/>
              </w:rPr>
              <w:t>(6)</w:t>
            </w:r>
          </w:p>
        </w:tc>
        <w:tc>
          <w:tcPr>
            <w:tcW w:w="1040" w:type="dxa"/>
            <w:vAlign w:val="bottom"/>
            <w:tcBorders>
              <w:bottom w:val="single" w:sz="8" w:color="959595"/>
            </w:tcBorders>
          </w:tcPr>
          <w:p>
            <w:pPr>
              <w:jc w:val="right"/>
              <w:ind w:right="233"/>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r>
      <w:tr>
        <w:trPr>
          <w:trHeight w:val="291"/>
        </w:trPr>
        <w:tc>
          <w:tcPr>
            <w:tcW w:w="886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23628F"/>
              </w:rPr>
              <w:t>Len J. Lauer</w:t>
            </w:r>
            <w:r>
              <w:rPr>
                <w:rFonts w:ascii="Arial" w:cs="Arial" w:eastAsia="Arial" w:hAnsi="Arial"/>
                <w:sz w:val="22"/>
                <w:szCs w:val="22"/>
                <w:b w:val="1"/>
                <w:bCs w:val="1"/>
                <w:color w:val="23628F"/>
                <w:vertAlign w:val="superscript"/>
              </w:rPr>
              <w:t>(7)</w:t>
            </w:r>
          </w:p>
        </w:tc>
        <w:tc>
          <w:tcPr>
            <w:tcW w:w="1040" w:type="dxa"/>
            <w:vAlign w:val="bottom"/>
            <w:tcBorders>
              <w:bottom w:val="single" w:sz="8" w:color="959595"/>
            </w:tcBorders>
          </w:tcPr>
          <w:p>
            <w:pPr>
              <w:jc w:val="right"/>
              <w:ind w:right="93"/>
              <w:spacing w:after="0"/>
              <w:rPr>
                <w:sz w:val="20"/>
                <w:szCs w:val="20"/>
                <w:color w:val="auto"/>
              </w:rPr>
            </w:pPr>
            <w:r>
              <w:rPr>
                <w:rFonts w:ascii="Arial" w:cs="Arial" w:eastAsia="Arial" w:hAnsi="Arial"/>
                <w:sz w:val="13"/>
                <w:szCs w:val="13"/>
                <w:color w:val="auto"/>
              </w:rPr>
              <w:t>142,500</w:t>
            </w:r>
            <w:r>
              <w:rPr>
                <w:rFonts w:ascii="Arial" w:cs="Arial" w:eastAsia="Arial" w:hAnsi="Arial"/>
                <w:sz w:val="22"/>
                <w:szCs w:val="22"/>
                <w:color w:val="auto"/>
                <w:vertAlign w:val="superscript"/>
              </w:rPr>
              <w:t>(5)</w:t>
            </w:r>
          </w:p>
        </w:tc>
        <w:tc>
          <w:tcPr>
            <w:tcW w:w="6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269,986</w:t>
            </w:r>
          </w:p>
        </w:tc>
        <w:tc>
          <w:tcPr>
            <w:tcW w:w="6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412,486</w:t>
            </w:r>
          </w:p>
        </w:tc>
      </w:tr>
      <w:tr>
        <w:trPr>
          <w:trHeight w:val="263"/>
        </w:trPr>
        <w:tc>
          <w:tcPr>
            <w:tcW w:w="886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23628F"/>
              </w:rPr>
              <w:t>Matthew E. Massengill</w:t>
            </w:r>
          </w:p>
        </w:tc>
        <w:tc>
          <w:tcPr>
            <w:tcW w:w="1040" w:type="dxa"/>
            <w:vAlign w:val="bottom"/>
            <w:tcBorders>
              <w:bottom w:val="single" w:sz="8" w:color="959595"/>
            </w:tcBorders>
          </w:tcPr>
          <w:p>
            <w:pPr>
              <w:jc w:val="right"/>
              <w:ind w:right="93"/>
              <w:spacing w:after="0"/>
              <w:rPr>
                <w:sz w:val="20"/>
                <w:szCs w:val="20"/>
                <w:color w:val="auto"/>
              </w:rPr>
            </w:pPr>
            <w:r>
              <w:rPr>
                <w:rFonts w:ascii="Arial" w:cs="Arial" w:eastAsia="Arial" w:hAnsi="Arial"/>
                <w:sz w:val="13"/>
                <w:szCs w:val="13"/>
                <w:color w:val="auto"/>
              </w:rPr>
              <w:t>185,000</w:t>
            </w:r>
            <w:r>
              <w:rPr>
                <w:rFonts w:ascii="Arial" w:cs="Arial" w:eastAsia="Arial" w:hAnsi="Arial"/>
                <w:sz w:val="22"/>
                <w:szCs w:val="22"/>
                <w:color w:val="auto"/>
                <w:vertAlign w:val="superscript"/>
              </w:rPr>
              <w:t>(5)</w:t>
            </w:r>
          </w:p>
        </w:tc>
        <w:tc>
          <w:tcPr>
            <w:tcW w:w="6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289,987</w:t>
            </w:r>
          </w:p>
        </w:tc>
        <w:tc>
          <w:tcPr>
            <w:tcW w:w="6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474,987</w:t>
            </w:r>
          </w:p>
        </w:tc>
      </w:tr>
      <w:tr>
        <w:trPr>
          <w:trHeight w:val="290"/>
        </w:trPr>
        <w:tc>
          <w:tcPr>
            <w:tcW w:w="886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23628F"/>
              </w:rPr>
              <w:t>Paula A. Price</w:t>
            </w:r>
            <w:r>
              <w:rPr>
                <w:rFonts w:ascii="Arial" w:cs="Arial" w:eastAsia="Arial" w:hAnsi="Arial"/>
                <w:sz w:val="22"/>
                <w:szCs w:val="22"/>
                <w:b w:val="1"/>
                <w:bCs w:val="1"/>
                <w:color w:val="23628F"/>
                <w:vertAlign w:val="superscript"/>
              </w:rPr>
              <w:t>(8)</w:t>
            </w:r>
          </w:p>
        </w:tc>
        <w:tc>
          <w:tcPr>
            <w:tcW w:w="1040" w:type="dxa"/>
            <w:vAlign w:val="bottom"/>
            <w:tcBorders>
              <w:bottom w:val="single" w:sz="8" w:color="959595"/>
            </w:tcBorders>
          </w:tcPr>
          <w:p>
            <w:pPr>
              <w:jc w:val="right"/>
              <w:ind w:right="93"/>
              <w:spacing w:after="0"/>
              <w:rPr>
                <w:sz w:val="20"/>
                <w:szCs w:val="20"/>
                <w:color w:val="auto"/>
              </w:rPr>
            </w:pPr>
            <w:r>
              <w:rPr>
                <w:rFonts w:ascii="Arial" w:cs="Arial" w:eastAsia="Arial" w:hAnsi="Arial"/>
                <w:sz w:val="13"/>
                <w:szCs w:val="13"/>
                <w:color w:val="auto"/>
              </w:rPr>
              <w:t>36,243</w:t>
            </w:r>
            <w:r>
              <w:rPr>
                <w:rFonts w:ascii="Arial" w:cs="Arial" w:eastAsia="Arial" w:hAnsi="Arial"/>
                <w:sz w:val="22"/>
                <w:szCs w:val="22"/>
                <w:color w:val="auto"/>
                <w:vertAlign w:val="superscript"/>
              </w:rPr>
              <w:t>(9)</w:t>
            </w:r>
          </w:p>
        </w:tc>
        <w:tc>
          <w:tcPr>
            <w:tcW w:w="6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87,694</w:t>
            </w:r>
          </w:p>
        </w:tc>
        <w:tc>
          <w:tcPr>
            <w:tcW w:w="6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123,937</w:t>
            </w:r>
          </w:p>
        </w:tc>
      </w:tr>
      <w:tr>
        <w:trPr>
          <w:trHeight w:val="264"/>
        </w:trPr>
        <w:tc>
          <w:tcPr>
            <w:tcW w:w="886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23628F"/>
              </w:rPr>
              <w:t>Stephanie A. Streeter</w:t>
            </w:r>
          </w:p>
        </w:tc>
        <w:tc>
          <w:tcPr>
            <w:tcW w:w="104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119,899</w:t>
            </w:r>
            <w:r>
              <w:rPr>
                <w:rFonts w:ascii="Arial" w:cs="Arial" w:eastAsia="Arial" w:hAnsi="Arial"/>
                <w:sz w:val="22"/>
                <w:szCs w:val="22"/>
                <w:color w:val="auto"/>
                <w:vertAlign w:val="superscript"/>
              </w:rPr>
              <w:t>(10)</w:t>
            </w:r>
          </w:p>
        </w:tc>
        <w:tc>
          <w:tcPr>
            <w:tcW w:w="6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239,960</w:t>
            </w:r>
          </w:p>
        </w:tc>
        <w:tc>
          <w:tcPr>
            <w:tcW w:w="6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359,859</w:t>
            </w:r>
          </w:p>
        </w:tc>
      </w:tr>
    </w:tbl>
    <w:p>
      <w:pPr>
        <w:spacing w:after="0" w:line="107" w:lineRule="exact"/>
        <w:rPr>
          <w:sz w:val="20"/>
          <w:szCs w:val="20"/>
          <w:color w:val="auto"/>
        </w:rPr>
      </w:pPr>
    </w:p>
    <w:p>
      <w:pPr>
        <w:ind w:left="300" w:hanging="292"/>
        <w:spacing w:after="0"/>
        <w:tabs>
          <w:tab w:leader="none" w:pos="300" w:val="left"/>
        </w:tabs>
        <w:numPr>
          <w:ilvl w:val="0"/>
          <w:numId w:val="121"/>
        </w:numPr>
        <w:rPr>
          <w:rFonts w:ascii="Arial" w:cs="Arial" w:eastAsia="Arial" w:hAnsi="Arial"/>
          <w:sz w:val="11"/>
          <w:szCs w:val="11"/>
          <w:color w:val="auto"/>
        </w:rPr>
      </w:pPr>
      <w:r>
        <w:rPr>
          <w:rFonts w:ascii="Arial" w:cs="Arial" w:eastAsia="Arial" w:hAnsi="Arial"/>
          <w:sz w:val="13"/>
          <w:szCs w:val="13"/>
          <w:color w:val="auto"/>
        </w:rPr>
        <w:t>For a description of the fees earned by the non-employee directors during fiscal 2020, see the disclosure in the section entitled “Fiscal 2020 Director Compensation Program” above.</w:t>
      </w:r>
    </w:p>
    <w:p>
      <w:pPr>
        <w:spacing w:after="0" w:line="12" w:lineRule="exact"/>
        <w:rPr>
          <w:rFonts w:ascii="Arial" w:cs="Arial" w:eastAsia="Arial" w:hAnsi="Arial"/>
          <w:sz w:val="11"/>
          <w:szCs w:val="11"/>
          <w:color w:val="auto"/>
        </w:rPr>
      </w:pPr>
    </w:p>
    <w:p>
      <w:pPr>
        <w:ind w:left="300" w:right="100" w:hanging="292"/>
        <w:spacing w:after="0" w:line="241" w:lineRule="auto"/>
        <w:tabs>
          <w:tab w:leader="none" w:pos="300" w:val="left"/>
        </w:tabs>
        <w:numPr>
          <w:ilvl w:val="0"/>
          <w:numId w:val="121"/>
        </w:numPr>
        <w:rPr>
          <w:rFonts w:ascii="Arial" w:cs="Arial" w:eastAsia="Arial" w:hAnsi="Arial"/>
          <w:sz w:val="11"/>
          <w:szCs w:val="11"/>
          <w:color w:val="auto"/>
        </w:rPr>
      </w:pPr>
      <w:r>
        <w:rPr>
          <w:rFonts w:ascii="Arial" w:cs="Arial" w:eastAsia="Arial" w:hAnsi="Arial"/>
          <w:sz w:val="13"/>
          <w:szCs w:val="13"/>
          <w:color w:val="auto"/>
        </w:rPr>
        <w:t>The amounts shown reflect the aggregate grant date fair value of equity awards granted in fiscal 2020 computed in accordance with Accounting Standards Codification 718 (“ASC 718”). On the date of our 2019 annual meeting of stockholders (November 14, 2019), each non-employee director at that time was automatically granted 4,763 RSUs (5,756 RSUs for our Chairman of the Board and 5,359 RSUs for our Lead Independent Director). The grant date fair value of each of these awards, calculated using the closing price of our common stock on the Nasdaq Stock Market on the grant date, was $239,960 ($289,987 for our Chairman of the Board and $269,986 for our Lead Independent Director). In addition, Ms. Cote, who was elected as our Lead Independent Director in April 2020 after Mr. Lauer’s passing, received 437 RSUs at that time, representing a prorated portion of the non-employee director annual equity award for our Lead Independent Director, with a grant date fair value of $17,755. Ms. Price received 1,944 RSUs, representing a prorated portion of the non-employee director annual equity award, in connection with her appointment to our Board in June 2020, with a grant date fair value of $87,694. Our Non-Employee Director Restricted Stock Unit Grant Program is more fully described above in the section entitled “Non-Employee Director Equity Awards” above.</w:t>
      </w:r>
    </w:p>
    <w:p>
      <w:pPr>
        <w:spacing w:after="0" w:line="199" w:lineRule="exact"/>
        <w:rPr>
          <w:sz w:val="20"/>
          <w:szCs w:val="20"/>
          <w:color w:val="auto"/>
        </w:rPr>
      </w:pPr>
    </w:p>
    <w:p>
      <w:pPr>
        <w:ind w:left="440" w:hanging="432"/>
        <w:spacing w:after="0"/>
        <w:tabs>
          <w:tab w:leader="none" w:pos="440" w:val="left"/>
        </w:tabs>
        <w:numPr>
          <w:ilvl w:val="0"/>
          <w:numId w:val="122"/>
        </w:numPr>
        <w:rPr>
          <w:rFonts w:ascii="Arial" w:cs="Arial" w:eastAsia="Arial" w:hAnsi="Arial"/>
          <w:sz w:val="18"/>
          <w:szCs w:val="18"/>
          <w:b w:val="1"/>
          <w:bCs w:val="1"/>
          <w:color w:val="23628F"/>
        </w:rPr>
      </w:pPr>
      <w:r>
        <w:rPr>
          <w:rFonts w:ascii="Arial" w:cs="Arial" w:eastAsia="Arial" w:hAnsi="Arial"/>
          <w:sz w:val="13"/>
          <w:szCs w:val="13"/>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153275"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ind w:left="8720"/>
        <w:spacing w:after="0"/>
        <w:rPr>
          <w:sz w:val="20"/>
          <w:szCs w:val="20"/>
          <w:color w:val="auto"/>
        </w:rPr>
      </w:pPr>
      <w:r>
        <w:rPr>
          <w:rFonts w:ascii="Arial" w:cs="Arial" w:eastAsia="Arial" w:hAnsi="Arial"/>
          <w:sz w:val="13"/>
          <w:szCs w:val="13"/>
          <w:color w:val="23628F"/>
        </w:rPr>
        <w:t>CORPORATE GOVERNANCE MATTERS</w:t>
      </w:r>
    </w:p>
    <w:p>
      <w:pPr>
        <w:spacing w:after="0" w:line="215" w:lineRule="exact"/>
        <w:rPr>
          <w:sz w:val="20"/>
          <w:szCs w:val="20"/>
          <w:color w:val="auto"/>
        </w:rPr>
      </w:pPr>
    </w:p>
    <w:p>
      <w:pPr>
        <w:ind w:left="280" w:right="120"/>
        <w:spacing w:after="0" w:line="258" w:lineRule="auto"/>
        <w:rPr>
          <w:sz w:val="20"/>
          <w:szCs w:val="20"/>
          <w:color w:val="auto"/>
        </w:rPr>
      </w:pPr>
      <w:r>
        <w:rPr>
          <w:rFonts w:ascii="Arial" w:cs="Arial" w:eastAsia="Arial" w:hAnsi="Arial"/>
          <w:sz w:val="13"/>
          <w:szCs w:val="13"/>
          <w:color w:val="auto"/>
        </w:rPr>
        <w:t>In addition, the following table presents the aggregate number of shares of our common stock covered by stock awards (and corresponding dividend equivalents settled in stock) held by each of our non-employee directors on July 3, 2020:</w:t>
      </w:r>
    </w:p>
    <w:p>
      <w:pPr>
        <w:spacing w:after="0" w:line="176" w:lineRule="exact"/>
        <w:rPr>
          <w:sz w:val="20"/>
          <w:szCs w:val="20"/>
          <w:color w:val="auto"/>
        </w:rPr>
      </w:pPr>
    </w:p>
    <w:tbl>
      <w:tblPr>
        <w:tblLayout w:type="fixed"/>
        <w:tblInd w:w="280" w:type="dxa"/>
        <w:tblCellMar>
          <w:top w:w="0" w:type="dxa"/>
          <w:left w:w="0" w:type="dxa"/>
          <w:bottom w:w="0" w:type="dxa"/>
          <w:right w:w="0" w:type="dxa"/>
        </w:tblCellMar>
      </w:tblPr>
      <w:tr>
        <w:trPr>
          <w:trHeight w:val="179"/>
        </w:trPr>
        <w:tc>
          <w:tcPr>
            <w:tcW w:w="922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Aggregate</w:t>
            </w:r>
          </w:p>
        </w:tc>
        <w:tc>
          <w:tcPr>
            <w:tcW w:w="820" w:type="dxa"/>
            <w:vAlign w:val="bottom"/>
          </w:tcPr>
          <w:p>
            <w:pPr>
              <w:jc w:val="right"/>
              <w:ind w:right="13"/>
              <w:spacing w:after="0"/>
              <w:rPr>
                <w:sz w:val="20"/>
                <w:szCs w:val="20"/>
                <w:color w:val="auto"/>
              </w:rPr>
            </w:pPr>
            <w:r>
              <w:rPr>
                <w:rFonts w:ascii="Arial" w:cs="Arial" w:eastAsia="Arial" w:hAnsi="Arial"/>
                <w:sz w:val="13"/>
                <w:szCs w:val="13"/>
                <w:b w:val="1"/>
                <w:bCs w:val="1"/>
                <w:color w:val="auto"/>
              </w:rPr>
              <w:t>Aggregate</w:t>
            </w:r>
          </w:p>
        </w:tc>
      </w:tr>
      <w:tr>
        <w:trPr>
          <w:trHeight w:val="148"/>
        </w:trPr>
        <w:tc>
          <w:tcPr>
            <w:tcW w:w="9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Number</w:t>
            </w:r>
          </w:p>
        </w:tc>
        <w:tc>
          <w:tcPr>
            <w:tcW w:w="820" w:type="dxa"/>
            <w:vAlign w:val="bottom"/>
          </w:tcPr>
          <w:p>
            <w:pPr>
              <w:jc w:val="right"/>
              <w:ind w:right="13"/>
              <w:spacing w:after="0"/>
              <w:rPr>
                <w:sz w:val="20"/>
                <w:szCs w:val="20"/>
                <w:color w:val="auto"/>
              </w:rPr>
            </w:pPr>
            <w:r>
              <w:rPr>
                <w:rFonts w:ascii="Arial" w:cs="Arial" w:eastAsia="Arial" w:hAnsi="Arial"/>
                <w:sz w:val="13"/>
                <w:szCs w:val="13"/>
                <w:b w:val="1"/>
                <w:bCs w:val="1"/>
                <w:color w:val="auto"/>
              </w:rPr>
              <w:t>Number of</w:t>
            </w:r>
          </w:p>
        </w:tc>
      </w:tr>
      <w:tr>
        <w:trPr>
          <w:trHeight w:val="148"/>
        </w:trPr>
        <w:tc>
          <w:tcPr>
            <w:tcW w:w="9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of Unvested</w:t>
            </w:r>
          </w:p>
        </w:tc>
        <w:tc>
          <w:tcPr>
            <w:tcW w:w="820" w:type="dxa"/>
            <w:vAlign w:val="bottom"/>
          </w:tcPr>
          <w:p>
            <w:pPr>
              <w:jc w:val="right"/>
              <w:ind w:right="13"/>
              <w:spacing w:after="0"/>
              <w:rPr>
                <w:sz w:val="20"/>
                <w:szCs w:val="20"/>
                <w:color w:val="auto"/>
              </w:rPr>
            </w:pPr>
            <w:r>
              <w:rPr>
                <w:rFonts w:ascii="Arial" w:cs="Arial" w:eastAsia="Arial" w:hAnsi="Arial"/>
                <w:sz w:val="13"/>
                <w:szCs w:val="13"/>
                <w:b w:val="1"/>
                <w:bCs w:val="1"/>
                <w:color w:val="auto"/>
              </w:rPr>
              <w:t>Deferred</w:t>
            </w:r>
          </w:p>
        </w:tc>
      </w:tr>
      <w:tr>
        <w:trPr>
          <w:trHeight w:val="149"/>
        </w:trPr>
        <w:tc>
          <w:tcPr>
            <w:tcW w:w="92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Restricted</w:t>
            </w:r>
          </w:p>
        </w:tc>
        <w:tc>
          <w:tcPr>
            <w:tcW w:w="820" w:type="dxa"/>
            <w:vAlign w:val="bottom"/>
          </w:tcPr>
          <w:p>
            <w:pPr>
              <w:jc w:val="right"/>
              <w:ind w:right="13"/>
              <w:spacing w:after="0"/>
              <w:rPr>
                <w:sz w:val="20"/>
                <w:szCs w:val="20"/>
                <w:color w:val="auto"/>
              </w:rPr>
            </w:pPr>
            <w:r>
              <w:rPr>
                <w:rFonts w:ascii="Arial" w:cs="Arial" w:eastAsia="Arial" w:hAnsi="Arial"/>
                <w:sz w:val="13"/>
                <w:szCs w:val="13"/>
                <w:b w:val="1"/>
                <w:bCs w:val="1"/>
                <w:color w:val="auto"/>
              </w:rPr>
              <w:t>Stock</w:t>
            </w:r>
          </w:p>
        </w:tc>
      </w:tr>
      <w:tr>
        <w:trPr>
          <w:trHeight w:val="203"/>
        </w:trPr>
        <w:tc>
          <w:tcPr>
            <w:tcW w:w="92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rPr>
              <w:t>Name</w:t>
            </w:r>
          </w:p>
        </w:tc>
        <w:tc>
          <w:tcPr>
            <w:tcW w:w="92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Stock Units</w:t>
            </w:r>
          </w:p>
        </w:tc>
        <w:tc>
          <w:tcPr>
            <w:tcW w:w="820" w:type="dxa"/>
            <w:vAlign w:val="bottom"/>
            <w:tcBorders>
              <w:bottom w:val="single" w:sz="8" w:color="auto"/>
            </w:tcBorders>
          </w:tcPr>
          <w:p>
            <w:pPr>
              <w:jc w:val="right"/>
              <w:ind w:right="13"/>
              <w:spacing w:after="0" w:line="203" w:lineRule="exact"/>
              <w:rPr>
                <w:sz w:val="20"/>
                <w:szCs w:val="20"/>
                <w:color w:val="auto"/>
              </w:rPr>
            </w:pPr>
            <w:r>
              <w:rPr>
                <w:rFonts w:ascii="Arial" w:cs="Arial" w:eastAsia="Arial" w:hAnsi="Arial"/>
                <w:sz w:val="13"/>
                <w:szCs w:val="13"/>
                <w:b w:val="1"/>
                <w:bCs w:val="1"/>
                <w:color w:val="auto"/>
              </w:rPr>
              <w:t>Units</w:t>
            </w:r>
            <w:r>
              <w:rPr>
                <w:rFonts w:ascii="Arial" w:cs="Arial" w:eastAsia="Arial" w:hAnsi="Arial"/>
                <w:sz w:val="22"/>
                <w:szCs w:val="22"/>
                <w:b w:val="1"/>
                <w:bCs w:val="1"/>
                <w:color w:val="auto"/>
                <w:vertAlign w:val="superscript"/>
              </w:rPr>
              <w:t>(a)</w:t>
            </w:r>
          </w:p>
        </w:tc>
      </w:tr>
      <w:tr>
        <w:trPr>
          <w:trHeight w:val="195"/>
        </w:trPr>
        <w:tc>
          <w:tcPr>
            <w:tcW w:w="9220" w:type="dxa"/>
            <w:vAlign w:val="bottom"/>
          </w:tcPr>
          <w:p>
            <w:pPr>
              <w:ind w:left="80"/>
              <w:spacing w:after="0"/>
              <w:rPr>
                <w:sz w:val="20"/>
                <w:szCs w:val="20"/>
                <w:color w:val="auto"/>
              </w:rPr>
            </w:pPr>
            <w:r>
              <w:rPr>
                <w:rFonts w:ascii="Arial" w:cs="Arial" w:eastAsia="Arial" w:hAnsi="Arial"/>
                <w:sz w:val="13"/>
                <w:szCs w:val="13"/>
                <w:b w:val="1"/>
                <w:bCs w:val="1"/>
                <w:color w:val="23628F"/>
              </w:rPr>
              <w:t>Kimberly E. Alexy</w:t>
            </w:r>
          </w:p>
        </w:tc>
        <w:tc>
          <w:tcPr>
            <w:tcW w:w="920" w:type="dxa"/>
            <w:vAlign w:val="bottom"/>
          </w:tcPr>
          <w:p>
            <w:pPr>
              <w:jc w:val="right"/>
              <w:ind w:right="13"/>
              <w:spacing w:after="0"/>
              <w:rPr>
                <w:sz w:val="20"/>
                <w:szCs w:val="20"/>
                <w:color w:val="auto"/>
              </w:rPr>
            </w:pPr>
            <w:r>
              <w:rPr>
                <w:rFonts w:ascii="Arial" w:cs="Arial" w:eastAsia="Arial" w:hAnsi="Arial"/>
                <w:sz w:val="13"/>
                <w:szCs w:val="13"/>
                <w:color w:val="auto"/>
              </w:rPr>
              <w:t>4,854</w:t>
            </w: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w:t>
            </w:r>
          </w:p>
        </w:tc>
      </w:tr>
      <w:tr>
        <w:trPr>
          <w:trHeight w:val="41"/>
        </w:trPr>
        <w:tc>
          <w:tcPr>
            <w:tcW w:w="9220" w:type="dxa"/>
            <w:vAlign w:val="bottom"/>
            <w:tcBorders>
              <w:bottom w:val="single" w:sz="8" w:color="959595"/>
            </w:tcBorders>
          </w:tcPr>
          <w:p>
            <w:pPr>
              <w:spacing w:after="0"/>
              <w:rPr>
                <w:sz w:val="3"/>
                <w:szCs w:val="3"/>
                <w:color w:val="auto"/>
              </w:rPr>
            </w:pPr>
          </w:p>
        </w:tc>
        <w:tc>
          <w:tcPr>
            <w:tcW w:w="920" w:type="dxa"/>
            <w:vAlign w:val="bottom"/>
            <w:tcBorders>
              <w:bottom w:val="single" w:sz="8" w:color="959595"/>
            </w:tcBorders>
          </w:tcPr>
          <w:p>
            <w:pPr>
              <w:spacing w:after="0"/>
              <w:rPr>
                <w:sz w:val="3"/>
                <w:szCs w:val="3"/>
                <w:color w:val="auto"/>
              </w:rPr>
            </w:pPr>
          </w:p>
        </w:tc>
        <w:tc>
          <w:tcPr>
            <w:tcW w:w="820" w:type="dxa"/>
            <w:vAlign w:val="bottom"/>
            <w:tcBorders>
              <w:bottom w:val="single" w:sz="8" w:color="959595"/>
            </w:tcBorders>
          </w:tcPr>
          <w:p>
            <w:pPr>
              <w:spacing w:after="0"/>
              <w:rPr>
                <w:sz w:val="3"/>
                <w:szCs w:val="3"/>
                <w:color w:val="auto"/>
              </w:rPr>
            </w:pPr>
          </w:p>
        </w:tc>
      </w:tr>
      <w:tr>
        <w:trPr>
          <w:trHeight w:val="196"/>
        </w:trPr>
        <w:tc>
          <w:tcPr>
            <w:tcW w:w="9220" w:type="dxa"/>
            <w:vAlign w:val="bottom"/>
          </w:tcPr>
          <w:p>
            <w:pPr>
              <w:ind w:left="80"/>
              <w:spacing w:after="0"/>
              <w:rPr>
                <w:sz w:val="20"/>
                <w:szCs w:val="20"/>
                <w:color w:val="auto"/>
              </w:rPr>
            </w:pPr>
            <w:r>
              <w:rPr>
                <w:rFonts w:ascii="Arial" w:cs="Arial" w:eastAsia="Arial" w:hAnsi="Arial"/>
                <w:sz w:val="13"/>
                <w:szCs w:val="13"/>
                <w:b w:val="1"/>
                <w:bCs w:val="1"/>
                <w:color w:val="23628F"/>
              </w:rPr>
              <w:t>Martin I. Cole</w:t>
            </w:r>
          </w:p>
        </w:tc>
        <w:tc>
          <w:tcPr>
            <w:tcW w:w="920" w:type="dxa"/>
            <w:vAlign w:val="bottom"/>
          </w:tcPr>
          <w:p>
            <w:pPr>
              <w:jc w:val="right"/>
              <w:ind w:right="13"/>
              <w:spacing w:after="0"/>
              <w:rPr>
                <w:sz w:val="20"/>
                <w:szCs w:val="20"/>
                <w:color w:val="auto"/>
              </w:rPr>
            </w:pPr>
            <w:r>
              <w:rPr>
                <w:rFonts w:ascii="Arial" w:cs="Arial" w:eastAsia="Arial" w:hAnsi="Arial"/>
                <w:sz w:val="13"/>
                <w:szCs w:val="13"/>
                <w:color w:val="auto"/>
              </w:rPr>
              <w:t>4,854</w:t>
            </w: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w:t>
            </w:r>
          </w:p>
        </w:tc>
      </w:tr>
      <w:tr>
        <w:trPr>
          <w:trHeight w:val="41"/>
        </w:trPr>
        <w:tc>
          <w:tcPr>
            <w:tcW w:w="9220" w:type="dxa"/>
            <w:vAlign w:val="bottom"/>
            <w:tcBorders>
              <w:bottom w:val="single" w:sz="8" w:color="959595"/>
            </w:tcBorders>
          </w:tcPr>
          <w:p>
            <w:pPr>
              <w:spacing w:after="0"/>
              <w:rPr>
                <w:sz w:val="3"/>
                <w:szCs w:val="3"/>
                <w:color w:val="auto"/>
              </w:rPr>
            </w:pPr>
          </w:p>
        </w:tc>
        <w:tc>
          <w:tcPr>
            <w:tcW w:w="920" w:type="dxa"/>
            <w:vAlign w:val="bottom"/>
            <w:tcBorders>
              <w:bottom w:val="single" w:sz="8" w:color="959595"/>
            </w:tcBorders>
          </w:tcPr>
          <w:p>
            <w:pPr>
              <w:spacing w:after="0"/>
              <w:rPr>
                <w:sz w:val="3"/>
                <w:szCs w:val="3"/>
                <w:color w:val="auto"/>
              </w:rPr>
            </w:pPr>
          </w:p>
        </w:tc>
        <w:tc>
          <w:tcPr>
            <w:tcW w:w="820" w:type="dxa"/>
            <w:vAlign w:val="bottom"/>
            <w:tcBorders>
              <w:bottom w:val="single" w:sz="8" w:color="959595"/>
            </w:tcBorders>
          </w:tcPr>
          <w:p>
            <w:pPr>
              <w:spacing w:after="0"/>
              <w:rPr>
                <w:sz w:val="3"/>
                <w:szCs w:val="3"/>
                <w:color w:val="auto"/>
              </w:rPr>
            </w:pPr>
          </w:p>
        </w:tc>
      </w:tr>
      <w:tr>
        <w:trPr>
          <w:trHeight w:val="196"/>
        </w:trPr>
        <w:tc>
          <w:tcPr>
            <w:tcW w:w="9220" w:type="dxa"/>
            <w:vAlign w:val="bottom"/>
          </w:tcPr>
          <w:p>
            <w:pPr>
              <w:ind w:left="80"/>
              <w:spacing w:after="0"/>
              <w:rPr>
                <w:sz w:val="20"/>
                <w:szCs w:val="20"/>
                <w:color w:val="auto"/>
              </w:rPr>
            </w:pPr>
            <w:r>
              <w:rPr>
                <w:rFonts w:ascii="Arial" w:cs="Arial" w:eastAsia="Arial" w:hAnsi="Arial"/>
                <w:sz w:val="13"/>
                <w:szCs w:val="13"/>
                <w:b w:val="1"/>
                <w:bCs w:val="1"/>
                <w:color w:val="23628F"/>
              </w:rPr>
              <w:t>Kathleen A. Cote</w:t>
            </w:r>
          </w:p>
        </w:tc>
        <w:tc>
          <w:tcPr>
            <w:tcW w:w="920" w:type="dxa"/>
            <w:vAlign w:val="bottom"/>
          </w:tcPr>
          <w:p>
            <w:pPr>
              <w:jc w:val="right"/>
              <w:ind w:right="13"/>
              <w:spacing w:after="0"/>
              <w:rPr>
                <w:sz w:val="20"/>
                <w:szCs w:val="20"/>
                <w:color w:val="auto"/>
              </w:rPr>
            </w:pPr>
            <w:r>
              <w:rPr>
                <w:rFonts w:ascii="Arial" w:cs="Arial" w:eastAsia="Arial" w:hAnsi="Arial"/>
                <w:sz w:val="13"/>
                <w:szCs w:val="13"/>
                <w:color w:val="auto"/>
              </w:rPr>
              <w:t>5,291</w:t>
            </w: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29,188</w:t>
            </w:r>
          </w:p>
        </w:tc>
      </w:tr>
      <w:tr>
        <w:trPr>
          <w:trHeight w:val="41"/>
        </w:trPr>
        <w:tc>
          <w:tcPr>
            <w:tcW w:w="9220" w:type="dxa"/>
            <w:vAlign w:val="bottom"/>
            <w:tcBorders>
              <w:bottom w:val="single" w:sz="8" w:color="959595"/>
            </w:tcBorders>
          </w:tcPr>
          <w:p>
            <w:pPr>
              <w:spacing w:after="0"/>
              <w:rPr>
                <w:sz w:val="3"/>
                <w:szCs w:val="3"/>
                <w:color w:val="auto"/>
              </w:rPr>
            </w:pPr>
          </w:p>
        </w:tc>
        <w:tc>
          <w:tcPr>
            <w:tcW w:w="920" w:type="dxa"/>
            <w:vAlign w:val="bottom"/>
            <w:tcBorders>
              <w:bottom w:val="single" w:sz="8" w:color="959595"/>
            </w:tcBorders>
          </w:tcPr>
          <w:p>
            <w:pPr>
              <w:spacing w:after="0"/>
              <w:rPr>
                <w:sz w:val="3"/>
                <w:szCs w:val="3"/>
                <w:color w:val="auto"/>
              </w:rPr>
            </w:pPr>
          </w:p>
        </w:tc>
        <w:tc>
          <w:tcPr>
            <w:tcW w:w="820" w:type="dxa"/>
            <w:vAlign w:val="bottom"/>
            <w:tcBorders>
              <w:bottom w:val="single" w:sz="8" w:color="959595"/>
            </w:tcBorders>
          </w:tcPr>
          <w:p>
            <w:pPr>
              <w:spacing w:after="0"/>
              <w:rPr>
                <w:sz w:val="3"/>
                <w:szCs w:val="3"/>
                <w:color w:val="auto"/>
              </w:rPr>
            </w:pPr>
          </w:p>
        </w:tc>
      </w:tr>
      <w:tr>
        <w:trPr>
          <w:trHeight w:val="195"/>
        </w:trPr>
        <w:tc>
          <w:tcPr>
            <w:tcW w:w="9220" w:type="dxa"/>
            <w:vAlign w:val="bottom"/>
          </w:tcPr>
          <w:p>
            <w:pPr>
              <w:ind w:left="80"/>
              <w:spacing w:after="0"/>
              <w:rPr>
                <w:sz w:val="20"/>
                <w:szCs w:val="20"/>
                <w:color w:val="auto"/>
              </w:rPr>
            </w:pPr>
            <w:r>
              <w:rPr>
                <w:rFonts w:ascii="Arial" w:cs="Arial" w:eastAsia="Arial" w:hAnsi="Arial"/>
                <w:sz w:val="13"/>
                <w:szCs w:val="13"/>
                <w:b w:val="1"/>
                <w:bCs w:val="1"/>
                <w:color w:val="23628F"/>
              </w:rPr>
              <w:t>Henry T. DeNero</w:t>
            </w:r>
          </w:p>
        </w:tc>
        <w:tc>
          <w:tcPr>
            <w:tcW w:w="92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40,939</w:t>
            </w:r>
          </w:p>
        </w:tc>
      </w:tr>
      <w:tr>
        <w:trPr>
          <w:trHeight w:val="41"/>
        </w:trPr>
        <w:tc>
          <w:tcPr>
            <w:tcW w:w="9220" w:type="dxa"/>
            <w:vAlign w:val="bottom"/>
            <w:tcBorders>
              <w:bottom w:val="single" w:sz="8" w:color="959595"/>
            </w:tcBorders>
          </w:tcPr>
          <w:p>
            <w:pPr>
              <w:spacing w:after="0"/>
              <w:rPr>
                <w:sz w:val="3"/>
                <w:szCs w:val="3"/>
                <w:color w:val="auto"/>
              </w:rPr>
            </w:pPr>
          </w:p>
        </w:tc>
        <w:tc>
          <w:tcPr>
            <w:tcW w:w="920" w:type="dxa"/>
            <w:vAlign w:val="bottom"/>
            <w:tcBorders>
              <w:bottom w:val="single" w:sz="8" w:color="959595"/>
            </w:tcBorders>
          </w:tcPr>
          <w:p>
            <w:pPr>
              <w:spacing w:after="0"/>
              <w:rPr>
                <w:sz w:val="3"/>
                <w:szCs w:val="3"/>
                <w:color w:val="auto"/>
              </w:rPr>
            </w:pPr>
          </w:p>
        </w:tc>
        <w:tc>
          <w:tcPr>
            <w:tcW w:w="820" w:type="dxa"/>
            <w:vAlign w:val="bottom"/>
            <w:tcBorders>
              <w:bottom w:val="single" w:sz="8" w:color="959595"/>
            </w:tcBorders>
          </w:tcPr>
          <w:p>
            <w:pPr>
              <w:spacing w:after="0"/>
              <w:rPr>
                <w:sz w:val="3"/>
                <w:szCs w:val="3"/>
                <w:color w:val="auto"/>
              </w:rPr>
            </w:pPr>
          </w:p>
        </w:tc>
      </w:tr>
      <w:tr>
        <w:trPr>
          <w:trHeight w:val="195"/>
        </w:trPr>
        <w:tc>
          <w:tcPr>
            <w:tcW w:w="9220" w:type="dxa"/>
            <w:vAlign w:val="bottom"/>
          </w:tcPr>
          <w:p>
            <w:pPr>
              <w:ind w:left="80"/>
              <w:spacing w:after="0"/>
              <w:rPr>
                <w:sz w:val="20"/>
                <w:szCs w:val="20"/>
                <w:color w:val="auto"/>
              </w:rPr>
            </w:pPr>
            <w:r>
              <w:rPr>
                <w:rFonts w:ascii="Arial" w:cs="Arial" w:eastAsia="Arial" w:hAnsi="Arial"/>
                <w:sz w:val="13"/>
                <w:szCs w:val="13"/>
                <w:b w:val="1"/>
                <w:bCs w:val="1"/>
                <w:color w:val="23628F"/>
              </w:rPr>
              <w:t>Tunç Doluca</w:t>
            </w:r>
          </w:p>
        </w:tc>
        <w:tc>
          <w:tcPr>
            <w:tcW w:w="920" w:type="dxa"/>
            <w:vAlign w:val="bottom"/>
          </w:tcPr>
          <w:p>
            <w:pPr>
              <w:jc w:val="right"/>
              <w:ind w:right="13"/>
              <w:spacing w:after="0"/>
              <w:rPr>
                <w:sz w:val="20"/>
                <w:szCs w:val="20"/>
                <w:color w:val="auto"/>
              </w:rPr>
            </w:pPr>
            <w:r>
              <w:rPr>
                <w:rFonts w:ascii="Arial" w:cs="Arial" w:eastAsia="Arial" w:hAnsi="Arial"/>
                <w:sz w:val="13"/>
                <w:szCs w:val="13"/>
                <w:color w:val="auto"/>
              </w:rPr>
              <w:t>4,854</w:t>
            </w: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w:t>
            </w:r>
          </w:p>
        </w:tc>
      </w:tr>
      <w:tr>
        <w:trPr>
          <w:trHeight w:val="41"/>
        </w:trPr>
        <w:tc>
          <w:tcPr>
            <w:tcW w:w="9220" w:type="dxa"/>
            <w:vAlign w:val="bottom"/>
            <w:tcBorders>
              <w:bottom w:val="single" w:sz="8" w:color="959595"/>
            </w:tcBorders>
          </w:tcPr>
          <w:p>
            <w:pPr>
              <w:spacing w:after="0"/>
              <w:rPr>
                <w:sz w:val="3"/>
                <w:szCs w:val="3"/>
                <w:color w:val="auto"/>
              </w:rPr>
            </w:pPr>
          </w:p>
        </w:tc>
        <w:tc>
          <w:tcPr>
            <w:tcW w:w="920" w:type="dxa"/>
            <w:vAlign w:val="bottom"/>
            <w:tcBorders>
              <w:bottom w:val="single" w:sz="8" w:color="959595"/>
            </w:tcBorders>
          </w:tcPr>
          <w:p>
            <w:pPr>
              <w:spacing w:after="0"/>
              <w:rPr>
                <w:sz w:val="3"/>
                <w:szCs w:val="3"/>
                <w:color w:val="auto"/>
              </w:rPr>
            </w:pPr>
          </w:p>
        </w:tc>
        <w:tc>
          <w:tcPr>
            <w:tcW w:w="820" w:type="dxa"/>
            <w:vAlign w:val="bottom"/>
            <w:tcBorders>
              <w:bottom w:val="single" w:sz="8" w:color="959595"/>
            </w:tcBorders>
          </w:tcPr>
          <w:p>
            <w:pPr>
              <w:spacing w:after="0"/>
              <w:rPr>
                <w:sz w:val="3"/>
                <w:szCs w:val="3"/>
                <w:color w:val="auto"/>
              </w:rPr>
            </w:pPr>
          </w:p>
        </w:tc>
      </w:tr>
      <w:tr>
        <w:trPr>
          <w:trHeight w:val="196"/>
        </w:trPr>
        <w:tc>
          <w:tcPr>
            <w:tcW w:w="9220" w:type="dxa"/>
            <w:vAlign w:val="bottom"/>
          </w:tcPr>
          <w:p>
            <w:pPr>
              <w:ind w:left="80"/>
              <w:spacing w:after="0"/>
              <w:rPr>
                <w:sz w:val="20"/>
                <w:szCs w:val="20"/>
                <w:color w:val="auto"/>
              </w:rPr>
            </w:pPr>
            <w:r>
              <w:rPr>
                <w:rFonts w:ascii="Arial" w:cs="Arial" w:eastAsia="Arial" w:hAnsi="Arial"/>
                <w:sz w:val="13"/>
                <w:szCs w:val="13"/>
                <w:b w:val="1"/>
                <w:bCs w:val="1"/>
                <w:color w:val="23628F"/>
              </w:rPr>
              <w:t>Michael D. Lambert</w:t>
            </w:r>
          </w:p>
        </w:tc>
        <w:tc>
          <w:tcPr>
            <w:tcW w:w="92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w:t>
            </w:r>
          </w:p>
        </w:tc>
      </w:tr>
      <w:tr>
        <w:trPr>
          <w:trHeight w:val="41"/>
        </w:trPr>
        <w:tc>
          <w:tcPr>
            <w:tcW w:w="9220" w:type="dxa"/>
            <w:vAlign w:val="bottom"/>
            <w:tcBorders>
              <w:bottom w:val="single" w:sz="8" w:color="959595"/>
            </w:tcBorders>
          </w:tcPr>
          <w:p>
            <w:pPr>
              <w:spacing w:after="0"/>
              <w:rPr>
                <w:sz w:val="3"/>
                <w:szCs w:val="3"/>
                <w:color w:val="auto"/>
              </w:rPr>
            </w:pPr>
          </w:p>
        </w:tc>
        <w:tc>
          <w:tcPr>
            <w:tcW w:w="920" w:type="dxa"/>
            <w:vAlign w:val="bottom"/>
            <w:tcBorders>
              <w:bottom w:val="single" w:sz="8" w:color="959595"/>
            </w:tcBorders>
          </w:tcPr>
          <w:p>
            <w:pPr>
              <w:spacing w:after="0"/>
              <w:rPr>
                <w:sz w:val="3"/>
                <w:szCs w:val="3"/>
                <w:color w:val="auto"/>
              </w:rPr>
            </w:pPr>
          </w:p>
        </w:tc>
        <w:tc>
          <w:tcPr>
            <w:tcW w:w="820" w:type="dxa"/>
            <w:vAlign w:val="bottom"/>
            <w:tcBorders>
              <w:bottom w:val="single" w:sz="8" w:color="959595"/>
            </w:tcBorders>
          </w:tcPr>
          <w:p>
            <w:pPr>
              <w:spacing w:after="0"/>
              <w:rPr>
                <w:sz w:val="3"/>
                <w:szCs w:val="3"/>
                <w:color w:val="auto"/>
              </w:rPr>
            </w:pPr>
          </w:p>
        </w:tc>
      </w:tr>
      <w:tr>
        <w:trPr>
          <w:trHeight w:val="196"/>
        </w:trPr>
        <w:tc>
          <w:tcPr>
            <w:tcW w:w="9220" w:type="dxa"/>
            <w:vAlign w:val="bottom"/>
          </w:tcPr>
          <w:p>
            <w:pPr>
              <w:ind w:left="80"/>
              <w:spacing w:after="0"/>
              <w:rPr>
                <w:sz w:val="20"/>
                <w:szCs w:val="20"/>
                <w:color w:val="auto"/>
              </w:rPr>
            </w:pPr>
            <w:r>
              <w:rPr>
                <w:rFonts w:ascii="Arial" w:cs="Arial" w:eastAsia="Arial" w:hAnsi="Arial"/>
                <w:sz w:val="13"/>
                <w:szCs w:val="13"/>
                <w:b w:val="1"/>
                <w:bCs w:val="1"/>
                <w:color w:val="23628F"/>
              </w:rPr>
              <w:t>Len J. Lauer</w:t>
            </w:r>
          </w:p>
        </w:tc>
        <w:tc>
          <w:tcPr>
            <w:tcW w:w="92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w:t>
            </w:r>
          </w:p>
        </w:tc>
      </w:tr>
      <w:tr>
        <w:trPr>
          <w:trHeight w:val="41"/>
        </w:trPr>
        <w:tc>
          <w:tcPr>
            <w:tcW w:w="9220" w:type="dxa"/>
            <w:vAlign w:val="bottom"/>
            <w:tcBorders>
              <w:bottom w:val="single" w:sz="8" w:color="959595"/>
            </w:tcBorders>
          </w:tcPr>
          <w:p>
            <w:pPr>
              <w:spacing w:after="0"/>
              <w:rPr>
                <w:sz w:val="3"/>
                <w:szCs w:val="3"/>
                <w:color w:val="auto"/>
              </w:rPr>
            </w:pPr>
          </w:p>
        </w:tc>
        <w:tc>
          <w:tcPr>
            <w:tcW w:w="920" w:type="dxa"/>
            <w:vAlign w:val="bottom"/>
            <w:tcBorders>
              <w:bottom w:val="single" w:sz="8" w:color="959595"/>
            </w:tcBorders>
          </w:tcPr>
          <w:p>
            <w:pPr>
              <w:spacing w:after="0"/>
              <w:rPr>
                <w:sz w:val="3"/>
                <w:szCs w:val="3"/>
                <w:color w:val="auto"/>
              </w:rPr>
            </w:pPr>
          </w:p>
        </w:tc>
        <w:tc>
          <w:tcPr>
            <w:tcW w:w="820" w:type="dxa"/>
            <w:vAlign w:val="bottom"/>
            <w:tcBorders>
              <w:bottom w:val="single" w:sz="8" w:color="959595"/>
            </w:tcBorders>
          </w:tcPr>
          <w:p>
            <w:pPr>
              <w:spacing w:after="0"/>
              <w:rPr>
                <w:sz w:val="3"/>
                <w:szCs w:val="3"/>
                <w:color w:val="auto"/>
              </w:rPr>
            </w:pPr>
          </w:p>
        </w:tc>
      </w:tr>
      <w:tr>
        <w:trPr>
          <w:trHeight w:val="196"/>
        </w:trPr>
        <w:tc>
          <w:tcPr>
            <w:tcW w:w="9220" w:type="dxa"/>
            <w:vAlign w:val="bottom"/>
          </w:tcPr>
          <w:p>
            <w:pPr>
              <w:ind w:left="80"/>
              <w:spacing w:after="0"/>
              <w:rPr>
                <w:sz w:val="20"/>
                <w:szCs w:val="20"/>
                <w:color w:val="auto"/>
              </w:rPr>
            </w:pPr>
            <w:r>
              <w:rPr>
                <w:rFonts w:ascii="Arial" w:cs="Arial" w:eastAsia="Arial" w:hAnsi="Arial"/>
                <w:sz w:val="13"/>
                <w:szCs w:val="13"/>
                <w:b w:val="1"/>
                <w:bCs w:val="1"/>
                <w:color w:val="23628F"/>
              </w:rPr>
              <w:t>Matthew E. Massengill</w:t>
            </w:r>
          </w:p>
        </w:tc>
        <w:tc>
          <w:tcPr>
            <w:tcW w:w="920" w:type="dxa"/>
            <w:vAlign w:val="bottom"/>
          </w:tcPr>
          <w:p>
            <w:pPr>
              <w:jc w:val="right"/>
              <w:ind w:right="13"/>
              <w:spacing w:after="0"/>
              <w:rPr>
                <w:sz w:val="20"/>
                <w:szCs w:val="20"/>
                <w:color w:val="auto"/>
              </w:rPr>
            </w:pPr>
            <w:r>
              <w:rPr>
                <w:rFonts w:ascii="Arial" w:cs="Arial" w:eastAsia="Arial" w:hAnsi="Arial"/>
                <w:sz w:val="13"/>
                <w:szCs w:val="13"/>
                <w:color w:val="auto"/>
              </w:rPr>
              <w:t>5,866</w:t>
            </w: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w:t>
            </w:r>
          </w:p>
        </w:tc>
      </w:tr>
      <w:tr>
        <w:trPr>
          <w:trHeight w:val="41"/>
        </w:trPr>
        <w:tc>
          <w:tcPr>
            <w:tcW w:w="9220" w:type="dxa"/>
            <w:vAlign w:val="bottom"/>
            <w:tcBorders>
              <w:bottom w:val="single" w:sz="8" w:color="959595"/>
            </w:tcBorders>
          </w:tcPr>
          <w:p>
            <w:pPr>
              <w:spacing w:after="0"/>
              <w:rPr>
                <w:sz w:val="3"/>
                <w:szCs w:val="3"/>
                <w:color w:val="auto"/>
              </w:rPr>
            </w:pPr>
          </w:p>
        </w:tc>
        <w:tc>
          <w:tcPr>
            <w:tcW w:w="920" w:type="dxa"/>
            <w:vAlign w:val="bottom"/>
            <w:tcBorders>
              <w:bottom w:val="single" w:sz="8" w:color="959595"/>
            </w:tcBorders>
          </w:tcPr>
          <w:p>
            <w:pPr>
              <w:spacing w:after="0"/>
              <w:rPr>
                <w:sz w:val="3"/>
                <w:szCs w:val="3"/>
                <w:color w:val="auto"/>
              </w:rPr>
            </w:pPr>
          </w:p>
        </w:tc>
        <w:tc>
          <w:tcPr>
            <w:tcW w:w="820" w:type="dxa"/>
            <w:vAlign w:val="bottom"/>
            <w:tcBorders>
              <w:bottom w:val="single" w:sz="8" w:color="959595"/>
            </w:tcBorders>
          </w:tcPr>
          <w:p>
            <w:pPr>
              <w:spacing w:after="0"/>
              <w:rPr>
                <w:sz w:val="3"/>
                <w:szCs w:val="3"/>
                <w:color w:val="auto"/>
              </w:rPr>
            </w:pPr>
          </w:p>
        </w:tc>
      </w:tr>
      <w:tr>
        <w:trPr>
          <w:trHeight w:val="195"/>
        </w:trPr>
        <w:tc>
          <w:tcPr>
            <w:tcW w:w="9220" w:type="dxa"/>
            <w:vAlign w:val="bottom"/>
          </w:tcPr>
          <w:p>
            <w:pPr>
              <w:ind w:left="80"/>
              <w:spacing w:after="0"/>
              <w:rPr>
                <w:sz w:val="20"/>
                <w:szCs w:val="20"/>
                <w:color w:val="auto"/>
              </w:rPr>
            </w:pPr>
            <w:r>
              <w:rPr>
                <w:rFonts w:ascii="Arial" w:cs="Arial" w:eastAsia="Arial" w:hAnsi="Arial"/>
                <w:sz w:val="13"/>
                <w:szCs w:val="13"/>
                <w:b w:val="1"/>
                <w:bCs w:val="1"/>
                <w:color w:val="23628F"/>
              </w:rPr>
              <w:t>Paula A. Price</w:t>
            </w:r>
          </w:p>
        </w:tc>
        <w:tc>
          <w:tcPr>
            <w:tcW w:w="920" w:type="dxa"/>
            <w:vAlign w:val="bottom"/>
          </w:tcPr>
          <w:p>
            <w:pPr>
              <w:jc w:val="right"/>
              <w:ind w:right="13"/>
              <w:spacing w:after="0"/>
              <w:rPr>
                <w:sz w:val="20"/>
                <w:szCs w:val="20"/>
                <w:color w:val="auto"/>
              </w:rPr>
            </w:pPr>
            <w:r>
              <w:rPr>
                <w:rFonts w:ascii="Arial" w:cs="Arial" w:eastAsia="Arial" w:hAnsi="Arial"/>
                <w:sz w:val="13"/>
                <w:szCs w:val="13"/>
                <w:color w:val="auto"/>
              </w:rPr>
              <w:t>1,944</w:t>
            </w: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w:t>
            </w:r>
          </w:p>
        </w:tc>
      </w:tr>
      <w:tr>
        <w:trPr>
          <w:trHeight w:val="41"/>
        </w:trPr>
        <w:tc>
          <w:tcPr>
            <w:tcW w:w="9220" w:type="dxa"/>
            <w:vAlign w:val="bottom"/>
            <w:tcBorders>
              <w:bottom w:val="single" w:sz="8" w:color="959595"/>
            </w:tcBorders>
          </w:tcPr>
          <w:p>
            <w:pPr>
              <w:spacing w:after="0"/>
              <w:rPr>
                <w:sz w:val="3"/>
                <w:szCs w:val="3"/>
                <w:color w:val="auto"/>
              </w:rPr>
            </w:pPr>
          </w:p>
        </w:tc>
        <w:tc>
          <w:tcPr>
            <w:tcW w:w="920" w:type="dxa"/>
            <w:vAlign w:val="bottom"/>
            <w:tcBorders>
              <w:bottom w:val="single" w:sz="8" w:color="959595"/>
            </w:tcBorders>
          </w:tcPr>
          <w:p>
            <w:pPr>
              <w:spacing w:after="0"/>
              <w:rPr>
                <w:sz w:val="3"/>
                <w:szCs w:val="3"/>
                <w:color w:val="auto"/>
              </w:rPr>
            </w:pPr>
          </w:p>
        </w:tc>
        <w:tc>
          <w:tcPr>
            <w:tcW w:w="820" w:type="dxa"/>
            <w:vAlign w:val="bottom"/>
            <w:tcBorders>
              <w:bottom w:val="single" w:sz="8" w:color="959595"/>
            </w:tcBorders>
          </w:tcPr>
          <w:p>
            <w:pPr>
              <w:spacing w:after="0"/>
              <w:rPr>
                <w:sz w:val="3"/>
                <w:szCs w:val="3"/>
                <w:color w:val="auto"/>
              </w:rPr>
            </w:pPr>
          </w:p>
        </w:tc>
      </w:tr>
      <w:tr>
        <w:trPr>
          <w:trHeight w:val="195"/>
        </w:trPr>
        <w:tc>
          <w:tcPr>
            <w:tcW w:w="9220" w:type="dxa"/>
            <w:vAlign w:val="bottom"/>
          </w:tcPr>
          <w:p>
            <w:pPr>
              <w:ind w:left="80"/>
              <w:spacing w:after="0"/>
              <w:rPr>
                <w:sz w:val="20"/>
                <w:szCs w:val="20"/>
                <w:color w:val="auto"/>
              </w:rPr>
            </w:pPr>
            <w:r>
              <w:rPr>
                <w:rFonts w:ascii="Arial" w:cs="Arial" w:eastAsia="Arial" w:hAnsi="Arial"/>
                <w:sz w:val="13"/>
                <w:szCs w:val="13"/>
                <w:b w:val="1"/>
                <w:bCs w:val="1"/>
                <w:color w:val="23628F"/>
              </w:rPr>
              <w:t>Stephanie A. Streeter</w:t>
            </w:r>
          </w:p>
        </w:tc>
        <w:tc>
          <w:tcPr>
            <w:tcW w:w="920" w:type="dxa"/>
            <w:vAlign w:val="bottom"/>
          </w:tcPr>
          <w:p>
            <w:pPr>
              <w:jc w:val="right"/>
              <w:ind w:right="13"/>
              <w:spacing w:after="0"/>
              <w:rPr>
                <w:sz w:val="20"/>
                <w:szCs w:val="20"/>
                <w:color w:val="auto"/>
              </w:rPr>
            </w:pPr>
            <w:r>
              <w:rPr>
                <w:rFonts w:ascii="Arial" w:cs="Arial" w:eastAsia="Arial" w:hAnsi="Arial"/>
                <w:sz w:val="13"/>
                <w:szCs w:val="13"/>
                <w:color w:val="auto"/>
              </w:rPr>
              <w:t>4,854</w:t>
            </w: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w:t>
            </w:r>
          </w:p>
        </w:tc>
      </w:tr>
      <w:tr>
        <w:trPr>
          <w:trHeight w:val="41"/>
        </w:trPr>
        <w:tc>
          <w:tcPr>
            <w:tcW w:w="9220" w:type="dxa"/>
            <w:vAlign w:val="bottom"/>
            <w:tcBorders>
              <w:bottom w:val="single" w:sz="8" w:color="959595"/>
            </w:tcBorders>
          </w:tcPr>
          <w:p>
            <w:pPr>
              <w:spacing w:after="0"/>
              <w:rPr>
                <w:sz w:val="3"/>
                <w:szCs w:val="3"/>
                <w:color w:val="auto"/>
              </w:rPr>
            </w:pPr>
          </w:p>
        </w:tc>
        <w:tc>
          <w:tcPr>
            <w:tcW w:w="920" w:type="dxa"/>
            <w:vAlign w:val="bottom"/>
            <w:tcBorders>
              <w:bottom w:val="single" w:sz="8" w:color="959595"/>
            </w:tcBorders>
          </w:tcPr>
          <w:p>
            <w:pPr>
              <w:spacing w:after="0"/>
              <w:rPr>
                <w:sz w:val="3"/>
                <w:szCs w:val="3"/>
                <w:color w:val="auto"/>
              </w:rPr>
            </w:pPr>
          </w:p>
        </w:tc>
        <w:tc>
          <w:tcPr>
            <w:tcW w:w="820" w:type="dxa"/>
            <w:vAlign w:val="bottom"/>
            <w:tcBorders>
              <w:bottom w:val="single" w:sz="8" w:color="959595"/>
            </w:tcBorders>
          </w:tcPr>
          <w:p>
            <w:pPr>
              <w:spacing w:after="0"/>
              <w:rPr>
                <w:sz w:val="3"/>
                <w:szCs w:val="3"/>
                <w:color w:val="auto"/>
              </w:rPr>
            </w:pPr>
          </w:p>
        </w:tc>
      </w:tr>
    </w:tbl>
    <w:p>
      <w:pPr>
        <w:spacing w:after="0" w:line="107" w:lineRule="exact"/>
        <w:rPr>
          <w:sz w:val="20"/>
          <w:szCs w:val="20"/>
          <w:color w:val="auto"/>
        </w:rPr>
      </w:pPr>
    </w:p>
    <w:p>
      <w:pPr>
        <w:ind w:left="580" w:right="120" w:hanging="289"/>
        <w:spacing w:after="0" w:line="238" w:lineRule="auto"/>
        <w:tabs>
          <w:tab w:leader="none" w:pos="580" w:val="left"/>
        </w:tabs>
        <w:numPr>
          <w:ilvl w:val="1"/>
          <w:numId w:val="123"/>
        </w:numPr>
        <w:rPr>
          <w:rFonts w:ascii="Arial" w:cs="Arial" w:eastAsia="Arial" w:hAnsi="Arial"/>
          <w:sz w:val="11"/>
          <w:szCs w:val="11"/>
          <w:color w:val="auto"/>
        </w:rPr>
      </w:pPr>
      <w:r>
        <w:rPr>
          <w:rFonts w:ascii="Arial" w:cs="Arial" w:eastAsia="Arial" w:hAnsi="Arial"/>
          <w:sz w:val="13"/>
          <w:szCs w:val="13"/>
          <w:color w:val="auto"/>
        </w:rPr>
        <w:t>This amount consists of stock units (and corresponding dividend equivalents settled in stock) that the director has elected to defer under our Deferred Compensation Plan pursuant to: (i) our Non-Employee Directors Stock-for-Fees Plan in lieu of all or a portion of annual retainer or meeting fees earned by the director during the year of the election; and/or (ii) our Non-Employee Director Restricted Stock Unit Grant Program. The deferred stock units are fully vested and payable in an equivalent number of shares of our common stock on the payment date specified in accordance with the non-employee director’s deferral election. For a description of the Non-Employee Director Restricted Stock Unit Grant Program and our Deferred Compensation Plan, see the section entitled “Fiscal 2020 Director Compensation Program” above. The Non-Employee Directors Stock-for-Fees Plan expired in fiscal 2013, and no new awards are permitted under that plan. Directors are entitled to receive dividend equivalents settled in cash on stock units previously deferred under the Non-Employee Directors Stock-for-Fees Plan.</w:t>
      </w:r>
    </w:p>
    <w:p>
      <w:pPr>
        <w:spacing w:after="0" w:line="1" w:lineRule="exact"/>
        <w:rPr>
          <w:rFonts w:ascii="Arial" w:cs="Arial" w:eastAsia="Arial" w:hAnsi="Arial"/>
          <w:sz w:val="11"/>
          <w:szCs w:val="11"/>
          <w:color w:val="auto"/>
        </w:rPr>
      </w:pPr>
    </w:p>
    <w:p>
      <w:pPr>
        <w:ind w:left="300" w:right="20" w:hanging="292"/>
        <w:spacing w:after="0"/>
        <w:tabs>
          <w:tab w:leader="none" w:pos="300" w:val="left"/>
        </w:tabs>
        <w:numPr>
          <w:ilvl w:val="0"/>
          <w:numId w:val="124"/>
        </w:numPr>
        <w:rPr>
          <w:rFonts w:ascii="Arial" w:cs="Arial" w:eastAsia="Arial" w:hAnsi="Arial"/>
          <w:sz w:val="11"/>
          <w:szCs w:val="11"/>
          <w:color w:val="auto"/>
        </w:rPr>
      </w:pPr>
      <w:r>
        <w:rPr>
          <w:rFonts w:ascii="Arial" w:cs="Arial" w:eastAsia="Arial" w:hAnsi="Arial"/>
          <w:sz w:val="13"/>
          <w:szCs w:val="13"/>
          <w:color w:val="auto"/>
        </w:rPr>
        <w:t>Includes a prorated annual Audit Committee Chair retainer in the amount of $9,140 paid to Ms. Alexy in connection with her appointment as our Audit Committee Chair in July 2019 and a prorated annual Governance Committee retainer in the amount of $5,919 in connection with her appointment to the Governance Committee following Mr. Lauer’s passing in April 2020.</w:t>
      </w:r>
    </w:p>
    <w:p>
      <w:pPr>
        <w:spacing w:after="0" w:line="146" w:lineRule="exact"/>
        <w:rPr>
          <w:rFonts w:ascii="Arial" w:cs="Arial" w:eastAsia="Arial" w:hAnsi="Arial"/>
          <w:sz w:val="11"/>
          <w:szCs w:val="11"/>
          <w:color w:val="auto"/>
        </w:rPr>
      </w:pPr>
    </w:p>
    <w:p>
      <w:pPr>
        <w:ind w:left="300" w:right="40" w:hanging="292"/>
        <w:spacing w:after="0" w:line="238" w:lineRule="auto"/>
        <w:tabs>
          <w:tab w:leader="none" w:pos="300" w:val="left"/>
        </w:tabs>
        <w:numPr>
          <w:ilvl w:val="0"/>
          <w:numId w:val="124"/>
        </w:numPr>
        <w:rPr>
          <w:rFonts w:ascii="Arial" w:cs="Arial" w:eastAsia="Arial" w:hAnsi="Arial"/>
          <w:sz w:val="11"/>
          <w:szCs w:val="11"/>
          <w:color w:val="auto"/>
        </w:rPr>
      </w:pPr>
      <w:r>
        <w:rPr>
          <w:rFonts w:ascii="Arial" w:cs="Arial" w:eastAsia="Arial" w:hAnsi="Arial"/>
          <w:sz w:val="13"/>
          <w:szCs w:val="13"/>
          <w:color w:val="auto"/>
        </w:rPr>
        <w:t>Includes the CEO Search Committee retainer in the amount of $10,000 and a prorated annual Compensation and Talent Committee Chair retainer in the amount of $13,317 and a prorated annual Compensation and Talent Committee retainer in the amount of $7,399 paid to Mr. Cole in connection with his appointment as our Compensation and Talent Committee Chair following Mr. Lauer’s passing in April 2020.</w:t>
      </w:r>
    </w:p>
    <w:p>
      <w:pPr>
        <w:ind w:left="300" w:hanging="292"/>
        <w:spacing w:after="0"/>
        <w:tabs>
          <w:tab w:leader="none" w:pos="300" w:val="left"/>
        </w:tabs>
        <w:numPr>
          <w:ilvl w:val="0"/>
          <w:numId w:val="124"/>
        </w:numPr>
        <w:rPr>
          <w:rFonts w:ascii="Arial" w:cs="Arial" w:eastAsia="Arial" w:hAnsi="Arial"/>
          <w:sz w:val="11"/>
          <w:szCs w:val="11"/>
          <w:color w:val="auto"/>
        </w:rPr>
      </w:pPr>
      <w:r>
        <w:rPr>
          <w:rFonts w:ascii="Arial" w:cs="Arial" w:eastAsia="Arial" w:hAnsi="Arial"/>
          <w:sz w:val="13"/>
          <w:szCs w:val="13"/>
          <w:color w:val="auto"/>
        </w:rPr>
        <w:t>Includes the CEO Search Committee retainer in the amount of $10,000.</w:t>
      </w:r>
    </w:p>
    <w:p>
      <w:pPr>
        <w:spacing w:after="0" w:line="12" w:lineRule="exact"/>
        <w:rPr>
          <w:rFonts w:ascii="Arial" w:cs="Arial" w:eastAsia="Arial" w:hAnsi="Arial"/>
          <w:sz w:val="11"/>
          <w:szCs w:val="11"/>
          <w:color w:val="auto"/>
        </w:rPr>
      </w:pPr>
    </w:p>
    <w:p>
      <w:pPr>
        <w:ind w:left="300" w:hanging="292"/>
        <w:spacing w:after="0"/>
        <w:tabs>
          <w:tab w:leader="none" w:pos="300" w:val="left"/>
        </w:tabs>
        <w:numPr>
          <w:ilvl w:val="0"/>
          <w:numId w:val="124"/>
        </w:numPr>
        <w:rPr>
          <w:rFonts w:ascii="Arial" w:cs="Arial" w:eastAsia="Arial" w:hAnsi="Arial"/>
          <w:sz w:val="11"/>
          <w:szCs w:val="11"/>
          <w:color w:val="auto"/>
        </w:rPr>
      </w:pPr>
      <w:r>
        <w:rPr>
          <w:rFonts w:ascii="Arial" w:cs="Arial" w:eastAsia="Arial" w:hAnsi="Arial"/>
          <w:sz w:val="13"/>
          <w:szCs w:val="13"/>
          <w:color w:val="auto"/>
        </w:rPr>
        <w:t>Messrs. DeNero and Lambert retired from our Board according to our Board retirement policy at our 2019 annual meeting of stockholders.</w:t>
      </w:r>
    </w:p>
    <w:p>
      <w:pPr>
        <w:spacing w:after="0" w:line="12" w:lineRule="exact"/>
        <w:rPr>
          <w:rFonts w:ascii="Arial" w:cs="Arial" w:eastAsia="Arial" w:hAnsi="Arial"/>
          <w:sz w:val="11"/>
          <w:szCs w:val="11"/>
          <w:color w:val="auto"/>
        </w:rPr>
      </w:pPr>
    </w:p>
    <w:p>
      <w:pPr>
        <w:ind w:left="300" w:hanging="292"/>
        <w:spacing w:after="0"/>
        <w:tabs>
          <w:tab w:leader="none" w:pos="300" w:val="left"/>
        </w:tabs>
        <w:numPr>
          <w:ilvl w:val="0"/>
          <w:numId w:val="124"/>
        </w:numPr>
        <w:rPr>
          <w:rFonts w:ascii="Arial" w:cs="Arial" w:eastAsia="Arial" w:hAnsi="Arial"/>
          <w:sz w:val="11"/>
          <w:szCs w:val="11"/>
          <w:color w:val="auto"/>
        </w:rPr>
      </w:pPr>
      <w:r>
        <w:rPr>
          <w:rFonts w:ascii="Arial" w:cs="Arial" w:eastAsia="Arial" w:hAnsi="Arial"/>
          <w:sz w:val="13"/>
          <w:szCs w:val="13"/>
          <w:color w:val="auto"/>
        </w:rPr>
        <w:t>Mr. Lauer passed away in April 2020.</w:t>
      </w:r>
    </w:p>
    <w:p>
      <w:pPr>
        <w:spacing w:after="0" w:line="12" w:lineRule="exact"/>
        <w:rPr>
          <w:rFonts w:ascii="Arial" w:cs="Arial" w:eastAsia="Arial" w:hAnsi="Arial"/>
          <w:sz w:val="11"/>
          <w:szCs w:val="11"/>
          <w:color w:val="auto"/>
        </w:rPr>
      </w:pPr>
    </w:p>
    <w:p>
      <w:pPr>
        <w:ind w:left="300" w:hanging="292"/>
        <w:spacing w:after="0"/>
        <w:tabs>
          <w:tab w:leader="none" w:pos="300" w:val="left"/>
        </w:tabs>
        <w:numPr>
          <w:ilvl w:val="0"/>
          <w:numId w:val="124"/>
        </w:numPr>
        <w:rPr>
          <w:rFonts w:ascii="Arial" w:cs="Arial" w:eastAsia="Arial" w:hAnsi="Arial"/>
          <w:sz w:val="11"/>
          <w:szCs w:val="11"/>
          <w:color w:val="auto"/>
        </w:rPr>
      </w:pPr>
      <w:r>
        <w:rPr>
          <w:rFonts w:ascii="Arial" w:cs="Arial" w:eastAsia="Arial" w:hAnsi="Arial"/>
          <w:sz w:val="13"/>
          <w:szCs w:val="13"/>
          <w:color w:val="auto"/>
        </w:rPr>
        <w:t>Ms. Price was appointed to our Board effective June 22, 2020.</w:t>
      </w:r>
    </w:p>
    <w:p>
      <w:pPr>
        <w:spacing w:after="0" w:line="12" w:lineRule="exact"/>
        <w:rPr>
          <w:rFonts w:ascii="Arial" w:cs="Arial" w:eastAsia="Arial" w:hAnsi="Arial"/>
          <w:sz w:val="11"/>
          <w:szCs w:val="11"/>
          <w:color w:val="auto"/>
        </w:rPr>
      </w:pPr>
    </w:p>
    <w:p>
      <w:pPr>
        <w:ind w:left="300" w:right="540" w:hanging="292"/>
        <w:spacing w:after="0" w:line="238" w:lineRule="auto"/>
        <w:tabs>
          <w:tab w:leader="none" w:pos="300" w:val="left"/>
        </w:tabs>
        <w:numPr>
          <w:ilvl w:val="0"/>
          <w:numId w:val="124"/>
        </w:numPr>
        <w:rPr>
          <w:rFonts w:ascii="Arial" w:cs="Arial" w:eastAsia="Arial" w:hAnsi="Arial"/>
          <w:sz w:val="11"/>
          <w:szCs w:val="11"/>
          <w:color w:val="auto"/>
        </w:rPr>
      </w:pPr>
      <w:r>
        <w:rPr>
          <w:rFonts w:ascii="Arial" w:cs="Arial" w:eastAsia="Arial" w:hAnsi="Arial"/>
          <w:sz w:val="13"/>
          <w:szCs w:val="13"/>
          <w:color w:val="auto"/>
        </w:rPr>
        <w:t>Consists of a prorated annual retainer in the amount of $30,203 and prorated annual Audit Committee retainer in the amount of $6,040 paid to Ms. Price in connection with her appointment to our Board and the Audit Committee in June 2020.</w:t>
      </w:r>
    </w:p>
    <w:p>
      <w:pPr>
        <w:ind w:left="300" w:right="180" w:hanging="292"/>
        <w:spacing w:after="0" w:line="251" w:lineRule="auto"/>
        <w:tabs>
          <w:tab w:leader="none" w:pos="300" w:val="left"/>
        </w:tabs>
        <w:numPr>
          <w:ilvl w:val="0"/>
          <w:numId w:val="124"/>
        </w:numPr>
        <w:rPr>
          <w:rFonts w:ascii="Arial" w:cs="Arial" w:eastAsia="Arial" w:hAnsi="Arial"/>
          <w:sz w:val="11"/>
          <w:szCs w:val="11"/>
          <w:color w:val="auto"/>
        </w:rPr>
      </w:pPr>
      <w:r>
        <w:rPr>
          <w:rFonts w:ascii="Arial" w:cs="Arial" w:eastAsia="Arial" w:hAnsi="Arial"/>
          <w:sz w:val="13"/>
          <w:szCs w:val="13"/>
          <w:color w:val="auto"/>
        </w:rPr>
        <w:t>Includes the CEO Search Committee retainer in the amount of $10,000, the CEO Search Committee Chair retainer in the amount of $2,500 and a prorated annual Governance Committee Chair retainer in the amount of $7,399 paid to Ms. Streeter in connection with her appointment as our Governance Committee Chair following Mr. Lauer’s passing in April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1234440" cy="6858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34440" cy="6858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DIRECTOR STOCK OWNERSHIP GUIDELINES</w:t>
      </w:r>
    </w:p>
    <w:p>
      <w:pPr>
        <w:spacing w:after="0" w:line="252" w:lineRule="exact"/>
        <w:rPr>
          <w:sz w:val="20"/>
          <w:szCs w:val="20"/>
          <w:color w:val="auto"/>
        </w:rPr>
      </w:pPr>
    </w:p>
    <w:p>
      <w:pPr>
        <w:ind w:right="20"/>
        <w:spacing w:after="0" w:line="243" w:lineRule="auto"/>
        <w:rPr>
          <w:sz w:val="20"/>
          <w:szCs w:val="20"/>
          <w:color w:val="auto"/>
        </w:rPr>
      </w:pPr>
      <w:r>
        <w:rPr>
          <w:rFonts w:ascii="Arial" w:cs="Arial" w:eastAsia="Arial" w:hAnsi="Arial"/>
          <w:sz w:val="13"/>
          <w:szCs w:val="13"/>
          <w:color w:val="auto"/>
        </w:rPr>
        <w:t>Under our director stock ownership guidelines, directors are prohibited from selling any shares of our common stock (other than in a same-day sale in connection with an option exercise to pay the exercise price of the option or to satisfy any applicable tax withholding obligations) unless they own “qualifying shares” with a market value of at least $375,000. Common stock, RSUs, deferred stock units and common stock beneficially owned by the director by virtue of being held in a trust, by a spouse or by the director’s minor children are considered qualifying shares for purposes of the stock ownership requirement. Shares the director has a right to acquire through the exercise of stock options (whether or not vested) are not counted towards the stock ownership requirement.</w:t>
      </w:r>
    </w:p>
    <w:p>
      <w:pPr>
        <w:spacing w:after="0" w:line="335" w:lineRule="exact"/>
        <w:rPr>
          <w:sz w:val="20"/>
          <w:szCs w:val="20"/>
          <w:color w:val="auto"/>
        </w:rPr>
      </w:pPr>
    </w:p>
    <w:p>
      <w:pPr>
        <w:ind w:left="9160"/>
        <w:spacing w:after="0"/>
        <w:tabs>
          <w:tab w:leader="none" w:pos="11020" w:val="left"/>
        </w:tabs>
        <w:rPr>
          <w:sz w:val="20"/>
          <w:szCs w:val="20"/>
          <w:color w:val="auto"/>
        </w:rPr>
      </w:pPr>
      <w:r>
        <w:rPr>
          <w:rFonts w:ascii="Arial" w:cs="Arial" w:eastAsia="Arial" w:hAnsi="Arial"/>
          <w:sz w:val="13"/>
          <w:szCs w:val="13"/>
          <w:color w:val="23628F"/>
        </w:rPr>
        <w:t>2020 PROXY STATEMENT</w:t>
      </w:r>
      <w:r>
        <w:rPr>
          <w:sz w:val="20"/>
          <w:szCs w:val="20"/>
          <w:color w:val="auto"/>
        </w:rPr>
        <w:tab/>
      </w:r>
      <w:r>
        <w:rPr>
          <w:rFonts w:ascii="Arial" w:cs="Arial" w:eastAsia="Arial" w:hAnsi="Arial"/>
          <w:sz w:val="16"/>
          <w:szCs w:val="16"/>
          <w:b w:val="1"/>
          <w:bCs w:val="1"/>
          <w:color w:val="23628F"/>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153275" cy="209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Arial" w:cs="Arial" w:eastAsia="Arial" w:hAnsi="Arial"/>
          <w:sz w:val="50"/>
          <w:szCs w:val="50"/>
          <w:b w:val="1"/>
          <w:bCs w:val="1"/>
          <w:color w:val="23628F"/>
        </w:rPr>
        <w:t>Executive Officers</w:t>
      </w:r>
    </w:p>
    <w:p>
      <w:pPr>
        <w:spacing w:after="0" w:line="282" w:lineRule="exact"/>
        <w:rPr>
          <w:sz w:val="20"/>
          <w:szCs w:val="20"/>
          <w:color w:val="auto"/>
        </w:rPr>
      </w:pPr>
    </w:p>
    <w:p>
      <w:pPr>
        <w:spacing w:after="0" w:line="248" w:lineRule="auto"/>
        <w:rPr>
          <w:sz w:val="20"/>
          <w:szCs w:val="20"/>
          <w:color w:val="auto"/>
        </w:rPr>
      </w:pPr>
      <w:r>
        <w:rPr>
          <w:rFonts w:ascii="Arial" w:cs="Arial" w:eastAsia="Arial" w:hAnsi="Arial"/>
          <w:sz w:val="13"/>
          <w:szCs w:val="13"/>
          <w:color w:val="auto"/>
        </w:rPr>
        <w:t>Listed below are all of our executive officers, followed by a brief account of their business experience. Executive officers are normally appointed annually by our Board of Directors at a meeting immediately following the annual meeting of stockholders. There are no family relationships among these officers nor any arrangements or understandings between any officer and any other person pursuant to which an officer was selected.</w:t>
      </w:r>
    </w:p>
    <w:p>
      <w:pPr>
        <w:spacing w:after="0" w:line="163" w:lineRule="exact"/>
        <w:rPr>
          <w:sz w:val="20"/>
          <w:szCs w:val="20"/>
          <w:color w:val="auto"/>
        </w:rPr>
      </w:pPr>
    </w:p>
    <w:p>
      <w:pPr>
        <w:spacing w:after="0"/>
        <w:rPr>
          <w:sz w:val="20"/>
          <w:szCs w:val="20"/>
          <w:color w:val="auto"/>
        </w:rPr>
      </w:pPr>
      <w:r>
        <w:rPr>
          <w:rFonts w:ascii="Arial" w:cs="Arial" w:eastAsia="Arial" w:hAnsi="Arial"/>
          <w:sz w:val="27"/>
          <w:szCs w:val="27"/>
          <w:b w:val="1"/>
          <w:bCs w:val="1"/>
          <w:color w:val="616161"/>
        </w:rPr>
        <w:t xml:space="preserve">DAVID V. GOECKELER  </w:t>
      </w:r>
      <w:r>
        <w:rPr>
          <w:rFonts w:ascii="Arial" w:cs="Arial" w:eastAsia="Arial" w:hAnsi="Arial"/>
          <w:sz w:val="13"/>
          <w:szCs w:val="13"/>
          <w:b w:val="1"/>
          <w:bCs w:val="1"/>
          <w:color w:val="61C4AF"/>
        </w:rPr>
        <w:t>58,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3" w:lineRule="exact"/>
        <w:rPr>
          <w:sz w:val="20"/>
          <w:szCs w:val="20"/>
          <w:color w:val="auto"/>
        </w:rPr>
      </w:pPr>
    </w:p>
    <w:p>
      <w:pPr>
        <w:ind w:left="1740" w:right="460" w:hanging="238"/>
        <w:spacing w:after="0" w:line="258" w:lineRule="auto"/>
        <w:tabs>
          <w:tab w:leader="none" w:pos="1717" w:val="left"/>
        </w:tabs>
        <w:numPr>
          <w:ilvl w:val="0"/>
          <w:numId w:val="125"/>
        </w:numPr>
        <w:rPr>
          <w:rFonts w:ascii="Arial" w:cs="Arial" w:eastAsia="Arial" w:hAnsi="Arial"/>
          <w:sz w:val="13"/>
          <w:szCs w:val="13"/>
          <w:color w:val="61C4AF"/>
        </w:rPr>
      </w:pPr>
      <w:r>
        <w:rPr>
          <w:rFonts w:ascii="Arial" w:cs="Arial" w:eastAsia="Arial" w:hAnsi="Arial"/>
          <w:sz w:val="13"/>
          <w:szCs w:val="13"/>
          <w:color w:val="auto"/>
        </w:rPr>
        <w:t>Mr. Goeckeler was appointed Chief Executive Officer in March 2020. Biographical information regarding Mr. Goeckeler is set forth in the section entitled “Corporate Governance Matters—Proposal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62635" cy="8915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62635"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7"/>
          <w:szCs w:val="27"/>
          <w:b w:val="1"/>
          <w:bCs w:val="1"/>
          <w:color w:val="616161"/>
        </w:rPr>
        <w:t xml:space="preserve">ROBERT K. EULAU  </w:t>
      </w:r>
      <w:r>
        <w:rPr>
          <w:rFonts w:ascii="Arial" w:cs="Arial" w:eastAsia="Arial" w:hAnsi="Arial"/>
          <w:sz w:val="13"/>
          <w:szCs w:val="13"/>
          <w:b w:val="1"/>
          <w:bCs w:val="1"/>
          <w:color w:val="61C4AF"/>
        </w:rPr>
        <w:t>58, 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3" w:lineRule="exact"/>
        <w:rPr>
          <w:sz w:val="20"/>
          <w:szCs w:val="20"/>
          <w:color w:val="auto"/>
        </w:rPr>
      </w:pPr>
    </w:p>
    <w:p>
      <w:pPr>
        <w:ind w:left="1720" w:hanging="218"/>
        <w:spacing w:after="0"/>
        <w:tabs>
          <w:tab w:leader="none" w:pos="1720" w:val="left"/>
        </w:tabs>
        <w:numPr>
          <w:ilvl w:val="0"/>
          <w:numId w:val="126"/>
        </w:numPr>
        <w:rPr>
          <w:rFonts w:ascii="Arial" w:cs="Arial" w:eastAsia="Arial" w:hAnsi="Arial"/>
          <w:sz w:val="13"/>
          <w:szCs w:val="13"/>
          <w:color w:val="61C4AF"/>
        </w:rPr>
      </w:pPr>
      <w:r>
        <w:rPr>
          <w:rFonts w:ascii="Arial" w:cs="Arial" w:eastAsia="Arial" w:hAnsi="Arial"/>
          <w:sz w:val="13"/>
          <w:szCs w:val="13"/>
          <w:color w:val="auto"/>
        </w:rPr>
        <w:t>Mr. Eulau joined our company in April 2019 and has served as our Executive Vice President and Chief Financial Officer since May 2019.</w:t>
      </w:r>
    </w:p>
    <w:p>
      <w:pPr>
        <w:spacing w:after="0" w:line="107" w:lineRule="exact"/>
        <w:rPr>
          <w:rFonts w:ascii="Arial" w:cs="Arial" w:eastAsia="Arial" w:hAnsi="Arial"/>
          <w:sz w:val="13"/>
          <w:szCs w:val="13"/>
          <w:color w:val="61C4AF"/>
        </w:rPr>
      </w:pPr>
    </w:p>
    <w:p>
      <w:pPr>
        <w:ind w:left="1740" w:hanging="238"/>
        <w:spacing w:after="0" w:line="242" w:lineRule="auto"/>
        <w:tabs>
          <w:tab w:leader="none" w:pos="1717" w:val="left"/>
        </w:tabs>
        <w:numPr>
          <w:ilvl w:val="0"/>
          <w:numId w:val="126"/>
        </w:numPr>
        <w:rPr>
          <w:rFonts w:ascii="Arial" w:cs="Arial" w:eastAsia="Arial" w:hAnsi="Arial"/>
          <w:sz w:val="13"/>
          <w:szCs w:val="13"/>
          <w:color w:val="61C4AF"/>
        </w:rPr>
      </w:pPr>
      <w:r>
        <w:rPr>
          <w:rFonts w:ascii="Arial" w:cs="Arial" w:eastAsia="Arial" w:hAnsi="Arial"/>
          <w:sz w:val="13"/>
          <w:szCs w:val="13"/>
          <w:color w:val="auto"/>
        </w:rPr>
        <w:t>Prior to that, Mr. Eulau served as chief executive officer and director of Sanmina Corporation, an electronics manufacturing services provider, from October 2017 to August 2018, and as its executive vice president and chief financial officer from September 2009 to October 2017. From March 2006 to June 2008, Mr. Eulau served as executive vice president, chief operating officer and chief financial officer of Alien Technology Corporation, a developer of radio frequency identification products, and as senior vice president and chief financial officer of Rambus Inc., a technology licensing company, from May 2001 to March 2006. Mr. Eulau previously served over 15 years with Hewlett Packard Company in various leadership roles, including vice president and chief financial officer of its business customer organization and vice president and chief financial officer of its computing products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-735965</wp:posOffset>
            </wp:positionV>
            <wp:extent cx="762635" cy="90043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62635" cy="90043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7"/>
          <w:szCs w:val="27"/>
          <w:b w:val="1"/>
          <w:bCs w:val="1"/>
          <w:color w:val="616161"/>
        </w:rPr>
        <w:t xml:space="preserve">SRINIVASAN SIVARAM  </w:t>
      </w:r>
      <w:r>
        <w:rPr>
          <w:rFonts w:ascii="Arial" w:cs="Arial" w:eastAsia="Arial" w:hAnsi="Arial"/>
          <w:sz w:val="13"/>
          <w:szCs w:val="13"/>
          <w:b w:val="1"/>
          <w:bCs w:val="1"/>
          <w:color w:val="61C4AF"/>
        </w:rPr>
        <w:t>60, PRESIDENT, TECHNOLOGY AND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3" w:lineRule="exact"/>
        <w:rPr>
          <w:sz w:val="20"/>
          <w:szCs w:val="20"/>
          <w:color w:val="auto"/>
        </w:rPr>
      </w:pPr>
    </w:p>
    <w:p>
      <w:pPr>
        <w:ind w:left="1720" w:right="20" w:hanging="231"/>
        <w:spacing w:after="0" w:line="258" w:lineRule="auto"/>
        <w:tabs>
          <w:tab w:leader="none" w:pos="1697" w:val="left"/>
        </w:tabs>
        <w:numPr>
          <w:ilvl w:val="0"/>
          <w:numId w:val="127"/>
        </w:numPr>
        <w:rPr>
          <w:rFonts w:ascii="Arial" w:cs="Arial" w:eastAsia="Arial" w:hAnsi="Arial"/>
          <w:sz w:val="13"/>
          <w:szCs w:val="13"/>
          <w:color w:val="61C4AF"/>
        </w:rPr>
      </w:pPr>
      <w:r>
        <w:rPr>
          <w:rFonts w:ascii="Arial" w:cs="Arial" w:eastAsia="Arial" w:hAnsi="Arial"/>
          <w:sz w:val="13"/>
          <w:szCs w:val="13"/>
          <w:color w:val="auto"/>
        </w:rPr>
        <w:t>Dr. Sivaram has served as our President, Technology and Strategy, since August 2019, having previously served as our Executive Vice President, Silicon Technology &amp; Manufacturing, from November 2017 to August 2019 and our Executive Vice President, Memory Technology, from May 2016 to November 2017.</w:t>
      </w:r>
    </w:p>
    <w:p>
      <w:pPr>
        <w:spacing w:after="0" w:line="83" w:lineRule="exact"/>
        <w:rPr>
          <w:rFonts w:ascii="Arial" w:cs="Arial" w:eastAsia="Arial" w:hAnsi="Arial"/>
          <w:sz w:val="13"/>
          <w:szCs w:val="13"/>
          <w:color w:val="61C4AF"/>
        </w:rPr>
      </w:pPr>
    </w:p>
    <w:p>
      <w:pPr>
        <w:ind w:left="1720" w:right="20" w:hanging="231"/>
        <w:spacing w:after="0" w:line="243" w:lineRule="auto"/>
        <w:tabs>
          <w:tab w:leader="none" w:pos="1697" w:val="left"/>
        </w:tabs>
        <w:numPr>
          <w:ilvl w:val="0"/>
          <w:numId w:val="127"/>
        </w:numPr>
        <w:rPr>
          <w:rFonts w:ascii="Arial" w:cs="Arial" w:eastAsia="Arial" w:hAnsi="Arial"/>
          <w:sz w:val="13"/>
          <w:szCs w:val="13"/>
          <w:color w:val="61C4AF"/>
        </w:rPr>
      </w:pPr>
      <w:r>
        <w:rPr>
          <w:rFonts w:ascii="Arial" w:cs="Arial" w:eastAsia="Arial" w:hAnsi="Arial"/>
          <w:sz w:val="13"/>
          <w:szCs w:val="13"/>
          <w:color w:val="auto"/>
        </w:rPr>
        <w:t>Prior to that, Dr. Sivaram served as SanDisk’s executive vice president, memory technology, from February 2015 until our acquisition of SanDisk in May 2016, senior vice president, memory technology, from June 2013 to February 2015 and vice president, technology, from January 2006 to March 2007. Dr. Sivaram previously served as chief operating officer for Matrix Semiconductor, Inc. from November 1999 until it was acquired by SanDisk in January 2006. From July 1986 to October 1999, Dr. Sivaram held various engineering and management positions at Intel Corporation. Dr. Sivaram also served as chief executive officer of Twin Creeks Technologies, Inc. from January 2008 to December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-736600</wp:posOffset>
            </wp:positionV>
            <wp:extent cx="754380" cy="89979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54380" cy="89979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440" w:hanging="432"/>
        <w:spacing w:after="0"/>
        <w:tabs>
          <w:tab w:leader="none" w:pos="440" w:val="left"/>
        </w:tabs>
        <w:numPr>
          <w:ilvl w:val="0"/>
          <w:numId w:val="128"/>
        </w:numPr>
        <w:rPr>
          <w:rFonts w:ascii="Arial" w:cs="Arial" w:eastAsia="Arial" w:hAnsi="Arial"/>
          <w:sz w:val="18"/>
          <w:szCs w:val="18"/>
          <w:b w:val="1"/>
          <w:bCs w:val="1"/>
          <w:color w:val="23628F"/>
        </w:rPr>
      </w:pPr>
      <w:r>
        <w:rPr>
          <w:rFonts w:ascii="Arial" w:cs="Arial" w:eastAsia="Arial" w:hAnsi="Arial"/>
          <w:sz w:val="13"/>
          <w:szCs w:val="13"/>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153275"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right"/>
        <w:spacing w:after="0"/>
        <w:rPr>
          <w:sz w:val="20"/>
          <w:szCs w:val="20"/>
          <w:color w:val="auto"/>
        </w:rPr>
      </w:pPr>
      <w:r>
        <w:rPr>
          <w:rFonts w:ascii="Arial" w:cs="Arial" w:eastAsia="Arial" w:hAnsi="Arial"/>
          <w:sz w:val="13"/>
          <w:szCs w:val="13"/>
          <w:color w:val="23628F"/>
        </w:rPr>
        <w:t>EXECUTIVE OFFICERS</w:t>
      </w:r>
    </w:p>
    <w:p>
      <w:pPr>
        <w:spacing w:after="0" w:line="180" w:lineRule="exact"/>
        <w:rPr>
          <w:sz w:val="20"/>
          <w:szCs w:val="20"/>
          <w:color w:val="auto"/>
        </w:rPr>
      </w:pPr>
    </w:p>
    <w:p>
      <w:pPr>
        <w:spacing w:after="0"/>
        <w:rPr>
          <w:sz w:val="20"/>
          <w:szCs w:val="20"/>
          <w:color w:val="auto"/>
        </w:rPr>
      </w:pPr>
      <w:r>
        <w:rPr>
          <w:rFonts w:ascii="Arial" w:cs="Arial" w:eastAsia="Arial" w:hAnsi="Arial"/>
          <w:sz w:val="27"/>
          <w:szCs w:val="27"/>
          <w:b w:val="1"/>
          <w:bCs w:val="1"/>
          <w:color w:val="616161"/>
        </w:rPr>
        <w:t xml:space="preserve">ROBERT W. SODERBERY  </w:t>
      </w:r>
      <w:r>
        <w:rPr>
          <w:rFonts w:ascii="Arial" w:cs="Arial" w:eastAsia="Arial" w:hAnsi="Arial"/>
          <w:sz w:val="13"/>
          <w:szCs w:val="13"/>
          <w:b w:val="1"/>
          <w:bCs w:val="1"/>
          <w:color w:val="61C4AF"/>
        </w:rPr>
        <w:t>54, EXECUTIVE VICE PRESIDENT AND GENERAL MANAGER, FLASH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3" w:lineRule="exact"/>
        <w:rPr>
          <w:sz w:val="20"/>
          <w:szCs w:val="20"/>
          <w:color w:val="auto"/>
        </w:rPr>
      </w:pPr>
    </w:p>
    <w:p>
      <w:pPr>
        <w:ind w:left="1720" w:hanging="218"/>
        <w:spacing w:after="0"/>
        <w:tabs>
          <w:tab w:leader="none" w:pos="1720" w:val="left"/>
        </w:tabs>
        <w:numPr>
          <w:ilvl w:val="0"/>
          <w:numId w:val="129"/>
        </w:numPr>
        <w:rPr>
          <w:rFonts w:ascii="Arial" w:cs="Arial" w:eastAsia="Arial" w:hAnsi="Arial"/>
          <w:sz w:val="13"/>
          <w:szCs w:val="13"/>
          <w:color w:val="61C4AF"/>
        </w:rPr>
      </w:pPr>
      <w:r>
        <w:rPr>
          <w:rFonts w:ascii="Arial" w:cs="Arial" w:eastAsia="Arial" w:hAnsi="Arial"/>
          <w:sz w:val="13"/>
          <w:szCs w:val="13"/>
          <w:color w:val="auto"/>
        </w:rPr>
        <w:t>Mr. Soderbery has served as our Executive Vice President and General Manager, Flash Business, since September 2020.</w:t>
      </w:r>
    </w:p>
    <w:p>
      <w:pPr>
        <w:spacing w:after="0" w:line="107" w:lineRule="exact"/>
        <w:rPr>
          <w:rFonts w:ascii="Arial" w:cs="Arial" w:eastAsia="Arial" w:hAnsi="Arial"/>
          <w:sz w:val="13"/>
          <w:szCs w:val="13"/>
          <w:color w:val="61C4AF"/>
        </w:rPr>
      </w:pPr>
    </w:p>
    <w:p>
      <w:pPr>
        <w:ind w:left="1740" w:right="20" w:hanging="238"/>
        <w:spacing w:after="0" w:line="243" w:lineRule="auto"/>
        <w:tabs>
          <w:tab w:leader="none" w:pos="1717" w:val="left"/>
        </w:tabs>
        <w:numPr>
          <w:ilvl w:val="0"/>
          <w:numId w:val="129"/>
        </w:numPr>
        <w:rPr>
          <w:rFonts w:ascii="Arial" w:cs="Arial" w:eastAsia="Arial" w:hAnsi="Arial"/>
          <w:sz w:val="13"/>
          <w:szCs w:val="13"/>
          <w:color w:val="61C4AF"/>
        </w:rPr>
      </w:pPr>
      <w:r>
        <w:rPr>
          <w:rFonts w:ascii="Arial" w:cs="Arial" w:eastAsia="Arial" w:hAnsi="Arial"/>
          <w:sz w:val="13"/>
          <w:szCs w:val="13"/>
          <w:color w:val="auto"/>
        </w:rPr>
        <w:t>Prior to that, Mr. Soderbery served as president of UpLift, Inc., a travel finance company, from May 2017 to September 2020 and has served as a member of UpLift’s board of directors since January 2015. He has also served as an advisor to Rockwell Automation, Inc. since May 2017 and as managing member of Acclimate Ventures LLC, a consulting, advisory and investment firm, since October 2016. Mr. Soderbery previously served as senior vice president and general manager, enterprise products, and in other senior leadership roles at Cisco Systems from October 2009 to October 2016. Prior to that, he served as senior vice president, storage and availability management group, and in other leadership roles at Symantec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-642620</wp:posOffset>
            </wp:positionV>
            <wp:extent cx="762635" cy="8915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62635" cy="89154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7"/>
          <w:szCs w:val="27"/>
          <w:b w:val="1"/>
          <w:bCs w:val="1"/>
          <w:color w:val="616161"/>
        </w:rPr>
        <w:t xml:space="preserve">SEAN HUNKLER  </w:t>
      </w:r>
      <w:r>
        <w:rPr>
          <w:rFonts w:ascii="Arial" w:cs="Arial" w:eastAsia="Arial" w:hAnsi="Arial"/>
          <w:sz w:val="13"/>
          <w:szCs w:val="13"/>
          <w:b w:val="1"/>
          <w:bCs w:val="1"/>
          <w:color w:val="61C4AF"/>
        </w:rPr>
        <w:t>58, EXECUTIVE VICE PRESIDENT, GLOBAL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3" w:lineRule="exact"/>
        <w:rPr>
          <w:sz w:val="20"/>
          <w:szCs w:val="20"/>
          <w:color w:val="auto"/>
        </w:rPr>
      </w:pPr>
    </w:p>
    <w:p>
      <w:pPr>
        <w:ind w:left="1740" w:right="80" w:hanging="238"/>
        <w:spacing w:after="0" w:line="258" w:lineRule="auto"/>
        <w:tabs>
          <w:tab w:leader="none" w:pos="1717" w:val="left"/>
        </w:tabs>
        <w:numPr>
          <w:ilvl w:val="0"/>
          <w:numId w:val="130"/>
        </w:numPr>
        <w:rPr>
          <w:rFonts w:ascii="Arial" w:cs="Arial" w:eastAsia="Arial" w:hAnsi="Arial"/>
          <w:sz w:val="13"/>
          <w:szCs w:val="13"/>
          <w:color w:val="61C4AF"/>
        </w:rPr>
      </w:pPr>
      <w:r>
        <w:rPr>
          <w:rFonts w:ascii="Arial" w:cs="Arial" w:eastAsia="Arial" w:hAnsi="Arial"/>
          <w:sz w:val="13"/>
          <w:szCs w:val="13"/>
          <w:color w:val="auto"/>
        </w:rPr>
        <w:t>Mr. Hunkler has served as our Executive Vice President, Global Operations, since August 2020, having previously served as our Senior Vice President, Global Operations, from February 2019 to August 2020 and as our Senior Vice President, Manufacturing Operations, from August 2018 to February 2019.</w:t>
      </w:r>
    </w:p>
    <w:p>
      <w:pPr>
        <w:spacing w:after="0" w:line="83" w:lineRule="exact"/>
        <w:rPr>
          <w:rFonts w:ascii="Arial" w:cs="Arial" w:eastAsia="Arial" w:hAnsi="Arial"/>
          <w:sz w:val="13"/>
          <w:szCs w:val="13"/>
          <w:color w:val="61C4AF"/>
        </w:rPr>
      </w:pPr>
    </w:p>
    <w:p>
      <w:pPr>
        <w:ind w:left="1740" w:right="40" w:hanging="238"/>
        <w:spacing w:after="0" w:line="245" w:lineRule="auto"/>
        <w:tabs>
          <w:tab w:leader="none" w:pos="1717" w:val="left"/>
        </w:tabs>
        <w:numPr>
          <w:ilvl w:val="0"/>
          <w:numId w:val="130"/>
        </w:numPr>
        <w:rPr>
          <w:rFonts w:ascii="Arial" w:cs="Arial" w:eastAsia="Arial" w:hAnsi="Arial"/>
          <w:sz w:val="13"/>
          <w:szCs w:val="13"/>
          <w:color w:val="61C4AF"/>
        </w:rPr>
      </w:pPr>
      <w:r>
        <w:rPr>
          <w:rFonts w:ascii="Arial" w:cs="Arial" w:eastAsia="Arial" w:hAnsi="Arial"/>
          <w:sz w:val="13"/>
          <w:szCs w:val="13"/>
          <w:color w:val="auto"/>
        </w:rPr>
        <w:t>Prior to that, Mr. Hunkler served as chief operating officer of Nexperia Semiconductors, a global semiconductor manufacturer created after its divestiture from NXP Semiconductors, from February 2017 to August 2018. From July 2012 to February 2017, he served as executive vice president, global operations of NXP Semiconductors, a global semiconductor manufacturer. Mr. Hunkler also served in senior leadership roles at Freescale Semiconductor, Motorola and SunEdison (formerly MEMC Electronic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-643890</wp:posOffset>
            </wp:positionV>
            <wp:extent cx="762635" cy="90043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62635" cy="90043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27"/>
          <w:szCs w:val="27"/>
          <w:b w:val="1"/>
          <w:bCs w:val="1"/>
          <w:color w:val="616161"/>
        </w:rPr>
        <w:t xml:space="preserve">MICHAEL C. RAY  </w:t>
      </w:r>
      <w:r>
        <w:rPr>
          <w:rFonts w:ascii="Arial" w:cs="Arial" w:eastAsia="Arial" w:hAnsi="Arial"/>
          <w:sz w:val="13"/>
          <w:szCs w:val="13"/>
          <w:b w:val="1"/>
          <w:bCs w:val="1"/>
          <w:color w:val="61C4AF"/>
        </w:rPr>
        <w:t>53, EXECUTIVE VICE PRESIDENT, CHIEF LEGAL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3" w:lineRule="exact"/>
        <w:rPr>
          <w:sz w:val="20"/>
          <w:szCs w:val="20"/>
          <w:color w:val="auto"/>
        </w:rPr>
      </w:pPr>
    </w:p>
    <w:p>
      <w:pPr>
        <w:ind w:left="1720" w:right="120" w:hanging="231"/>
        <w:spacing w:after="0" w:line="245" w:lineRule="auto"/>
        <w:tabs>
          <w:tab w:leader="none" w:pos="1697" w:val="left"/>
        </w:tabs>
        <w:numPr>
          <w:ilvl w:val="0"/>
          <w:numId w:val="131"/>
        </w:numPr>
        <w:rPr>
          <w:rFonts w:ascii="Arial" w:cs="Arial" w:eastAsia="Arial" w:hAnsi="Arial"/>
          <w:sz w:val="13"/>
          <w:szCs w:val="13"/>
          <w:color w:val="61C4AF"/>
        </w:rPr>
      </w:pPr>
      <w:r>
        <w:rPr>
          <w:rFonts w:ascii="Arial" w:cs="Arial" w:eastAsia="Arial" w:hAnsi="Arial"/>
          <w:sz w:val="13"/>
          <w:szCs w:val="13"/>
          <w:color w:val="auto"/>
        </w:rPr>
        <w:t>Mr. Ray has served as our Executive Vice President, Chief Legal Officer and Secretary since November 2015, having previously served as our Senior Vice President, General Counsel and Secretary from April 2011 to November 2015, our Vice President, General Counsel and Secretary from October 2010 to April 2011, and in a number of positions in our legal department, ranging from Senior Counsel to Vice President, Legal Services, from September 2000 to October 2010.</w:t>
      </w:r>
    </w:p>
    <w:p>
      <w:pPr>
        <w:spacing w:after="0" w:line="244" w:lineRule="exact"/>
        <w:rPr>
          <w:rFonts w:ascii="Arial" w:cs="Arial" w:eastAsia="Arial" w:hAnsi="Arial"/>
          <w:sz w:val="13"/>
          <w:szCs w:val="13"/>
          <w:color w:val="61C4AF"/>
        </w:rPr>
      </w:pPr>
    </w:p>
    <w:p>
      <w:pPr>
        <w:ind w:left="1720" w:right="380" w:hanging="231"/>
        <w:spacing w:after="0" w:line="258" w:lineRule="auto"/>
        <w:tabs>
          <w:tab w:leader="none" w:pos="1697" w:val="left"/>
        </w:tabs>
        <w:numPr>
          <w:ilvl w:val="0"/>
          <w:numId w:val="131"/>
        </w:numPr>
        <w:rPr>
          <w:rFonts w:ascii="Arial" w:cs="Arial" w:eastAsia="Arial" w:hAnsi="Arial"/>
          <w:sz w:val="13"/>
          <w:szCs w:val="13"/>
          <w:color w:val="61C4AF"/>
        </w:rPr>
      </w:pPr>
      <w:r>
        <w:rPr>
          <w:rFonts w:ascii="Arial" w:cs="Arial" w:eastAsia="Arial" w:hAnsi="Arial"/>
          <w:sz w:val="13"/>
          <w:szCs w:val="13"/>
          <w:color w:val="auto"/>
        </w:rPr>
        <w:t>Prior to that, Mr. Ray served as corporate counsel for Wynn’s International, Inc. from September 1998 to September 2000. Mr. Ray previously served as a judicial clerk to the U.S. District Court, Central District of California, and practiced law at O’Melveny &amp; Myers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-648970</wp:posOffset>
            </wp:positionV>
            <wp:extent cx="754380" cy="8915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54380" cy="89154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7"/>
          <w:szCs w:val="27"/>
          <w:b w:val="1"/>
          <w:bCs w:val="1"/>
          <w:color w:val="616161"/>
        </w:rPr>
        <w:t xml:space="preserve">LORI S. SUNDBERG  </w:t>
      </w:r>
      <w:r>
        <w:rPr>
          <w:rFonts w:ascii="Arial" w:cs="Arial" w:eastAsia="Arial" w:hAnsi="Arial"/>
          <w:sz w:val="13"/>
          <w:szCs w:val="13"/>
          <w:b w:val="1"/>
          <w:bCs w:val="1"/>
          <w:color w:val="61C4AF"/>
        </w:rPr>
        <w:t>56, EXECUTIVE VICE PRESIDENT AND CHIEF HUMAN RESOURCES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3" w:lineRule="exact"/>
        <w:rPr>
          <w:sz w:val="20"/>
          <w:szCs w:val="20"/>
          <w:color w:val="auto"/>
        </w:rPr>
      </w:pPr>
    </w:p>
    <w:p>
      <w:pPr>
        <w:ind w:left="1700" w:hanging="211"/>
        <w:spacing w:after="0"/>
        <w:tabs>
          <w:tab w:leader="none" w:pos="1700" w:val="left"/>
        </w:tabs>
        <w:numPr>
          <w:ilvl w:val="0"/>
          <w:numId w:val="132"/>
        </w:numPr>
        <w:rPr>
          <w:rFonts w:ascii="Arial" w:cs="Arial" w:eastAsia="Arial" w:hAnsi="Arial"/>
          <w:sz w:val="13"/>
          <w:szCs w:val="13"/>
          <w:color w:val="61C4AF"/>
        </w:rPr>
      </w:pPr>
      <w:r>
        <w:rPr>
          <w:rFonts w:ascii="Arial" w:cs="Arial" w:eastAsia="Arial" w:hAnsi="Arial"/>
          <w:sz w:val="13"/>
          <w:szCs w:val="13"/>
          <w:color w:val="auto"/>
        </w:rPr>
        <w:t>Ms. Sundberg has served as our Chief Human Resources Officer since February 2018 and was also appointed Executive Vice President in March 2018.</w:t>
      </w:r>
    </w:p>
    <w:p>
      <w:pPr>
        <w:spacing w:after="0" w:line="107" w:lineRule="exact"/>
        <w:rPr>
          <w:rFonts w:ascii="Arial" w:cs="Arial" w:eastAsia="Arial" w:hAnsi="Arial"/>
          <w:sz w:val="13"/>
          <w:szCs w:val="13"/>
          <w:color w:val="61C4AF"/>
        </w:rPr>
      </w:pPr>
    </w:p>
    <w:p>
      <w:pPr>
        <w:ind w:left="1720" w:right="100" w:hanging="231"/>
        <w:spacing w:after="0" w:line="245" w:lineRule="auto"/>
        <w:tabs>
          <w:tab w:leader="none" w:pos="1697" w:val="left"/>
        </w:tabs>
        <w:numPr>
          <w:ilvl w:val="0"/>
          <w:numId w:val="132"/>
        </w:numPr>
        <w:rPr>
          <w:rFonts w:ascii="Arial" w:cs="Arial" w:eastAsia="Arial" w:hAnsi="Arial"/>
          <w:sz w:val="13"/>
          <w:szCs w:val="13"/>
          <w:color w:val="61C4AF"/>
        </w:rPr>
      </w:pPr>
      <w:r>
        <w:rPr>
          <w:rFonts w:ascii="Arial" w:cs="Arial" w:eastAsia="Arial" w:hAnsi="Arial"/>
          <w:sz w:val="13"/>
          <w:szCs w:val="13"/>
          <w:color w:val="auto"/>
        </w:rPr>
        <w:t>Prior to that, Ms. Sundberg served as senior vice president, global human resources for Jacobs Engineering Group Inc., a technical professional services firm, from April 2013 to July 2017. From July 2017 to February 2018, Ms. Sundberg was on sabbatical. Ms. Sundberg served as the senior vice president of human resources and ethics for Arizona Public Service Company, an electric utility company, from November 2007 to April 2013. From 1998 to 2007, Ms. Sundberg served in a number of global human resources leadership roles with American Express, a financial services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-549275</wp:posOffset>
            </wp:positionV>
            <wp:extent cx="754380" cy="9169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54380" cy="916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23628F"/>
        </w:rPr>
        <w:t>2020 PROXY STATEMENT</w:t>
      </w:r>
      <w:r>
        <w:rPr>
          <w:sz w:val="20"/>
          <w:szCs w:val="20"/>
          <w:color w:val="auto"/>
        </w:rPr>
        <w:tab/>
      </w:r>
      <w:r>
        <w:rPr>
          <w:rFonts w:ascii="Arial" w:cs="Arial" w:eastAsia="Arial" w:hAnsi="Arial"/>
          <w:sz w:val="16"/>
          <w:szCs w:val="16"/>
          <w:b w:val="1"/>
          <w:bCs w:val="1"/>
          <w:color w:val="23628F"/>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153275" cy="209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Arial" w:cs="Arial" w:eastAsia="Arial" w:hAnsi="Arial"/>
          <w:sz w:val="50"/>
          <w:szCs w:val="50"/>
          <w:b w:val="1"/>
          <w:bCs w:val="1"/>
          <w:color w:val="23628F"/>
        </w:rPr>
        <w:t>Executive Compensation</w:t>
      </w:r>
    </w:p>
    <w:p>
      <w:pPr>
        <w:spacing w:after="0" w:line="97" w:lineRule="exact"/>
        <w:rPr>
          <w:sz w:val="20"/>
          <w:szCs w:val="20"/>
          <w:color w:val="auto"/>
        </w:rPr>
      </w:pPr>
    </w:p>
    <w:p>
      <w:pPr>
        <w:ind w:left="280"/>
        <w:spacing w:after="0"/>
        <w:tabs>
          <w:tab w:leader="none" w:pos="2400" w:val="left"/>
        </w:tabs>
        <w:rPr>
          <w:sz w:val="20"/>
          <w:szCs w:val="20"/>
          <w:color w:val="auto"/>
        </w:rPr>
      </w:pPr>
      <w:r>
        <w:rPr>
          <w:rFonts w:ascii="Arial" w:cs="Arial" w:eastAsia="Arial" w:hAnsi="Arial"/>
          <w:sz w:val="57"/>
          <w:szCs w:val="57"/>
          <w:b w:val="1"/>
          <w:bCs w:val="1"/>
          <w:color w:val="FFFFFF"/>
          <w:vertAlign w:val="subscript"/>
        </w:rPr>
        <w:t>PROPOSAL 2</w:t>
      </w:r>
      <w:r>
        <w:rPr>
          <w:sz w:val="20"/>
          <w:szCs w:val="20"/>
          <w:color w:val="auto"/>
        </w:rPr>
        <w:tab/>
      </w:r>
      <w:r>
        <w:rPr>
          <w:rFonts w:ascii="Arial" w:cs="Arial" w:eastAsia="Arial" w:hAnsi="Arial"/>
          <w:sz w:val="21"/>
          <w:szCs w:val="21"/>
          <w:b w:val="1"/>
          <w:bCs w:val="1"/>
          <w:color w:val="FFFFFF"/>
        </w:rPr>
        <w:t>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132320" cy="99441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20" w:right="540"/>
        <w:spacing w:after="0" w:line="284" w:lineRule="auto"/>
        <w:rPr>
          <w:sz w:val="20"/>
          <w:szCs w:val="20"/>
          <w:color w:val="auto"/>
        </w:rPr>
      </w:pPr>
      <w:r>
        <w:rPr>
          <w:rFonts w:ascii="Arial" w:cs="Arial" w:eastAsia="Arial" w:hAnsi="Arial"/>
          <w:sz w:val="13"/>
          <w:szCs w:val="13"/>
          <w:color w:val="auto"/>
        </w:rPr>
        <w:t xml:space="preserve">Our Board of Directors recommends a vote </w:t>
      </w:r>
      <w:r>
        <w:rPr>
          <w:rFonts w:ascii="Arial" w:cs="Arial" w:eastAsia="Arial" w:hAnsi="Arial"/>
          <w:sz w:val="13"/>
          <w:szCs w:val="13"/>
          <w:b w:val="1"/>
          <w:bCs w:val="1"/>
          <w:color w:val="61C4AF"/>
        </w:rPr>
        <w:t>FOR</w:t>
      </w:r>
      <w:r>
        <w:rPr>
          <w:rFonts w:ascii="Arial" w:cs="Arial" w:eastAsia="Arial" w:hAnsi="Arial"/>
          <w:sz w:val="13"/>
          <w:szCs w:val="13"/>
          <w:color w:val="auto"/>
        </w:rPr>
        <w:t xml:space="preserve"> this Proposal 2 based on the efforts of the Compensation and Talent Committee and our Board to design an executive compensation program that provides:</w:t>
      </w:r>
    </w:p>
    <w:p>
      <w:pPr>
        <w:spacing w:after="0" w:line="324" w:lineRule="exact"/>
        <w:rPr>
          <w:sz w:val="20"/>
          <w:szCs w:val="20"/>
          <w:color w:val="auto"/>
        </w:rPr>
      </w:pPr>
    </w:p>
    <w:p>
      <w:pPr>
        <w:ind w:left="240" w:hanging="232"/>
        <w:spacing w:after="0"/>
        <w:tabs>
          <w:tab w:leader="none" w:pos="240" w:val="left"/>
        </w:tabs>
        <w:numPr>
          <w:ilvl w:val="0"/>
          <w:numId w:val="133"/>
        </w:numPr>
        <w:rPr>
          <w:rFonts w:ascii="Arial" w:cs="Arial" w:eastAsia="Arial" w:hAnsi="Arial"/>
          <w:sz w:val="13"/>
          <w:szCs w:val="13"/>
          <w:color w:val="61C4AF"/>
        </w:rPr>
      </w:pPr>
      <w:r>
        <w:rPr>
          <w:rFonts w:ascii="Arial" w:cs="Arial" w:eastAsia="Arial" w:hAnsi="Arial"/>
          <w:sz w:val="13"/>
          <w:szCs w:val="13"/>
          <w:color w:val="auto"/>
        </w:rPr>
        <w:t>Strong linkage between management and stockholders’ interests</w:t>
      </w:r>
    </w:p>
    <w:p>
      <w:pPr>
        <w:spacing w:after="0" w:line="107" w:lineRule="exact"/>
        <w:rPr>
          <w:rFonts w:ascii="Arial" w:cs="Arial" w:eastAsia="Arial" w:hAnsi="Arial"/>
          <w:sz w:val="13"/>
          <w:szCs w:val="13"/>
          <w:color w:val="61C4AF"/>
        </w:rPr>
      </w:pPr>
    </w:p>
    <w:p>
      <w:pPr>
        <w:ind w:left="240" w:hanging="232"/>
        <w:spacing w:after="0"/>
        <w:tabs>
          <w:tab w:leader="none" w:pos="240" w:val="left"/>
        </w:tabs>
        <w:numPr>
          <w:ilvl w:val="0"/>
          <w:numId w:val="133"/>
        </w:numPr>
        <w:rPr>
          <w:rFonts w:ascii="Arial" w:cs="Arial" w:eastAsia="Arial" w:hAnsi="Arial"/>
          <w:sz w:val="13"/>
          <w:szCs w:val="13"/>
          <w:color w:val="61C4AF"/>
        </w:rPr>
      </w:pPr>
      <w:r>
        <w:rPr>
          <w:rFonts w:ascii="Arial" w:cs="Arial" w:eastAsia="Arial" w:hAnsi="Arial"/>
          <w:sz w:val="13"/>
          <w:szCs w:val="13"/>
          <w:color w:val="auto"/>
        </w:rPr>
        <w:t>Excellent pay for performance alignment and rewards for long-term value creation</w:t>
      </w:r>
    </w:p>
    <w:p>
      <w:pPr>
        <w:spacing w:after="0" w:line="107" w:lineRule="exact"/>
        <w:rPr>
          <w:rFonts w:ascii="Arial" w:cs="Arial" w:eastAsia="Arial" w:hAnsi="Arial"/>
          <w:sz w:val="13"/>
          <w:szCs w:val="13"/>
          <w:color w:val="61C4AF"/>
        </w:rPr>
      </w:pPr>
    </w:p>
    <w:p>
      <w:pPr>
        <w:ind w:left="240" w:hanging="232"/>
        <w:spacing w:after="0"/>
        <w:tabs>
          <w:tab w:leader="none" w:pos="240" w:val="left"/>
        </w:tabs>
        <w:numPr>
          <w:ilvl w:val="0"/>
          <w:numId w:val="133"/>
        </w:numPr>
        <w:rPr>
          <w:rFonts w:ascii="Arial" w:cs="Arial" w:eastAsia="Arial" w:hAnsi="Arial"/>
          <w:sz w:val="13"/>
          <w:szCs w:val="13"/>
          <w:color w:val="61C4AF"/>
        </w:rPr>
      </w:pPr>
      <w:r>
        <w:rPr>
          <w:rFonts w:ascii="Arial" w:cs="Arial" w:eastAsia="Arial" w:hAnsi="Arial"/>
          <w:sz w:val="13"/>
          <w:szCs w:val="13"/>
          <w:color w:val="auto"/>
        </w:rPr>
        <w:t>Robust oversight by our Board and the Compensation and Talent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31"/>
          <w:szCs w:val="31"/>
          <w:b w:val="1"/>
          <w:bCs w:val="1"/>
          <w:color w:val="567EA5"/>
        </w:rPr>
        <w:t>PROPOSAL DETAILS</w:t>
      </w:r>
    </w:p>
    <w:p>
      <w:pPr>
        <w:spacing w:after="0" w:line="255" w:lineRule="exact"/>
        <w:rPr>
          <w:sz w:val="20"/>
          <w:szCs w:val="20"/>
          <w:color w:val="auto"/>
        </w:rPr>
      </w:pPr>
    </w:p>
    <w:p>
      <w:pPr>
        <w:spacing w:after="0" w:line="258" w:lineRule="auto"/>
        <w:rPr>
          <w:sz w:val="20"/>
          <w:szCs w:val="20"/>
          <w:color w:val="auto"/>
        </w:rPr>
      </w:pPr>
      <w:r>
        <w:rPr>
          <w:rFonts w:ascii="Arial" w:cs="Arial" w:eastAsia="Arial" w:hAnsi="Arial"/>
          <w:sz w:val="13"/>
          <w:szCs w:val="13"/>
          <w:color w:val="auto"/>
        </w:rPr>
        <w:t>We currently provide our stockholders with the opportunity to cast a non-binding, advisory “Say on Pay” vote every year at our annual meeting of stockholders as required by Section 14A of the Securities Exchange Act of 1934, as amended (the “Exchange Act”).</w:t>
      </w:r>
    </w:p>
    <w:p>
      <w:pPr>
        <w:spacing w:after="0" w:line="192" w:lineRule="exact"/>
        <w:rPr>
          <w:sz w:val="20"/>
          <w:szCs w:val="20"/>
          <w:color w:val="auto"/>
        </w:rPr>
      </w:pPr>
    </w:p>
    <w:p>
      <w:pPr>
        <w:ind w:right="360"/>
        <w:spacing w:after="0" w:line="258" w:lineRule="auto"/>
        <w:rPr>
          <w:sz w:val="20"/>
          <w:szCs w:val="20"/>
          <w:color w:val="auto"/>
        </w:rPr>
      </w:pPr>
      <w:r>
        <w:rPr>
          <w:rFonts w:ascii="Arial" w:cs="Arial" w:eastAsia="Arial" w:hAnsi="Arial"/>
          <w:sz w:val="13"/>
          <w:szCs w:val="13"/>
          <w:color w:val="auto"/>
        </w:rPr>
        <w:t>Please read the section entitled “Executive Compensation—Compensation Discussion and Analysis” (and the various compensation tables and narratives accompanying those tables included under “Executive Compensation Tables and Narratives”) for information necessary to inform your vote on this Proposal 2.</w:t>
      </w:r>
    </w:p>
    <w:p>
      <w:pPr>
        <w:spacing w:after="0" w:line="161" w:lineRule="exact"/>
        <w:rPr>
          <w:sz w:val="20"/>
          <w:szCs w:val="20"/>
          <w:color w:val="auto"/>
        </w:rPr>
      </w:pPr>
    </w:p>
    <w:p>
      <w:pPr>
        <w:spacing w:after="0"/>
        <w:rPr>
          <w:sz w:val="20"/>
          <w:szCs w:val="20"/>
          <w:color w:val="auto"/>
        </w:rPr>
      </w:pPr>
      <w:r>
        <w:rPr>
          <w:rFonts w:ascii="Arial" w:cs="Arial" w:eastAsia="Arial" w:hAnsi="Arial"/>
          <w:sz w:val="31"/>
          <w:szCs w:val="31"/>
          <w:b w:val="1"/>
          <w:bCs w:val="1"/>
          <w:color w:val="567EA5"/>
        </w:rPr>
        <w:t>BOARD RECOMMENDATION AND VOTE REQUIRED FOR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1234440" cy="6858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34440" cy="68580"/>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BOARD RECOMMENDATION</w:t>
      </w:r>
    </w:p>
    <w:p>
      <w:pPr>
        <w:spacing w:after="0" w:line="252" w:lineRule="exact"/>
        <w:rPr>
          <w:sz w:val="20"/>
          <w:szCs w:val="20"/>
          <w:color w:val="auto"/>
        </w:rPr>
      </w:pPr>
    </w:p>
    <w:p>
      <w:pPr>
        <w:ind w:right="40"/>
        <w:spacing w:after="0" w:line="258" w:lineRule="auto"/>
        <w:rPr>
          <w:sz w:val="20"/>
          <w:szCs w:val="20"/>
          <w:color w:val="auto"/>
        </w:rPr>
      </w:pPr>
      <w:r>
        <w:rPr>
          <w:rFonts w:ascii="Arial" w:cs="Arial" w:eastAsia="Arial" w:hAnsi="Arial"/>
          <w:sz w:val="13"/>
          <w:szCs w:val="13"/>
          <w:color w:val="auto"/>
        </w:rPr>
        <w:t>Our Board of Directors recommends that you vote to approve, on a non-binding advisory basis, our executive compensation program for our named executive officers as disclosed in these proxy materials:</w:t>
      </w:r>
    </w:p>
    <w:p>
      <w:pPr>
        <w:spacing w:after="0" w:line="192" w:lineRule="exact"/>
        <w:rPr>
          <w:sz w:val="20"/>
          <w:szCs w:val="20"/>
          <w:color w:val="auto"/>
        </w:rPr>
      </w:pPr>
    </w:p>
    <w:p>
      <w:pPr>
        <w:ind w:right="280"/>
        <w:spacing w:after="0" w:line="258" w:lineRule="auto"/>
        <w:rPr>
          <w:sz w:val="20"/>
          <w:szCs w:val="20"/>
          <w:color w:val="auto"/>
        </w:rPr>
      </w:pPr>
      <w:r>
        <w:rPr>
          <w:rFonts w:ascii="Arial" w:cs="Arial" w:eastAsia="Arial" w:hAnsi="Arial"/>
          <w:sz w:val="13"/>
          <w:szCs w:val="13"/>
          <w:color w:val="auto"/>
        </w:rPr>
        <w:t>RESOLVED, that the compensation paid to the named executive officers, as disclosed in this Proxy Statement pursuant to the SEC’s executive compensation disclosure rules (which disclosure includes the Compensation Discussion and Analysis, the compensation tables and the narrative discussion that accompanies the compensation tables), is hereby approved.</w:t>
      </w:r>
    </w:p>
    <w:p>
      <w:pPr>
        <w:spacing w:after="0" w:line="176" w:lineRule="exact"/>
        <w:rPr>
          <w:sz w:val="20"/>
          <w:szCs w:val="20"/>
          <w:color w:val="auto"/>
        </w:rPr>
      </w:pPr>
    </w:p>
    <w:p>
      <w:pPr>
        <w:ind w:right="140"/>
        <w:spacing w:after="0" w:line="284" w:lineRule="auto"/>
        <w:rPr>
          <w:sz w:val="20"/>
          <w:szCs w:val="20"/>
          <w:color w:val="auto"/>
        </w:rPr>
      </w:pPr>
      <w:r>
        <w:rPr>
          <w:rFonts w:ascii="Arial" w:cs="Arial" w:eastAsia="Arial" w:hAnsi="Arial"/>
          <w:sz w:val="13"/>
          <w:szCs w:val="13"/>
          <w:color w:val="auto"/>
        </w:rPr>
        <w:t xml:space="preserve">Proxies received by our Board will be voted </w:t>
      </w:r>
      <w:r>
        <w:rPr>
          <w:rFonts w:ascii="Arial" w:cs="Arial" w:eastAsia="Arial" w:hAnsi="Arial"/>
          <w:sz w:val="13"/>
          <w:szCs w:val="13"/>
          <w:b w:val="1"/>
          <w:bCs w:val="1"/>
          <w:color w:val="61C4AF"/>
        </w:rPr>
        <w:t>FOR</w:t>
      </w:r>
      <w:r>
        <w:rPr>
          <w:rFonts w:ascii="Arial" w:cs="Arial" w:eastAsia="Arial" w:hAnsi="Arial"/>
          <w:sz w:val="13"/>
          <w:szCs w:val="13"/>
          <w:color w:val="auto"/>
        </w:rPr>
        <w:t xml:space="preserve"> this Proposal 2 unless specified otherwise. The next advisory vote on the compensation of our named executive officers will occur at our 2021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234440" cy="6858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34440" cy="68580"/>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VOTE REQUIRED FOR APPROVAL</w:t>
      </w:r>
    </w:p>
    <w:p>
      <w:pPr>
        <w:spacing w:after="0" w:line="252" w:lineRule="exact"/>
        <w:rPr>
          <w:sz w:val="20"/>
          <w:szCs w:val="20"/>
          <w:color w:val="auto"/>
        </w:rPr>
      </w:pPr>
    </w:p>
    <w:p>
      <w:pPr>
        <w:ind w:right="100"/>
        <w:spacing w:after="0" w:line="258" w:lineRule="auto"/>
        <w:rPr>
          <w:sz w:val="20"/>
          <w:szCs w:val="20"/>
          <w:color w:val="auto"/>
        </w:rPr>
      </w:pPr>
      <w:r>
        <w:rPr>
          <w:rFonts w:ascii="Arial" w:cs="Arial" w:eastAsia="Arial" w:hAnsi="Arial"/>
          <w:sz w:val="13"/>
          <w:szCs w:val="13"/>
          <w:color w:val="auto"/>
        </w:rPr>
        <w:t>The affirmative vote of a majority of the shares of our common stock represented in person or by proxy at the Annual Meeting and entitled to vote on this Proposal 2 is required to approve the non-binding advisory vote on the compensation of our named executive officers.</w:t>
      </w:r>
    </w:p>
    <w:p>
      <w:pPr>
        <w:spacing w:after="0" w:line="192" w:lineRule="exact"/>
        <w:rPr>
          <w:sz w:val="20"/>
          <w:szCs w:val="20"/>
          <w:color w:val="auto"/>
        </w:rPr>
      </w:pPr>
    </w:p>
    <w:p>
      <w:pPr>
        <w:ind w:right="100"/>
        <w:spacing w:after="0" w:line="248" w:lineRule="auto"/>
        <w:rPr>
          <w:sz w:val="20"/>
          <w:szCs w:val="20"/>
          <w:color w:val="auto"/>
        </w:rPr>
      </w:pPr>
      <w:r>
        <w:rPr>
          <w:rFonts w:ascii="Arial" w:cs="Arial" w:eastAsia="Arial" w:hAnsi="Arial"/>
          <w:sz w:val="13"/>
          <w:szCs w:val="13"/>
          <w:color w:val="auto"/>
        </w:rPr>
        <w:t>While this vote is nonbinding on our company and our Board of Directors, and will not be construed as overruling a decision by our company or our Board or creating or implying any additional fiduciary duty for our company or our Board, our Board and the Compensation and Talent Committee value the opinions of our stockholders and will consider the outcome of the vote when making future compensation decisions for named executive officers under our executive compensation program.</w:t>
      </w:r>
    </w:p>
    <w:p>
      <w:pPr>
        <w:spacing w:after="0" w:line="194" w:lineRule="exact"/>
        <w:rPr>
          <w:sz w:val="20"/>
          <w:szCs w:val="20"/>
          <w:color w:val="auto"/>
        </w:rPr>
      </w:pPr>
    </w:p>
    <w:p>
      <w:pPr>
        <w:ind w:left="440" w:hanging="432"/>
        <w:spacing w:after="0"/>
        <w:tabs>
          <w:tab w:leader="none" w:pos="440" w:val="left"/>
        </w:tabs>
        <w:numPr>
          <w:ilvl w:val="0"/>
          <w:numId w:val="134"/>
        </w:numPr>
        <w:rPr>
          <w:rFonts w:ascii="Arial" w:cs="Arial" w:eastAsia="Arial" w:hAnsi="Arial"/>
          <w:sz w:val="18"/>
          <w:szCs w:val="18"/>
          <w:b w:val="1"/>
          <w:bCs w:val="1"/>
          <w:color w:val="23628F"/>
        </w:rPr>
      </w:pPr>
      <w:r>
        <w:rPr>
          <w:rFonts w:ascii="Arial" w:cs="Arial" w:eastAsia="Arial" w:hAnsi="Arial"/>
          <w:sz w:val="13"/>
          <w:szCs w:val="13"/>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153275"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right"/>
        <w:spacing w:after="0"/>
        <w:rPr>
          <w:sz w:val="20"/>
          <w:szCs w:val="20"/>
          <w:color w:val="auto"/>
        </w:rPr>
      </w:pPr>
      <w:r>
        <w:rPr>
          <w:rFonts w:ascii="Arial" w:cs="Arial" w:eastAsia="Arial" w:hAnsi="Arial"/>
          <w:sz w:val="13"/>
          <w:szCs w:val="13"/>
          <w:color w:val="23628F"/>
        </w:rPr>
        <w:t>EXECUTIVE COMPENSATION</w:t>
      </w:r>
    </w:p>
    <w:p>
      <w:pPr>
        <w:spacing w:after="0" w:line="155" w:lineRule="exact"/>
        <w:rPr>
          <w:sz w:val="20"/>
          <w:szCs w:val="20"/>
          <w:color w:val="auto"/>
        </w:rPr>
      </w:pPr>
    </w:p>
    <w:p>
      <w:pPr>
        <w:ind w:right="1420"/>
        <w:spacing w:after="0" w:line="282" w:lineRule="auto"/>
        <w:rPr>
          <w:sz w:val="20"/>
          <w:szCs w:val="20"/>
          <w:color w:val="auto"/>
        </w:rPr>
      </w:pPr>
      <w:r>
        <w:rPr>
          <w:rFonts w:ascii="Arial" w:cs="Arial" w:eastAsia="Arial" w:hAnsi="Arial"/>
          <w:sz w:val="50"/>
          <w:szCs w:val="50"/>
          <w:b w:val="1"/>
          <w:bCs w:val="1"/>
          <w:color w:val="23628F"/>
        </w:rPr>
        <w:t>Letter from the Compensation and Talent Committee</w:t>
      </w:r>
    </w:p>
    <w:p>
      <w:pPr>
        <w:spacing w:after="0" w:line="52" w:lineRule="exact"/>
        <w:rPr>
          <w:sz w:val="20"/>
          <w:szCs w:val="20"/>
          <w:color w:val="auto"/>
        </w:rPr>
      </w:pPr>
    </w:p>
    <w:p>
      <w:pPr>
        <w:spacing w:after="0"/>
        <w:rPr>
          <w:sz w:val="20"/>
          <w:szCs w:val="20"/>
          <w:color w:val="auto"/>
        </w:rPr>
      </w:pPr>
      <w:r>
        <w:rPr>
          <w:rFonts w:ascii="Arial" w:cs="Arial" w:eastAsia="Arial" w:hAnsi="Arial"/>
          <w:sz w:val="27"/>
          <w:szCs w:val="27"/>
          <w:b w:val="1"/>
          <w:bCs w:val="1"/>
          <w:color w:val="A2ACB3"/>
        </w:rPr>
        <w:t>Dear Fellow Stockholders:</w:t>
      </w:r>
    </w:p>
    <w:p>
      <w:pPr>
        <w:spacing w:after="0" w:line="251" w:lineRule="exact"/>
        <w:rPr>
          <w:sz w:val="20"/>
          <w:szCs w:val="20"/>
          <w:color w:val="auto"/>
        </w:rPr>
      </w:pPr>
    </w:p>
    <w:p>
      <w:pPr>
        <w:ind w:right="20"/>
        <w:spacing w:after="0" w:line="258" w:lineRule="auto"/>
        <w:rPr>
          <w:sz w:val="20"/>
          <w:szCs w:val="20"/>
          <w:color w:val="auto"/>
        </w:rPr>
      </w:pPr>
      <w:r>
        <w:rPr>
          <w:rFonts w:ascii="Arial" w:cs="Arial" w:eastAsia="Arial" w:hAnsi="Arial"/>
          <w:sz w:val="13"/>
          <w:szCs w:val="13"/>
          <w:color w:val="auto"/>
        </w:rPr>
        <w:t>As the Compensation and Talent Committee of Western Digital, our most important mandate is to structure our executive compensation programs to attract and retain talented executives in a way that aligns with our stockholders’ interests and drives long-term value creation.</w:t>
      </w:r>
    </w:p>
    <w:p>
      <w:pPr>
        <w:spacing w:after="0" w:line="192" w:lineRule="exact"/>
        <w:rPr>
          <w:sz w:val="20"/>
          <w:szCs w:val="20"/>
          <w:color w:val="auto"/>
        </w:rPr>
      </w:pPr>
    </w:p>
    <w:p>
      <w:pPr>
        <w:jc w:val="both"/>
        <w:ind w:right="240"/>
        <w:spacing w:after="0" w:line="248" w:lineRule="auto"/>
        <w:rPr>
          <w:sz w:val="20"/>
          <w:szCs w:val="20"/>
          <w:color w:val="auto"/>
        </w:rPr>
      </w:pPr>
      <w:r>
        <w:rPr>
          <w:rFonts w:ascii="Arial" w:cs="Arial" w:eastAsia="Arial" w:hAnsi="Arial"/>
          <w:sz w:val="13"/>
          <w:szCs w:val="13"/>
          <w:color w:val="auto"/>
        </w:rPr>
        <w:t>Following the unexpected passing of Len Lauer in April 2020, Martin I. Cole joined the committee as our Chair. Mr. Cole’s experience in overseeing executive compensation programs at public companies as an executive, board member and compensation committee member, coupled with his understanding of our company given his Board service since 2014, make him well-suited to serve as our Chair.</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23628F"/>
        </w:rPr>
        <w:t>CEO Transition and Related Compensation Structure</w:t>
      </w:r>
    </w:p>
    <w:p>
      <w:pPr>
        <w:spacing w:after="0" w:line="238" w:lineRule="exact"/>
        <w:rPr>
          <w:sz w:val="20"/>
          <w:szCs w:val="20"/>
          <w:color w:val="auto"/>
        </w:rPr>
      </w:pPr>
    </w:p>
    <w:p>
      <w:pPr>
        <w:ind w:right="40"/>
        <w:spacing w:after="0"/>
        <w:rPr>
          <w:sz w:val="20"/>
          <w:szCs w:val="20"/>
          <w:color w:val="auto"/>
        </w:rPr>
      </w:pPr>
      <w:r>
        <w:rPr>
          <w:rFonts w:ascii="Arial" w:cs="Arial" w:eastAsia="Arial" w:hAnsi="Arial"/>
          <w:sz w:val="13"/>
          <w:szCs w:val="13"/>
          <w:color w:val="auto"/>
        </w:rPr>
        <w:t>Effective in March 2020, after over seven years of dedicated service as Western Digital’s CEO, Stephen D. Milligan retired and David V. Goeckeler was appointed as our new CEO. Mr. Goeckeler joins Western Digital from Cisco where he had a track record of running highly profitable businesses and driving innovation. In attracting Mr. Goeckeler to Western Digital and establishing an initial incentive structure, the committee believed it was paramount that Mr. Goeckeler’s incentives align with our performance and stockholders’ interests and provide the appropriate and necessary compensation to attract Mr. Goeckeler. To that end, the one-time transition awards provided to Mr. Goeckeler as incoming CEO were denominated approximately 90% in equity that vests over multiple years with approximately two-thirds of his transition equity awards granted in the form of a PSU award that includes robust out-performance requirements over a three-year period for Mr. Goeckeler to receive a target payout under the award, thereby creating further alignment with his interests and those of our stockholders. A majority of Mr. Goeckeler’s transition awards were intended to cover foregone compensation opportunities with his prior employer of 19 years. We are excited about Mr. Goeckeler’s leadership and we believe the incentives he received upon joining our company establish direct alignment with our long-term performance – alignment that we believe is critical for a new CEO.</w:t>
      </w: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23628F"/>
        </w:rPr>
        <w:t>Stockholder Feedback</w:t>
      </w:r>
    </w:p>
    <w:p>
      <w:pPr>
        <w:spacing w:after="0" w:line="238" w:lineRule="exact"/>
        <w:rPr>
          <w:sz w:val="20"/>
          <w:szCs w:val="20"/>
          <w:color w:val="auto"/>
        </w:rPr>
      </w:pPr>
    </w:p>
    <w:p>
      <w:pPr>
        <w:ind w:right="260"/>
        <w:spacing w:after="0" w:line="245" w:lineRule="auto"/>
        <w:rPr>
          <w:sz w:val="20"/>
          <w:szCs w:val="20"/>
          <w:color w:val="auto"/>
        </w:rPr>
      </w:pPr>
      <w:r>
        <w:rPr>
          <w:rFonts w:ascii="Arial" w:cs="Arial" w:eastAsia="Arial" w:hAnsi="Arial"/>
          <w:sz w:val="13"/>
          <w:szCs w:val="13"/>
          <w:color w:val="auto"/>
        </w:rPr>
        <w:t>We believe that engaging with investors is fundamental to our commitment to good governance and essential to maintaining strong corporate governance and executive compensation practices. Since our 2019 annual meeting of stockholders, members of the Board and management proactively reached out to over 30 of our stockholders owning approximately 60% of Western Digital’s outstanding shares and conducted calls with 14 of our top 25 holders, as well as several other stockholders. Our Chair led several of these discussions, which are described in more detail on pages 27 to 28 and 50 to 51 of this Proxy Statement.</w:t>
      </w:r>
    </w:p>
    <w:p>
      <w:pPr>
        <w:spacing w:after="0" w:line="200" w:lineRule="exact"/>
        <w:rPr>
          <w:sz w:val="20"/>
          <w:szCs w:val="20"/>
          <w:color w:val="auto"/>
        </w:rPr>
      </w:pPr>
    </w:p>
    <w:p>
      <w:pPr>
        <w:ind w:right="140"/>
        <w:spacing w:after="0" w:line="245" w:lineRule="auto"/>
        <w:rPr>
          <w:sz w:val="20"/>
          <w:szCs w:val="20"/>
          <w:color w:val="auto"/>
        </w:rPr>
      </w:pPr>
      <w:r>
        <w:rPr>
          <w:rFonts w:ascii="Arial" w:cs="Arial" w:eastAsia="Arial" w:hAnsi="Arial"/>
          <w:sz w:val="13"/>
          <w:szCs w:val="13"/>
          <w:color w:val="auto"/>
        </w:rPr>
        <w:t>In these discussions, a majority of our stockholders commended the Board’s appointment of Mr. Goeckeler as our CEO; a majority of these stockholders also appreciated the fact that we needed to make an investment to attract Mr. Goeckeler to join Western Digital and supported the design of Mr. Goeckeler’s transition awards to align his interests with those of our stockholders. Finally, we received positive feedback from a majority of these stockholders regarding the fiscal 2021 program design under consideration by the committee. We considered this input in finalizing our fiscal 2021 program changes described below.</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23628F"/>
        </w:rPr>
        <w:t>Fiscal 2021 Compensation Program Updates</w:t>
      </w:r>
    </w:p>
    <w:p>
      <w:pPr>
        <w:spacing w:after="0" w:line="238" w:lineRule="exact"/>
        <w:rPr>
          <w:sz w:val="20"/>
          <w:szCs w:val="20"/>
          <w:color w:val="auto"/>
        </w:rPr>
      </w:pPr>
    </w:p>
    <w:p>
      <w:pPr>
        <w:ind w:right="60"/>
        <w:spacing w:after="0" w:line="241" w:lineRule="auto"/>
        <w:rPr>
          <w:sz w:val="20"/>
          <w:szCs w:val="20"/>
          <w:color w:val="auto"/>
        </w:rPr>
      </w:pPr>
      <w:r>
        <w:rPr>
          <w:rFonts w:ascii="Arial" w:cs="Arial" w:eastAsia="Arial" w:hAnsi="Arial"/>
          <w:sz w:val="13"/>
          <w:szCs w:val="13"/>
          <w:color w:val="auto"/>
        </w:rPr>
        <w:t>In evaluating our executive compensation program for fiscal 2021, we considered investor feedback, as well as professional advice from the Compensation and Talent Committee's independent compensation consultant, and approved changes for fiscal 2021, as described in more detail below on page 71. Effective for fiscal 2021, we increased the performance period for all PSUs to three years to further align executives’ compensation with long-term value creation, as this was feedback we’ve heard consistently from investors in recent conversations. Further, we replaced the custom TSR peer group used for fiscal 2020 for PSU grants with the companies within the S&amp;P 500, as this broader peer set better reflects the broader equity market investment opportunity for our stockholders and provides our executives with more visibility to our relative performance. We also expanded the short-term incentive plan beyond a single metric to better capture Western Digital’s overall performance, with a shift from non-GAAP net income to non-GAAP operating income, inclusion of a new operational metric of exabytes shipped, as well as a new individual metric that will allow for differentiation between executives based on individual contributions.</w:t>
      </w:r>
    </w:p>
    <w:p>
      <w:pPr>
        <w:spacing w:after="0" w:line="18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23628F"/>
        </w:rPr>
        <w:t>2020 PROXY STATEMENT</w:t>
      </w:r>
      <w:r>
        <w:rPr>
          <w:sz w:val="20"/>
          <w:szCs w:val="20"/>
          <w:color w:val="auto"/>
        </w:rPr>
        <w:tab/>
      </w:r>
      <w:r>
        <w:rPr>
          <w:rFonts w:ascii="Arial" w:cs="Arial" w:eastAsia="Arial" w:hAnsi="Arial"/>
          <w:sz w:val="16"/>
          <w:szCs w:val="16"/>
          <w:b w:val="1"/>
          <w:bCs w:val="1"/>
          <w:color w:val="23628F"/>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153275"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23628F"/>
        </w:rPr>
        <w:t>EXECUTIVE COMPENSATION</w:t>
      </w: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color w:val="auto"/>
        </w:rPr>
        <w:t>We welcome the opportunity to continue the dialogue with our stockholders, who may reach out with any questions or concerns related to our executive compensation program.</w:t>
      </w:r>
    </w:p>
    <w:p>
      <w:pPr>
        <w:spacing w:after="0"/>
        <w:rPr>
          <w:sz w:val="20"/>
          <w:szCs w:val="20"/>
          <w:color w:val="auto"/>
        </w:rPr>
      </w:pPr>
      <w:r>
        <w:rPr>
          <w:rFonts w:ascii="Arial" w:cs="Arial" w:eastAsia="Arial" w:hAnsi="Arial"/>
          <w:sz w:val="13"/>
          <w:szCs w:val="13"/>
          <w:color w:val="auto"/>
        </w:rPr>
        <w:t>Correspondence can be addressed to our Secretary, as set forth on page 117 of this Proxy Statement.</w:t>
      </w:r>
    </w:p>
    <w:p>
      <w:pPr>
        <w:spacing w:after="0" w:line="184" w:lineRule="exact"/>
        <w:rPr>
          <w:sz w:val="20"/>
          <w:szCs w:val="20"/>
          <w:color w:val="auto"/>
        </w:rPr>
      </w:pPr>
    </w:p>
    <w:p>
      <w:pPr>
        <w:spacing w:after="0"/>
        <w:rPr>
          <w:sz w:val="20"/>
          <w:szCs w:val="20"/>
          <w:color w:val="auto"/>
        </w:rPr>
      </w:pPr>
      <w:r>
        <w:rPr>
          <w:rFonts w:ascii="Arial" w:cs="Arial" w:eastAsia="Arial" w:hAnsi="Arial"/>
          <w:sz w:val="31"/>
          <w:szCs w:val="31"/>
          <w:b w:val="1"/>
          <w:bCs w:val="1"/>
          <w:color w:val="819DBB"/>
        </w:rPr>
        <w:t>REPORT OF THE COMPENSATION AND TALENT COMMITTEE</w:t>
      </w:r>
    </w:p>
    <w:p>
      <w:pPr>
        <w:spacing w:after="0" w:line="255" w:lineRule="exact"/>
        <w:rPr>
          <w:sz w:val="20"/>
          <w:szCs w:val="20"/>
          <w:color w:val="auto"/>
        </w:rPr>
      </w:pPr>
    </w:p>
    <w:p>
      <w:pPr>
        <w:spacing w:after="0" w:line="248" w:lineRule="auto"/>
        <w:rPr>
          <w:sz w:val="20"/>
          <w:szCs w:val="20"/>
          <w:color w:val="auto"/>
        </w:rPr>
      </w:pPr>
      <w:r>
        <w:rPr>
          <w:rFonts w:ascii="Arial" w:cs="Arial" w:eastAsia="Arial" w:hAnsi="Arial"/>
          <w:sz w:val="13"/>
          <w:szCs w:val="13"/>
          <w:color w:val="auto"/>
        </w:rPr>
        <w:t>The Compensation and Talent Committee, comprised of independent directors, has reviewed and discussed the following Compensation Discussion and Analysis with management. Based on that review and discussion, the Compensation and Talent Committee recommended to our Board of Directors that the Compensation Discussion and Analysis be included in the Proxy Statement for our 2020 annual meeting of stockholders and incorporated by reference into our 2020 Annual Report on Form 10-K.</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 COMPENSATION AND TALENT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6043295" cy="42862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04329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480" w:type="dxa"/>
            <w:vAlign w:val="bottom"/>
          </w:tcPr>
          <w:p>
            <w:pPr>
              <w:spacing w:after="0"/>
              <w:rPr>
                <w:sz w:val="20"/>
                <w:szCs w:val="20"/>
                <w:color w:val="auto"/>
              </w:rPr>
            </w:pPr>
            <w:r>
              <w:rPr>
                <w:rFonts w:ascii="Arial" w:cs="Arial" w:eastAsia="Arial" w:hAnsi="Arial"/>
                <w:sz w:val="13"/>
                <w:szCs w:val="13"/>
                <w:b w:val="1"/>
                <w:bCs w:val="1"/>
                <w:color w:val="23628F"/>
              </w:rPr>
              <w:t>MARTIN I. COLE</w:t>
            </w:r>
          </w:p>
        </w:tc>
        <w:tc>
          <w:tcPr>
            <w:tcW w:w="3940" w:type="dxa"/>
            <w:vAlign w:val="bottom"/>
            <w:vMerge w:val="restart"/>
          </w:tcPr>
          <w:p>
            <w:pPr>
              <w:ind w:left="1420"/>
              <w:spacing w:after="0"/>
              <w:rPr>
                <w:sz w:val="20"/>
                <w:szCs w:val="20"/>
                <w:color w:val="auto"/>
              </w:rPr>
            </w:pPr>
            <w:r>
              <w:rPr>
                <w:rFonts w:ascii="Arial" w:cs="Arial" w:eastAsia="Arial" w:hAnsi="Arial"/>
                <w:sz w:val="13"/>
                <w:szCs w:val="13"/>
                <w:b w:val="1"/>
                <w:bCs w:val="1"/>
                <w:color w:val="23628F"/>
              </w:rPr>
              <w:t>KATHLEEN A. COTE</w:t>
            </w:r>
          </w:p>
        </w:tc>
        <w:tc>
          <w:tcPr>
            <w:tcW w:w="2220" w:type="dxa"/>
            <w:vAlign w:val="bottom"/>
            <w:vMerge w:val="restart"/>
          </w:tcPr>
          <w:p>
            <w:pPr>
              <w:ind w:left="1220"/>
              <w:spacing w:after="0"/>
              <w:rPr>
                <w:sz w:val="20"/>
                <w:szCs w:val="20"/>
                <w:color w:val="auto"/>
              </w:rPr>
            </w:pPr>
            <w:r>
              <w:rPr>
                <w:rFonts w:ascii="Arial" w:cs="Arial" w:eastAsia="Arial" w:hAnsi="Arial"/>
                <w:sz w:val="13"/>
                <w:szCs w:val="13"/>
                <w:b w:val="1"/>
                <w:bCs w:val="1"/>
                <w:color w:val="23628F"/>
              </w:rPr>
              <w:t>TUNÇ DOLUCA</w:t>
            </w:r>
          </w:p>
        </w:tc>
        <w:tc>
          <w:tcPr>
            <w:tcW w:w="0" w:type="dxa"/>
            <w:vAlign w:val="bottom"/>
          </w:tcPr>
          <w:p>
            <w:pPr>
              <w:spacing w:after="0"/>
              <w:rPr>
                <w:sz w:val="1"/>
                <w:szCs w:val="1"/>
                <w:color w:val="auto"/>
              </w:rPr>
            </w:pPr>
          </w:p>
        </w:tc>
      </w:tr>
      <w:tr>
        <w:trPr>
          <w:trHeight w:val="95"/>
        </w:trPr>
        <w:tc>
          <w:tcPr>
            <w:tcW w:w="2480" w:type="dxa"/>
            <w:vAlign w:val="bottom"/>
            <w:vMerge w:val="restart"/>
          </w:tcPr>
          <w:p>
            <w:pPr>
              <w:spacing w:after="0"/>
              <w:rPr>
                <w:sz w:val="20"/>
                <w:szCs w:val="20"/>
                <w:color w:val="auto"/>
              </w:rPr>
            </w:pPr>
            <w:r>
              <w:rPr>
                <w:rFonts w:ascii="Arial" w:cs="Arial" w:eastAsia="Arial" w:hAnsi="Arial"/>
                <w:sz w:val="13"/>
                <w:szCs w:val="13"/>
                <w:i w:val="1"/>
                <w:iCs w:val="1"/>
                <w:color w:val="auto"/>
              </w:rPr>
              <w:t>Chair</w:t>
            </w:r>
          </w:p>
        </w:tc>
        <w:tc>
          <w:tcPr>
            <w:tcW w:w="3940" w:type="dxa"/>
            <w:vAlign w:val="bottom"/>
            <w:vMerge w:val="continue"/>
          </w:tcPr>
          <w:p>
            <w:pPr>
              <w:spacing w:after="0"/>
              <w:rPr>
                <w:sz w:val="8"/>
                <w:szCs w:val="8"/>
                <w:color w:val="auto"/>
              </w:rPr>
            </w:pPr>
          </w:p>
        </w:tc>
        <w:tc>
          <w:tcPr>
            <w:tcW w:w="2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480" w:type="dxa"/>
            <w:vAlign w:val="bottom"/>
            <w:vMerge w:val="continue"/>
          </w:tcPr>
          <w:p>
            <w:pPr>
              <w:spacing w:after="0"/>
              <w:rPr>
                <w:sz w:val="7"/>
                <w:szCs w:val="7"/>
                <w:color w:val="auto"/>
              </w:rPr>
            </w:pPr>
          </w:p>
        </w:tc>
        <w:tc>
          <w:tcPr>
            <w:tcW w:w="3940" w:type="dxa"/>
            <w:vAlign w:val="bottom"/>
          </w:tcPr>
          <w:p>
            <w:pPr>
              <w:spacing w:after="0"/>
              <w:rPr>
                <w:sz w:val="7"/>
                <w:szCs w:val="7"/>
                <w:color w:val="auto"/>
              </w:rPr>
            </w:pPr>
          </w:p>
        </w:tc>
        <w:tc>
          <w:tcPr>
            <w:tcW w:w="22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ind w:right="640"/>
        <w:spacing w:after="0" w:line="279" w:lineRule="auto"/>
        <w:rPr>
          <w:sz w:val="20"/>
          <w:szCs w:val="20"/>
          <w:color w:val="auto"/>
        </w:rPr>
      </w:pPr>
      <w:r>
        <w:rPr>
          <w:rFonts w:ascii="Arial" w:cs="Arial" w:eastAsia="Arial" w:hAnsi="Arial"/>
          <w:sz w:val="31"/>
          <w:szCs w:val="31"/>
          <w:b w:val="1"/>
          <w:bCs w:val="1"/>
          <w:color w:val="819DBB"/>
        </w:rPr>
        <w:t>COMPENSATION AND TALENT COMMITTEE INTERLOCKS AND INSIDER PARTICIPATION</w:t>
      </w:r>
    </w:p>
    <w:p>
      <w:pPr>
        <w:spacing w:after="0" w:line="147" w:lineRule="exact"/>
        <w:rPr>
          <w:sz w:val="20"/>
          <w:szCs w:val="20"/>
          <w:color w:val="auto"/>
        </w:rPr>
      </w:pPr>
    </w:p>
    <w:p>
      <w:pPr>
        <w:ind w:right="40"/>
        <w:spacing w:after="0" w:line="242" w:lineRule="auto"/>
        <w:rPr>
          <w:sz w:val="20"/>
          <w:szCs w:val="20"/>
          <w:color w:val="auto"/>
        </w:rPr>
      </w:pPr>
      <w:r>
        <w:rPr>
          <w:rFonts w:ascii="Arial" w:cs="Arial" w:eastAsia="Arial" w:hAnsi="Arial"/>
          <w:sz w:val="13"/>
          <w:szCs w:val="13"/>
          <w:color w:val="auto"/>
        </w:rPr>
        <w:t>All of the Compensation and Talent Committee members whose names appear on the Compensation and Talent Committee Report above, other than Mr. Cole, were members of the Compensation and Talent Committee during all of fiscal 2020; Mr. Cole was appointed to the Compensation and Talent Committee in April 2020 following the passing of our former Compensation and Talent Committee Chair, Mr. Lauer. All members of the Compensation and Talent Committee during fiscal 2020 were independent directors and none of them were our employees or former employees or had any relationship with us requiring disclosure of certain transactions with related persons under SEC rules. There are no compensation committee interlocks between us and other entities in which one of our executive officers served on the compensation committee (or equivalent body) or the board of directors of another entity whose executive officer(s) served on the Compensation and Talent Committee or our Board of Directors.</w:t>
      </w:r>
    </w:p>
    <w:p>
      <w:pPr>
        <w:spacing w:after="0" w:line="198" w:lineRule="exact"/>
        <w:rPr>
          <w:sz w:val="20"/>
          <w:szCs w:val="20"/>
          <w:color w:val="auto"/>
        </w:rPr>
      </w:pPr>
    </w:p>
    <w:p>
      <w:pPr>
        <w:ind w:left="440" w:hanging="432"/>
        <w:spacing w:after="0"/>
        <w:tabs>
          <w:tab w:leader="none" w:pos="440" w:val="left"/>
        </w:tabs>
        <w:numPr>
          <w:ilvl w:val="0"/>
          <w:numId w:val="135"/>
        </w:numPr>
        <w:rPr>
          <w:rFonts w:ascii="Arial" w:cs="Arial" w:eastAsia="Arial" w:hAnsi="Arial"/>
          <w:sz w:val="18"/>
          <w:szCs w:val="18"/>
          <w:b w:val="1"/>
          <w:bCs w:val="1"/>
          <w:color w:val="23628F"/>
        </w:rPr>
      </w:pPr>
      <w:r>
        <w:rPr>
          <w:rFonts w:ascii="Arial" w:cs="Arial" w:eastAsia="Arial" w:hAnsi="Arial"/>
          <w:sz w:val="13"/>
          <w:szCs w:val="13"/>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153275" cy="209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199" w:lineRule="exact"/>
        <w:rPr>
          <w:sz w:val="20"/>
          <w:szCs w:val="20"/>
          <w:color w:val="auto"/>
        </w:rPr>
      </w:pPr>
    </w:p>
    <w:p>
      <w:pPr>
        <w:spacing w:after="0"/>
        <w:rPr>
          <w:sz w:val="20"/>
          <w:szCs w:val="20"/>
          <w:color w:val="auto"/>
        </w:rPr>
      </w:pPr>
      <w:r>
        <w:rPr>
          <w:rFonts w:ascii="Arial" w:cs="Arial" w:eastAsia="Arial" w:hAnsi="Arial"/>
          <w:sz w:val="31"/>
          <w:szCs w:val="31"/>
          <w:b w:val="1"/>
          <w:bCs w:val="1"/>
          <w:color w:val="819DBB"/>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1234440" cy="6858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34440" cy="68580"/>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OUR NAMED EXECUTIVE OFFICERS</w:t>
      </w:r>
    </w:p>
    <w:p>
      <w:pPr>
        <w:spacing w:after="0" w:line="252" w:lineRule="exact"/>
        <w:rPr>
          <w:sz w:val="20"/>
          <w:szCs w:val="20"/>
          <w:color w:val="auto"/>
        </w:rPr>
      </w:pPr>
    </w:p>
    <w:p>
      <w:pPr>
        <w:spacing w:after="0"/>
        <w:rPr>
          <w:sz w:val="20"/>
          <w:szCs w:val="20"/>
          <w:color w:val="auto"/>
        </w:rPr>
      </w:pPr>
      <w:r>
        <w:rPr>
          <w:rFonts w:ascii="Arial" w:cs="Arial" w:eastAsia="Arial" w:hAnsi="Arial"/>
          <w:sz w:val="13"/>
          <w:szCs w:val="13"/>
          <w:color w:val="auto"/>
        </w:rPr>
        <w:t>When we refer to our “named executive officers,” we mean: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634365" cy="7372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34365" cy="737235"/>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137160</wp:posOffset>
            </wp:positionV>
            <wp:extent cx="634365" cy="7372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34365" cy="73723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137160</wp:posOffset>
            </wp:positionV>
            <wp:extent cx="634365" cy="7454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34365" cy="7454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137160</wp:posOffset>
            </wp:positionV>
            <wp:extent cx="634365" cy="7372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34365" cy="73723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137160</wp:posOffset>
            </wp:positionV>
            <wp:extent cx="634365" cy="7454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3436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740" w:type="dxa"/>
            <w:vAlign w:val="bottom"/>
          </w:tcPr>
          <w:p>
            <w:pPr>
              <w:spacing w:after="0"/>
              <w:rPr>
                <w:sz w:val="20"/>
                <w:szCs w:val="20"/>
                <w:color w:val="auto"/>
              </w:rPr>
            </w:pPr>
            <w:r>
              <w:rPr>
                <w:rFonts w:ascii="Arial" w:cs="Arial" w:eastAsia="Arial" w:hAnsi="Arial"/>
                <w:sz w:val="13"/>
                <w:szCs w:val="13"/>
                <w:b w:val="1"/>
                <w:bCs w:val="1"/>
                <w:color w:val="23628F"/>
              </w:rPr>
              <w:t>David V. Goeckeler</w:t>
            </w:r>
          </w:p>
        </w:tc>
        <w:tc>
          <w:tcPr>
            <w:tcW w:w="2240" w:type="dxa"/>
            <w:vAlign w:val="bottom"/>
          </w:tcPr>
          <w:p>
            <w:pPr>
              <w:ind w:left="520"/>
              <w:spacing w:after="0"/>
              <w:rPr>
                <w:sz w:val="20"/>
                <w:szCs w:val="20"/>
                <w:color w:val="auto"/>
              </w:rPr>
            </w:pPr>
            <w:r>
              <w:rPr>
                <w:rFonts w:ascii="Arial" w:cs="Arial" w:eastAsia="Arial" w:hAnsi="Arial"/>
                <w:sz w:val="13"/>
                <w:szCs w:val="13"/>
                <w:b w:val="1"/>
                <w:bCs w:val="1"/>
                <w:color w:val="23628F"/>
              </w:rPr>
              <w:t>Robert K. Eulau</w:t>
            </w:r>
          </w:p>
        </w:tc>
        <w:tc>
          <w:tcPr>
            <w:tcW w:w="2280" w:type="dxa"/>
            <w:vAlign w:val="bottom"/>
          </w:tcPr>
          <w:p>
            <w:pPr>
              <w:ind w:left="540"/>
              <w:spacing w:after="0"/>
              <w:rPr>
                <w:sz w:val="20"/>
                <w:szCs w:val="20"/>
                <w:color w:val="auto"/>
              </w:rPr>
            </w:pPr>
            <w:r>
              <w:rPr>
                <w:rFonts w:ascii="Arial" w:cs="Arial" w:eastAsia="Arial" w:hAnsi="Arial"/>
                <w:sz w:val="13"/>
                <w:szCs w:val="13"/>
                <w:b w:val="1"/>
                <w:bCs w:val="1"/>
                <w:color w:val="23628F"/>
              </w:rPr>
              <w:t>Srinivasan Sivaram</w:t>
            </w:r>
          </w:p>
        </w:tc>
        <w:tc>
          <w:tcPr>
            <w:tcW w:w="2100" w:type="dxa"/>
            <w:vAlign w:val="bottom"/>
          </w:tcPr>
          <w:p>
            <w:pPr>
              <w:ind w:left="500"/>
              <w:spacing w:after="0"/>
              <w:rPr>
                <w:sz w:val="20"/>
                <w:szCs w:val="20"/>
                <w:color w:val="auto"/>
              </w:rPr>
            </w:pPr>
            <w:r>
              <w:rPr>
                <w:rFonts w:ascii="Arial" w:cs="Arial" w:eastAsia="Arial" w:hAnsi="Arial"/>
                <w:sz w:val="13"/>
                <w:szCs w:val="13"/>
                <w:b w:val="1"/>
                <w:bCs w:val="1"/>
                <w:color w:val="23628F"/>
              </w:rPr>
              <w:t>Michael C. Ray</w:t>
            </w:r>
          </w:p>
        </w:tc>
        <w:tc>
          <w:tcPr>
            <w:tcW w:w="1720" w:type="dxa"/>
            <w:vAlign w:val="bottom"/>
          </w:tcPr>
          <w:p>
            <w:pPr>
              <w:ind w:left="640"/>
              <w:spacing w:after="0"/>
              <w:rPr>
                <w:sz w:val="20"/>
                <w:szCs w:val="20"/>
                <w:color w:val="auto"/>
              </w:rPr>
            </w:pPr>
            <w:r>
              <w:rPr>
                <w:rFonts w:ascii="Arial" w:cs="Arial" w:eastAsia="Arial" w:hAnsi="Arial"/>
                <w:sz w:val="13"/>
                <w:szCs w:val="13"/>
                <w:b w:val="1"/>
                <w:bCs w:val="1"/>
                <w:color w:val="23628F"/>
              </w:rPr>
              <w:t>Lori S. Sundberg</w:t>
            </w:r>
          </w:p>
        </w:tc>
      </w:tr>
      <w:tr>
        <w:trPr>
          <w:trHeight w:val="148"/>
        </w:trPr>
        <w:tc>
          <w:tcPr>
            <w:tcW w:w="1740" w:type="dxa"/>
            <w:vAlign w:val="bottom"/>
          </w:tcPr>
          <w:p>
            <w:pPr>
              <w:spacing w:after="0"/>
              <w:rPr>
                <w:sz w:val="20"/>
                <w:szCs w:val="20"/>
                <w:color w:val="auto"/>
              </w:rPr>
            </w:pPr>
            <w:r>
              <w:rPr>
                <w:rFonts w:ascii="Arial" w:cs="Arial" w:eastAsia="Arial" w:hAnsi="Arial"/>
                <w:sz w:val="13"/>
                <w:szCs w:val="13"/>
                <w:color w:val="auto"/>
              </w:rPr>
              <w:t>Chief Executive</w:t>
            </w:r>
          </w:p>
        </w:tc>
        <w:tc>
          <w:tcPr>
            <w:tcW w:w="2240" w:type="dxa"/>
            <w:vAlign w:val="bottom"/>
          </w:tcPr>
          <w:p>
            <w:pPr>
              <w:ind w:left="520"/>
              <w:spacing w:after="0"/>
              <w:rPr>
                <w:sz w:val="20"/>
                <w:szCs w:val="20"/>
                <w:color w:val="auto"/>
              </w:rPr>
            </w:pPr>
            <w:r>
              <w:rPr>
                <w:rFonts w:ascii="Arial" w:cs="Arial" w:eastAsia="Arial" w:hAnsi="Arial"/>
                <w:sz w:val="13"/>
                <w:szCs w:val="13"/>
                <w:color w:val="auto"/>
              </w:rPr>
              <w:t>Executive Vice</w:t>
            </w:r>
          </w:p>
        </w:tc>
        <w:tc>
          <w:tcPr>
            <w:tcW w:w="2280" w:type="dxa"/>
            <w:vAlign w:val="bottom"/>
          </w:tcPr>
          <w:p>
            <w:pPr>
              <w:ind w:left="540"/>
              <w:spacing w:after="0"/>
              <w:rPr>
                <w:sz w:val="20"/>
                <w:szCs w:val="20"/>
                <w:color w:val="auto"/>
              </w:rPr>
            </w:pPr>
            <w:r>
              <w:rPr>
                <w:rFonts w:ascii="Arial" w:cs="Arial" w:eastAsia="Arial" w:hAnsi="Arial"/>
                <w:sz w:val="13"/>
                <w:szCs w:val="13"/>
                <w:color w:val="auto"/>
              </w:rPr>
              <w:t>President,</w:t>
            </w:r>
          </w:p>
        </w:tc>
        <w:tc>
          <w:tcPr>
            <w:tcW w:w="2100" w:type="dxa"/>
            <w:vAlign w:val="bottom"/>
          </w:tcPr>
          <w:p>
            <w:pPr>
              <w:ind w:left="500"/>
              <w:spacing w:after="0"/>
              <w:rPr>
                <w:sz w:val="20"/>
                <w:szCs w:val="20"/>
                <w:color w:val="auto"/>
              </w:rPr>
            </w:pPr>
            <w:r>
              <w:rPr>
                <w:rFonts w:ascii="Arial" w:cs="Arial" w:eastAsia="Arial" w:hAnsi="Arial"/>
                <w:sz w:val="13"/>
                <w:szCs w:val="13"/>
                <w:color w:val="auto"/>
              </w:rPr>
              <w:t>Executive Vice</w:t>
            </w:r>
          </w:p>
        </w:tc>
        <w:tc>
          <w:tcPr>
            <w:tcW w:w="1720" w:type="dxa"/>
            <w:vAlign w:val="bottom"/>
          </w:tcPr>
          <w:p>
            <w:pPr>
              <w:ind w:left="640"/>
              <w:spacing w:after="0"/>
              <w:rPr>
                <w:sz w:val="20"/>
                <w:szCs w:val="20"/>
                <w:color w:val="auto"/>
              </w:rPr>
            </w:pPr>
            <w:r>
              <w:rPr>
                <w:rFonts w:ascii="Arial" w:cs="Arial" w:eastAsia="Arial" w:hAnsi="Arial"/>
                <w:sz w:val="13"/>
                <w:szCs w:val="13"/>
                <w:color w:val="auto"/>
              </w:rPr>
              <w:t>Executive Vice</w:t>
            </w:r>
          </w:p>
        </w:tc>
      </w:tr>
      <w:tr>
        <w:trPr>
          <w:trHeight w:val="148"/>
        </w:trPr>
        <w:tc>
          <w:tcPr>
            <w:tcW w:w="1740" w:type="dxa"/>
            <w:vAlign w:val="bottom"/>
          </w:tcPr>
          <w:p>
            <w:pPr>
              <w:spacing w:after="0"/>
              <w:rPr>
                <w:sz w:val="20"/>
                <w:szCs w:val="20"/>
                <w:color w:val="auto"/>
              </w:rPr>
            </w:pPr>
            <w:r>
              <w:rPr>
                <w:rFonts w:ascii="Arial" w:cs="Arial" w:eastAsia="Arial" w:hAnsi="Arial"/>
                <w:sz w:val="13"/>
                <w:szCs w:val="13"/>
                <w:color w:val="auto"/>
              </w:rPr>
              <w:t>Officer</w:t>
            </w:r>
          </w:p>
        </w:tc>
        <w:tc>
          <w:tcPr>
            <w:tcW w:w="2240" w:type="dxa"/>
            <w:vAlign w:val="bottom"/>
          </w:tcPr>
          <w:p>
            <w:pPr>
              <w:ind w:left="520"/>
              <w:spacing w:after="0"/>
              <w:rPr>
                <w:sz w:val="20"/>
                <w:szCs w:val="20"/>
                <w:color w:val="auto"/>
              </w:rPr>
            </w:pPr>
            <w:r>
              <w:rPr>
                <w:rFonts w:ascii="Arial" w:cs="Arial" w:eastAsia="Arial" w:hAnsi="Arial"/>
                <w:sz w:val="13"/>
                <w:szCs w:val="13"/>
                <w:color w:val="auto"/>
              </w:rPr>
              <w:t>President and Chief</w:t>
            </w:r>
          </w:p>
        </w:tc>
        <w:tc>
          <w:tcPr>
            <w:tcW w:w="2280" w:type="dxa"/>
            <w:vAlign w:val="bottom"/>
          </w:tcPr>
          <w:p>
            <w:pPr>
              <w:ind w:left="540"/>
              <w:spacing w:after="0"/>
              <w:rPr>
                <w:sz w:val="20"/>
                <w:szCs w:val="20"/>
                <w:color w:val="auto"/>
              </w:rPr>
            </w:pPr>
            <w:r>
              <w:rPr>
                <w:rFonts w:ascii="Arial" w:cs="Arial" w:eastAsia="Arial" w:hAnsi="Arial"/>
                <w:sz w:val="13"/>
                <w:szCs w:val="13"/>
                <w:color w:val="auto"/>
              </w:rPr>
              <w:t>Technology</w:t>
            </w:r>
          </w:p>
        </w:tc>
        <w:tc>
          <w:tcPr>
            <w:tcW w:w="2100" w:type="dxa"/>
            <w:vAlign w:val="bottom"/>
          </w:tcPr>
          <w:p>
            <w:pPr>
              <w:ind w:left="500"/>
              <w:spacing w:after="0"/>
              <w:rPr>
                <w:sz w:val="20"/>
                <w:szCs w:val="20"/>
                <w:color w:val="auto"/>
              </w:rPr>
            </w:pPr>
            <w:r>
              <w:rPr>
                <w:rFonts w:ascii="Arial" w:cs="Arial" w:eastAsia="Arial" w:hAnsi="Arial"/>
                <w:sz w:val="13"/>
                <w:szCs w:val="13"/>
                <w:color w:val="auto"/>
              </w:rPr>
              <w:t>President, Chief</w:t>
            </w:r>
          </w:p>
        </w:tc>
        <w:tc>
          <w:tcPr>
            <w:tcW w:w="1720" w:type="dxa"/>
            <w:vAlign w:val="bottom"/>
          </w:tcPr>
          <w:p>
            <w:pPr>
              <w:ind w:left="640"/>
              <w:spacing w:after="0"/>
              <w:rPr>
                <w:sz w:val="20"/>
                <w:szCs w:val="20"/>
                <w:color w:val="auto"/>
              </w:rPr>
            </w:pPr>
            <w:r>
              <w:rPr>
                <w:rFonts w:ascii="Arial" w:cs="Arial" w:eastAsia="Arial" w:hAnsi="Arial"/>
                <w:sz w:val="13"/>
                <w:szCs w:val="13"/>
                <w:color w:val="auto"/>
              </w:rPr>
              <w:t>President and</w:t>
            </w:r>
          </w:p>
        </w:tc>
      </w:tr>
      <w:tr>
        <w:trPr>
          <w:trHeight w:val="148"/>
        </w:trPr>
        <w:tc>
          <w:tcPr>
            <w:tcW w:w="1740" w:type="dxa"/>
            <w:vAlign w:val="bottom"/>
          </w:tcPr>
          <w:p>
            <w:pPr>
              <w:spacing w:after="0"/>
              <w:rPr>
                <w:sz w:val="12"/>
                <w:szCs w:val="12"/>
                <w:color w:val="auto"/>
              </w:rPr>
            </w:pPr>
          </w:p>
        </w:tc>
        <w:tc>
          <w:tcPr>
            <w:tcW w:w="2240" w:type="dxa"/>
            <w:vAlign w:val="bottom"/>
          </w:tcPr>
          <w:p>
            <w:pPr>
              <w:ind w:left="520"/>
              <w:spacing w:after="0"/>
              <w:rPr>
                <w:sz w:val="20"/>
                <w:szCs w:val="20"/>
                <w:color w:val="auto"/>
              </w:rPr>
            </w:pPr>
            <w:r>
              <w:rPr>
                <w:rFonts w:ascii="Arial" w:cs="Arial" w:eastAsia="Arial" w:hAnsi="Arial"/>
                <w:sz w:val="13"/>
                <w:szCs w:val="13"/>
                <w:color w:val="auto"/>
              </w:rPr>
              <w:t>Financial Officer</w:t>
            </w:r>
          </w:p>
        </w:tc>
        <w:tc>
          <w:tcPr>
            <w:tcW w:w="2280" w:type="dxa"/>
            <w:vAlign w:val="bottom"/>
          </w:tcPr>
          <w:p>
            <w:pPr>
              <w:ind w:left="540"/>
              <w:spacing w:after="0"/>
              <w:rPr>
                <w:sz w:val="20"/>
                <w:szCs w:val="20"/>
                <w:color w:val="auto"/>
              </w:rPr>
            </w:pPr>
            <w:r>
              <w:rPr>
                <w:rFonts w:ascii="Arial" w:cs="Arial" w:eastAsia="Arial" w:hAnsi="Arial"/>
                <w:sz w:val="13"/>
                <w:szCs w:val="13"/>
                <w:color w:val="auto"/>
              </w:rPr>
              <w:t>and Strategy</w:t>
            </w:r>
          </w:p>
        </w:tc>
        <w:tc>
          <w:tcPr>
            <w:tcW w:w="2100" w:type="dxa"/>
            <w:vAlign w:val="bottom"/>
          </w:tcPr>
          <w:p>
            <w:pPr>
              <w:ind w:left="500"/>
              <w:spacing w:after="0"/>
              <w:rPr>
                <w:sz w:val="20"/>
                <w:szCs w:val="20"/>
                <w:color w:val="auto"/>
              </w:rPr>
            </w:pPr>
            <w:r>
              <w:rPr>
                <w:rFonts w:ascii="Arial" w:cs="Arial" w:eastAsia="Arial" w:hAnsi="Arial"/>
                <w:sz w:val="13"/>
                <w:szCs w:val="13"/>
                <w:color w:val="auto"/>
              </w:rPr>
              <w:t>Legal Officer</w:t>
            </w:r>
          </w:p>
        </w:tc>
        <w:tc>
          <w:tcPr>
            <w:tcW w:w="1720" w:type="dxa"/>
            <w:vAlign w:val="bottom"/>
          </w:tcPr>
          <w:p>
            <w:pPr>
              <w:ind w:left="640"/>
              <w:spacing w:after="0"/>
              <w:rPr>
                <w:sz w:val="20"/>
                <w:szCs w:val="20"/>
                <w:color w:val="auto"/>
              </w:rPr>
            </w:pPr>
            <w:r>
              <w:rPr>
                <w:rFonts w:ascii="Arial" w:cs="Arial" w:eastAsia="Arial" w:hAnsi="Arial"/>
                <w:sz w:val="13"/>
                <w:szCs w:val="13"/>
                <w:color w:val="auto"/>
              </w:rPr>
              <w:t>Chief Human</w:t>
            </w:r>
          </w:p>
        </w:tc>
      </w:tr>
      <w:tr>
        <w:trPr>
          <w:trHeight w:val="162"/>
        </w:trPr>
        <w:tc>
          <w:tcPr>
            <w:tcW w:w="17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100" w:type="dxa"/>
            <w:vAlign w:val="bottom"/>
          </w:tcPr>
          <w:p>
            <w:pPr>
              <w:ind w:left="500"/>
              <w:spacing w:after="0"/>
              <w:rPr>
                <w:sz w:val="20"/>
                <w:szCs w:val="20"/>
                <w:color w:val="auto"/>
              </w:rPr>
            </w:pPr>
            <w:r>
              <w:rPr>
                <w:rFonts w:ascii="Arial" w:cs="Arial" w:eastAsia="Arial" w:hAnsi="Arial"/>
                <w:sz w:val="13"/>
                <w:szCs w:val="13"/>
                <w:color w:val="auto"/>
              </w:rPr>
              <w:t>and Secretary</w:t>
            </w:r>
          </w:p>
        </w:tc>
        <w:tc>
          <w:tcPr>
            <w:tcW w:w="1720" w:type="dxa"/>
            <w:vAlign w:val="bottom"/>
          </w:tcPr>
          <w:p>
            <w:pPr>
              <w:ind w:left="640"/>
              <w:spacing w:after="0"/>
              <w:rPr>
                <w:sz w:val="20"/>
                <w:szCs w:val="20"/>
                <w:color w:val="auto"/>
              </w:rPr>
            </w:pPr>
            <w:r>
              <w:rPr>
                <w:rFonts w:ascii="Arial" w:cs="Arial" w:eastAsia="Arial" w:hAnsi="Arial"/>
                <w:sz w:val="13"/>
                <w:szCs w:val="13"/>
                <w:color w:val="auto"/>
              </w:rPr>
              <w:t>Resources Officer</w:t>
            </w:r>
          </w:p>
        </w:tc>
      </w:tr>
    </w:tbl>
    <w:p>
      <w:pPr>
        <w:spacing w:after="0" w:line="202" w:lineRule="exact"/>
        <w:rPr>
          <w:sz w:val="20"/>
          <w:szCs w:val="20"/>
          <w:color w:val="auto"/>
        </w:rPr>
      </w:pPr>
    </w:p>
    <w:p>
      <w:pPr>
        <w:jc w:val="both"/>
        <w:ind w:right="220"/>
        <w:spacing w:after="0" w:line="248" w:lineRule="auto"/>
        <w:rPr>
          <w:sz w:val="20"/>
          <w:szCs w:val="20"/>
          <w:color w:val="auto"/>
        </w:rPr>
      </w:pPr>
      <w:r>
        <w:rPr>
          <w:rFonts w:ascii="Arial" w:cs="Arial" w:eastAsia="Arial" w:hAnsi="Arial"/>
          <w:sz w:val="13"/>
          <w:szCs w:val="13"/>
          <w:color w:val="auto"/>
        </w:rPr>
        <w:t>Under SEC rules, the individuals listed above, as well as Mr. Milligan, our former Chief Executive Officer, who stepped down from that role in March 2020 and retired in September 2020, and Michael D. Cordano, our former President and Chief Operating Officer, who transitioned to a new role as part of a reorganized management structure in April 2020 and departed our company in August 2020, are our named executive officers for fiscal 2020 and are listed in the “Fiscal 2018—2020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1234440" cy="6858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34440" cy="68580"/>
                    </a:xfrm>
                    <a:prstGeom prst="rect">
                      <a:avLst/>
                    </a:prstGeom>
                    <a:noFill/>
                  </pic:spPr>
                </pic:pic>
              </a:graphicData>
            </a:graphic>
          </wp:anchor>
        </w:drawing>
      </w:r>
    </w:p>
    <w:p>
      <w:pPr>
        <w:spacing w:after="0" w:line="302"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OVERVIEW</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0" w:type="dxa"/>
            <w:vAlign w:val="bottom"/>
          </w:tcPr>
          <w:p>
            <w:pPr>
              <w:spacing w:after="0"/>
              <w:rPr>
                <w:sz w:val="20"/>
                <w:szCs w:val="20"/>
                <w:color w:val="auto"/>
              </w:rPr>
            </w:pPr>
            <w:r>
              <w:rPr>
                <w:rFonts w:ascii="Arial" w:cs="Arial" w:eastAsia="Arial" w:hAnsi="Arial"/>
                <w:sz w:val="13"/>
                <w:szCs w:val="13"/>
                <w:color w:val="auto"/>
              </w:rPr>
              <w:t>Fiscal 2020</w:t>
            </w:r>
          </w:p>
        </w:tc>
        <w:tc>
          <w:tcPr>
            <w:tcW w:w="7280" w:type="dxa"/>
            <w:vAlign w:val="bottom"/>
          </w:tcPr>
          <w:p>
            <w:pPr>
              <w:ind w:left="20"/>
              <w:spacing w:after="0"/>
              <w:rPr>
                <w:sz w:val="20"/>
                <w:szCs w:val="20"/>
                <w:color w:val="auto"/>
              </w:rPr>
            </w:pPr>
            <w:r>
              <w:rPr>
                <w:rFonts w:ascii="Arial" w:cs="Arial" w:eastAsia="Arial" w:hAnsi="Arial"/>
                <w:sz w:val="13"/>
                <w:szCs w:val="13"/>
                <w:color w:val="auto"/>
              </w:rPr>
              <w:t>Executive Summary and Chief Executive Officer Transition Discussion</w:t>
            </w:r>
          </w:p>
        </w:tc>
        <w:tc>
          <w:tcPr>
            <w:tcW w:w="3240" w:type="dxa"/>
            <w:vAlign w:val="bottom"/>
          </w:tcPr>
          <w:p>
            <w:pPr>
              <w:jc w:val="right"/>
              <w:spacing w:after="0"/>
              <w:rPr>
                <w:sz w:val="20"/>
                <w:szCs w:val="20"/>
                <w:color w:val="auto"/>
              </w:rPr>
            </w:pPr>
            <w:r>
              <w:rPr>
                <w:rFonts w:ascii="Arial" w:cs="Arial" w:eastAsia="Arial" w:hAnsi="Arial"/>
                <w:sz w:val="13"/>
                <w:szCs w:val="13"/>
                <w:color w:val="auto"/>
              </w:rPr>
              <w:t>50</w:t>
            </w:r>
          </w:p>
        </w:tc>
      </w:tr>
      <w:tr>
        <w:trPr>
          <w:trHeight w:val="243"/>
        </w:trPr>
        <w:tc>
          <w:tcPr>
            <w:tcW w:w="720" w:type="dxa"/>
            <w:vAlign w:val="bottom"/>
          </w:tcPr>
          <w:p>
            <w:pPr>
              <w:spacing w:after="0"/>
              <w:rPr>
                <w:sz w:val="20"/>
                <w:szCs w:val="20"/>
                <w:color w:val="auto"/>
              </w:rPr>
            </w:pPr>
            <w:r>
              <w:rPr>
                <w:rFonts w:ascii="Arial" w:cs="Arial" w:eastAsia="Arial" w:hAnsi="Arial"/>
                <w:sz w:val="13"/>
                <w:szCs w:val="13"/>
                <w:color w:val="auto"/>
              </w:rPr>
              <w:t>Fiscal 2020</w:t>
            </w:r>
          </w:p>
        </w:tc>
        <w:tc>
          <w:tcPr>
            <w:tcW w:w="7280" w:type="dxa"/>
            <w:vAlign w:val="bottom"/>
          </w:tcPr>
          <w:p>
            <w:pPr>
              <w:ind w:left="20"/>
              <w:spacing w:after="0"/>
              <w:rPr>
                <w:sz w:val="20"/>
                <w:szCs w:val="20"/>
                <w:color w:val="auto"/>
              </w:rPr>
            </w:pPr>
            <w:r>
              <w:rPr>
                <w:rFonts w:ascii="Arial" w:cs="Arial" w:eastAsia="Arial" w:hAnsi="Arial"/>
                <w:sz w:val="13"/>
                <w:szCs w:val="13"/>
                <w:color w:val="auto"/>
              </w:rPr>
              <w:t>Philosophy, Objectives and Process</w:t>
            </w:r>
          </w:p>
        </w:tc>
        <w:tc>
          <w:tcPr>
            <w:tcW w:w="3240" w:type="dxa"/>
            <w:vAlign w:val="bottom"/>
          </w:tcPr>
          <w:p>
            <w:pPr>
              <w:jc w:val="right"/>
              <w:spacing w:after="0"/>
              <w:rPr>
                <w:sz w:val="20"/>
                <w:szCs w:val="20"/>
                <w:color w:val="auto"/>
              </w:rPr>
            </w:pPr>
            <w:r>
              <w:rPr>
                <w:rFonts w:ascii="Arial" w:cs="Arial" w:eastAsia="Arial" w:hAnsi="Arial"/>
                <w:sz w:val="13"/>
                <w:szCs w:val="13"/>
                <w:color w:val="auto"/>
              </w:rPr>
              <w:t>59</w:t>
            </w:r>
          </w:p>
        </w:tc>
      </w:tr>
      <w:tr>
        <w:trPr>
          <w:trHeight w:val="243"/>
        </w:trPr>
        <w:tc>
          <w:tcPr>
            <w:tcW w:w="720" w:type="dxa"/>
            <w:vAlign w:val="bottom"/>
          </w:tcPr>
          <w:p>
            <w:pPr>
              <w:spacing w:after="0"/>
              <w:rPr>
                <w:sz w:val="20"/>
                <w:szCs w:val="20"/>
                <w:color w:val="auto"/>
              </w:rPr>
            </w:pPr>
            <w:r>
              <w:rPr>
                <w:rFonts w:ascii="Arial" w:cs="Arial" w:eastAsia="Arial" w:hAnsi="Arial"/>
                <w:sz w:val="13"/>
                <w:szCs w:val="13"/>
                <w:color w:val="auto"/>
              </w:rPr>
              <w:t>Fiscal 2020</w:t>
            </w:r>
          </w:p>
        </w:tc>
        <w:tc>
          <w:tcPr>
            <w:tcW w:w="7280" w:type="dxa"/>
            <w:vAlign w:val="bottom"/>
          </w:tcPr>
          <w:p>
            <w:pPr>
              <w:ind w:left="20"/>
              <w:spacing w:after="0"/>
              <w:rPr>
                <w:sz w:val="20"/>
                <w:szCs w:val="20"/>
                <w:color w:val="auto"/>
              </w:rPr>
            </w:pPr>
            <w:r>
              <w:rPr>
                <w:rFonts w:ascii="Arial" w:cs="Arial" w:eastAsia="Arial" w:hAnsi="Arial"/>
                <w:sz w:val="13"/>
                <w:szCs w:val="13"/>
                <w:color w:val="auto"/>
              </w:rPr>
              <w:t>Decisions and Outcomes</w:t>
            </w:r>
          </w:p>
        </w:tc>
        <w:tc>
          <w:tcPr>
            <w:tcW w:w="3240" w:type="dxa"/>
            <w:vAlign w:val="bottom"/>
          </w:tcPr>
          <w:p>
            <w:pPr>
              <w:jc w:val="right"/>
              <w:spacing w:after="0"/>
              <w:rPr>
                <w:sz w:val="20"/>
                <w:szCs w:val="20"/>
                <w:color w:val="auto"/>
              </w:rPr>
            </w:pPr>
            <w:r>
              <w:rPr>
                <w:rFonts w:ascii="Arial" w:cs="Arial" w:eastAsia="Arial" w:hAnsi="Arial"/>
                <w:sz w:val="13"/>
                <w:szCs w:val="13"/>
                <w:color w:val="auto"/>
              </w:rPr>
              <w:t>64</w:t>
            </w:r>
          </w:p>
        </w:tc>
      </w:tr>
      <w:tr>
        <w:trPr>
          <w:trHeight w:val="243"/>
        </w:trPr>
        <w:tc>
          <w:tcPr>
            <w:tcW w:w="720" w:type="dxa"/>
            <w:vAlign w:val="bottom"/>
          </w:tcPr>
          <w:p>
            <w:pPr>
              <w:spacing w:after="0"/>
              <w:rPr>
                <w:sz w:val="20"/>
                <w:szCs w:val="20"/>
                <w:color w:val="auto"/>
              </w:rPr>
            </w:pPr>
            <w:r>
              <w:rPr>
                <w:rFonts w:ascii="Arial" w:cs="Arial" w:eastAsia="Arial" w:hAnsi="Arial"/>
                <w:sz w:val="13"/>
                <w:szCs w:val="13"/>
                <w:color w:val="auto"/>
              </w:rPr>
              <w:t>Fiscal 2021</w:t>
            </w:r>
          </w:p>
        </w:tc>
        <w:tc>
          <w:tcPr>
            <w:tcW w:w="7280" w:type="dxa"/>
            <w:vAlign w:val="bottom"/>
          </w:tcPr>
          <w:p>
            <w:pPr>
              <w:ind w:left="20"/>
              <w:spacing w:after="0"/>
              <w:rPr>
                <w:sz w:val="20"/>
                <w:szCs w:val="20"/>
                <w:color w:val="auto"/>
              </w:rPr>
            </w:pPr>
            <w:r>
              <w:rPr>
                <w:rFonts w:ascii="Arial" w:cs="Arial" w:eastAsia="Arial" w:hAnsi="Arial"/>
                <w:sz w:val="13"/>
                <w:szCs w:val="13"/>
                <w:color w:val="auto"/>
              </w:rPr>
              <w:t>Decisions</w:t>
            </w:r>
          </w:p>
        </w:tc>
        <w:tc>
          <w:tcPr>
            <w:tcW w:w="3240" w:type="dxa"/>
            <w:vAlign w:val="bottom"/>
          </w:tcPr>
          <w:p>
            <w:pPr>
              <w:jc w:val="right"/>
              <w:spacing w:after="0"/>
              <w:rPr>
                <w:sz w:val="20"/>
                <w:szCs w:val="20"/>
                <w:color w:val="auto"/>
              </w:rPr>
            </w:pPr>
            <w:r>
              <w:rPr>
                <w:rFonts w:ascii="Arial" w:cs="Arial" w:eastAsia="Arial" w:hAnsi="Arial"/>
                <w:sz w:val="13"/>
                <w:szCs w:val="13"/>
                <w:color w:val="auto"/>
              </w:rPr>
              <w:t>71</w:t>
            </w:r>
          </w:p>
        </w:tc>
      </w:tr>
      <w:tr>
        <w:trPr>
          <w:trHeight w:val="243"/>
        </w:trPr>
        <w:tc>
          <w:tcPr>
            <w:tcW w:w="8000" w:type="dxa"/>
            <w:vAlign w:val="bottom"/>
            <w:gridSpan w:val="2"/>
          </w:tcPr>
          <w:p>
            <w:pPr>
              <w:spacing w:after="0"/>
              <w:rPr>
                <w:sz w:val="20"/>
                <w:szCs w:val="20"/>
                <w:color w:val="auto"/>
              </w:rPr>
            </w:pPr>
            <w:r>
              <w:rPr>
                <w:rFonts w:ascii="Arial" w:cs="Arial" w:eastAsia="Arial" w:hAnsi="Arial"/>
                <w:sz w:val="13"/>
                <w:szCs w:val="13"/>
                <w:color w:val="auto"/>
              </w:rPr>
              <w:t>Other Program Features and Policies</w:t>
            </w:r>
          </w:p>
        </w:tc>
        <w:tc>
          <w:tcPr>
            <w:tcW w:w="3240" w:type="dxa"/>
            <w:vAlign w:val="bottom"/>
          </w:tcPr>
          <w:p>
            <w:pPr>
              <w:jc w:val="right"/>
              <w:spacing w:after="0"/>
              <w:rPr>
                <w:sz w:val="20"/>
                <w:szCs w:val="20"/>
                <w:color w:val="auto"/>
              </w:rPr>
            </w:pPr>
            <w:r>
              <w:rPr>
                <w:rFonts w:ascii="Arial" w:cs="Arial" w:eastAsia="Arial" w:hAnsi="Arial"/>
                <w:sz w:val="13"/>
                <w:szCs w:val="13"/>
                <w:color w:val="auto"/>
              </w:rPr>
              <w:t>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7372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73723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980" w:right="1000"/>
        <w:spacing w:after="0" w:line="244" w:lineRule="auto"/>
        <w:rPr>
          <w:sz w:val="20"/>
          <w:szCs w:val="20"/>
          <w:color w:val="auto"/>
        </w:rPr>
      </w:pPr>
      <w:r>
        <w:rPr>
          <w:rFonts w:ascii="Arial" w:cs="Arial" w:eastAsia="Arial" w:hAnsi="Arial"/>
          <w:sz w:val="18"/>
          <w:szCs w:val="18"/>
          <w:b w:val="1"/>
          <w:bCs w:val="1"/>
          <w:color w:val="auto"/>
        </w:rPr>
        <w:t>Our compensation philosophy for executive officers is based on the belief that the interests of our executives should be closely aligned with our stockholders. Our program is focused on aligning executive pay with company and individual performance and identifying performance metrics and targets designed to create long-term stockholder value.</w:t>
      </w:r>
    </w:p>
    <w:p>
      <w:pPr>
        <w:spacing w:after="0" w:line="29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23628F"/>
        </w:rPr>
        <w:t>2020 PROXY STATEMENT</w:t>
      </w:r>
      <w:r>
        <w:rPr>
          <w:sz w:val="20"/>
          <w:szCs w:val="20"/>
          <w:color w:val="auto"/>
        </w:rPr>
        <w:tab/>
      </w:r>
      <w:r>
        <w:rPr>
          <w:rFonts w:ascii="Arial" w:cs="Arial" w:eastAsia="Arial" w:hAnsi="Arial"/>
          <w:sz w:val="16"/>
          <w:szCs w:val="16"/>
          <w:b w:val="1"/>
          <w:bCs w:val="1"/>
          <w:color w:val="23628F"/>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153275"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23628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234440" cy="6858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34440" cy="68580"/>
                    </a:xfrm>
                    <a:prstGeom prst="rect">
                      <a:avLst/>
                    </a:prstGeom>
                    <a:noFill/>
                  </pic:spPr>
                </pic:pic>
              </a:graphicData>
            </a:graphic>
          </wp:anchor>
        </w:drawing>
      </w:r>
    </w:p>
    <w:p>
      <w:pPr>
        <w:spacing w:after="0" w:line="319" w:lineRule="exact"/>
        <w:rPr>
          <w:sz w:val="20"/>
          <w:szCs w:val="20"/>
          <w:color w:val="auto"/>
        </w:rPr>
      </w:pPr>
    </w:p>
    <w:p>
      <w:pPr>
        <w:ind w:right="680"/>
        <w:spacing w:after="0" w:line="276" w:lineRule="auto"/>
        <w:rPr>
          <w:sz w:val="20"/>
          <w:szCs w:val="20"/>
          <w:color w:val="auto"/>
        </w:rPr>
      </w:pPr>
      <w:r>
        <w:rPr>
          <w:rFonts w:ascii="Arial" w:cs="Arial" w:eastAsia="Arial" w:hAnsi="Arial"/>
          <w:sz w:val="26"/>
          <w:szCs w:val="26"/>
          <w:b w:val="1"/>
          <w:bCs w:val="1"/>
          <w:color w:val="23628F"/>
        </w:rPr>
        <w:t>FISCAL 2020 EXECUTIVE SUMMARY AND CHIEF EXECUTIVE OFFICER TRANSITION DISCUSSION</w:t>
      </w:r>
    </w:p>
    <w:p>
      <w:pPr>
        <w:spacing w:after="0" w:line="127"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Stockholder Engagement</w:t>
      </w:r>
    </w:p>
    <w:p>
      <w:pPr>
        <w:spacing w:after="0" w:line="257" w:lineRule="exact"/>
        <w:rPr>
          <w:sz w:val="20"/>
          <w:szCs w:val="20"/>
          <w:color w:val="auto"/>
        </w:rPr>
      </w:pPr>
    </w:p>
    <w:p>
      <w:pPr>
        <w:spacing w:after="0" w:line="241" w:lineRule="auto"/>
        <w:rPr>
          <w:sz w:val="20"/>
          <w:szCs w:val="20"/>
          <w:color w:val="auto"/>
        </w:rPr>
      </w:pPr>
      <w:r>
        <w:rPr>
          <w:rFonts w:ascii="Arial" w:cs="Arial" w:eastAsia="Arial" w:hAnsi="Arial"/>
          <w:sz w:val="13"/>
          <w:szCs w:val="13"/>
          <w:color w:val="auto"/>
        </w:rPr>
        <w:t xml:space="preserve">While our executive compensation program received the support of 92% of votes cast at our 2019 annual meeting of stockholders, our Board of Directors remains focused on stockholder outreach to ensure the Compensation and Talent Committee receives stockholder input as it evaluates updates to our program. In the summer of 2020, we reached out to over 30 of our stockholders representing approximately </w:t>
      </w:r>
      <w:r>
        <w:rPr>
          <w:rFonts w:ascii="Arial" w:cs="Arial" w:eastAsia="Arial" w:hAnsi="Arial"/>
          <w:sz w:val="13"/>
          <w:szCs w:val="13"/>
          <w:b w:val="1"/>
          <w:bCs w:val="1"/>
          <w:color w:val="auto"/>
        </w:rPr>
        <w:t>60%</w:t>
      </w:r>
      <w:r>
        <w:rPr>
          <w:rFonts w:ascii="Arial" w:cs="Arial" w:eastAsia="Arial" w:hAnsi="Arial"/>
          <w:sz w:val="13"/>
          <w:szCs w:val="13"/>
          <w:color w:val="auto"/>
        </w:rPr>
        <w:t xml:space="preserve"> of shares outstanding. Our engagement team included participation by Mr. Cole, our Compensation and Talent Committee Chair, as well as members of management from our Human Resources, Investor Relations, Sustainability and Legal teams. The engagement team conducted calls with </w:t>
      </w:r>
      <w:r>
        <w:rPr>
          <w:rFonts w:ascii="Arial" w:cs="Arial" w:eastAsia="Arial" w:hAnsi="Arial"/>
          <w:sz w:val="13"/>
          <w:szCs w:val="13"/>
          <w:b w:val="1"/>
          <w:bCs w:val="1"/>
          <w:color w:val="auto"/>
        </w:rPr>
        <w:t>14 of our top 25 holders</w:t>
      </w:r>
      <w:r>
        <w:rPr>
          <w:rFonts w:ascii="Arial" w:cs="Arial" w:eastAsia="Arial" w:hAnsi="Arial"/>
          <w:sz w:val="13"/>
          <w:szCs w:val="13"/>
          <w:color w:val="auto"/>
        </w:rPr>
        <w:t xml:space="preserve"> as well as several other holders, composed of investors with a variety of investment styles and geographic locations. The remainder of the stockholders we contacted confirmed that a follow-up discussion was not necessary at that time or did not respond. Our Chair of the Compensation and Talent Committee, an independent director, led several of these stockholder calls. The Compensation and Talent Committee considered the input from our stockholders in finalizing our fiscal 2021 executive compensation program changes described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23628F"/>
        </w:rPr>
        <w:t>BY THE NUMBERS: SUMMER 2020 STOCKHOLDER ENGAGEMENT EFFORT</w:t>
      </w:r>
    </w:p>
    <w:p>
      <w:pPr>
        <w:sectPr>
          <w:pgSz w:w="11900" w:h="16838" w:orient="portrait"/>
          <w:cols w:equalWidth="0" w:num="1">
            <w:col w:w="11180"/>
          </w:cols>
          <w:pgMar w:left="320" w:top="121" w:right="399" w:bottom="1440" w:gutter="0" w:footer="0" w:header="0"/>
        </w:sectPr>
      </w:pPr>
    </w:p>
    <w:p>
      <w:pPr>
        <w:spacing w:after="0" w:line="212" w:lineRule="exact"/>
        <w:rPr>
          <w:sz w:val="20"/>
          <w:szCs w:val="20"/>
          <w:color w:val="auto"/>
        </w:rPr>
      </w:pPr>
    </w:p>
    <w:p>
      <w:pPr>
        <w:jc w:val="center"/>
        <w:ind w:left="700"/>
        <w:spacing w:after="0"/>
        <w:rPr>
          <w:sz w:val="20"/>
          <w:szCs w:val="20"/>
          <w:color w:val="auto"/>
        </w:rPr>
      </w:pPr>
      <w:r>
        <w:rPr>
          <w:rFonts w:ascii="Arial" w:cs="Arial" w:eastAsia="Arial" w:hAnsi="Arial"/>
          <w:sz w:val="18"/>
          <w:szCs w:val="18"/>
          <w:b w:val="1"/>
          <w:bCs w:val="1"/>
          <w:color w:val="auto"/>
        </w:rPr>
        <w:t>We reached out</w:t>
      </w:r>
    </w:p>
    <w:p>
      <w:pPr>
        <w:spacing w:after="0" w:line="13" w:lineRule="exact"/>
        <w:rPr>
          <w:sz w:val="20"/>
          <w:szCs w:val="20"/>
          <w:color w:val="auto"/>
        </w:rPr>
      </w:pPr>
    </w:p>
    <w:p>
      <w:pPr>
        <w:jc w:val="center"/>
        <w:ind w:left="700"/>
        <w:spacing w:after="0"/>
        <w:rPr>
          <w:sz w:val="20"/>
          <w:szCs w:val="20"/>
          <w:color w:val="auto"/>
        </w:rPr>
      </w:pPr>
      <w:r>
        <w:rPr>
          <w:rFonts w:ascii="Arial" w:cs="Arial" w:eastAsia="Arial" w:hAnsi="Arial"/>
          <w:sz w:val="18"/>
          <w:szCs w:val="18"/>
          <w:b w:val="1"/>
          <w:bCs w:val="1"/>
          <w:color w:val="auto"/>
        </w:rPr>
        <w:t>to stockholders</w:t>
      </w:r>
    </w:p>
    <w:p>
      <w:pPr>
        <w:jc w:val="center"/>
        <w:ind w:left="700"/>
        <w:spacing w:after="0"/>
        <w:rPr>
          <w:sz w:val="20"/>
          <w:szCs w:val="20"/>
          <w:color w:val="auto"/>
        </w:rPr>
      </w:pPr>
      <w:r>
        <w:rPr>
          <w:rFonts w:ascii="Arial" w:cs="Arial" w:eastAsia="Arial" w:hAnsi="Arial"/>
          <w:sz w:val="16"/>
          <w:szCs w:val="16"/>
          <w:b w:val="1"/>
          <w:bCs w:val="1"/>
          <w:color w:val="auto"/>
        </w:rPr>
        <w:t>representing 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121285</wp:posOffset>
            </wp:positionV>
            <wp:extent cx="1097280" cy="109728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097280" cy="10972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center"/>
        <w:ind w:right="2760"/>
        <w:spacing w:after="0"/>
        <w:rPr>
          <w:sz w:val="20"/>
          <w:szCs w:val="20"/>
          <w:color w:val="auto"/>
        </w:rPr>
      </w:pPr>
      <w:r>
        <w:rPr>
          <w:rFonts w:ascii="Arial" w:cs="Arial" w:eastAsia="Arial" w:hAnsi="Arial"/>
          <w:sz w:val="16"/>
          <w:szCs w:val="16"/>
          <w:b w:val="1"/>
          <w:bCs w:val="1"/>
          <w:color w:val="auto"/>
        </w:rPr>
        <w:t>Our engagement</w:t>
      </w:r>
    </w:p>
    <w:p>
      <w:pPr>
        <w:spacing w:after="0" w:line="41" w:lineRule="exact"/>
        <w:rPr>
          <w:sz w:val="20"/>
          <w:szCs w:val="20"/>
          <w:color w:val="auto"/>
        </w:rPr>
      </w:pPr>
    </w:p>
    <w:p>
      <w:pPr>
        <w:jc w:val="center"/>
        <w:ind w:right="2760"/>
        <w:spacing w:after="0"/>
        <w:rPr>
          <w:sz w:val="20"/>
          <w:szCs w:val="20"/>
          <w:color w:val="auto"/>
        </w:rPr>
      </w:pPr>
      <w:r>
        <w:rPr>
          <w:rFonts w:ascii="Arial" w:cs="Arial" w:eastAsia="Arial" w:hAnsi="Arial"/>
          <w:sz w:val="18"/>
          <w:szCs w:val="18"/>
          <w:b w:val="1"/>
          <w:bCs w:val="1"/>
          <w:color w:val="auto"/>
        </w:rPr>
        <w:t>included: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234950</wp:posOffset>
            </wp:positionV>
            <wp:extent cx="1097280" cy="111442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097280" cy="1114425"/>
                    </a:xfrm>
                    <a:prstGeom prst="rect">
                      <a:avLst/>
                    </a:prstGeom>
                    <a:noFill/>
                  </pic:spPr>
                </pic:pic>
              </a:graphicData>
            </a:graphic>
          </wp:anchor>
        </w:drawing>
      </w:r>
    </w:p>
    <w:p>
      <w:pPr>
        <w:spacing w:after="0" w:line="379" w:lineRule="exact"/>
        <w:rPr>
          <w:sz w:val="20"/>
          <w:szCs w:val="20"/>
          <w:color w:val="auto"/>
        </w:rPr>
      </w:pPr>
    </w:p>
    <w:p>
      <w:pPr>
        <w:sectPr>
          <w:pgSz w:w="11900" w:h="16838" w:orient="portrait"/>
          <w:cols w:equalWidth="0" w:num="2">
            <w:col w:w="6320" w:space="720"/>
            <w:col w:w="4140"/>
          </w:cols>
          <w:pgMar w:left="320" w:top="121"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23628F"/>
        </w:rPr>
        <w:t>WHAT WE HEARD FROM STOCKHOLDERS:</w:t>
      </w:r>
    </w:p>
    <w:p>
      <w:pPr>
        <w:spacing w:after="0" w:line="230" w:lineRule="exact"/>
        <w:rPr>
          <w:sz w:val="20"/>
          <w:szCs w:val="20"/>
          <w:color w:val="auto"/>
        </w:rPr>
      </w:pPr>
    </w:p>
    <w:p>
      <w:pPr>
        <w:ind w:right="80"/>
        <w:spacing w:after="0" w:line="248" w:lineRule="auto"/>
        <w:rPr>
          <w:sz w:val="20"/>
          <w:szCs w:val="20"/>
          <w:color w:val="auto"/>
        </w:rPr>
      </w:pPr>
      <w:r>
        <w:rPr>
          <w:rFonts w:ascii="Arial" w:cs="Arial" w:eastAsia="Arial" w:hAnsi="Arial"/>
          <w:sz w:val="13"/>
          <w:szCs w:val="13"/>
          <w:color w:val="auto"/>
        </w:rPr>
        <w:t>In our conversations with stockholders during the past few years, including our summer 2020 stockholder engagement effort, we heard a few themes outlined in the table below. After accounting for investor feedback and evaluating our existing programs, the Compensation and Talent Committee updated our executive compensation program in fiscal 2021. The section entitled “Fiscal 2021 Decisions” on page 71 provides additional details regarding these changes, including the Compensation and Talent Committee’s rationale in making these changes.</w:t>
      </w:r>
    </w:p>
    <w:p>
      <w:pPr>
        <w:spacing w:after="0" w:line="198" w:lineRule="exact"/>
        <w:rPr>
          <w:sz w:val="20"/>
          <w:szCs w:val="20"/>
          <w:color w:val="auto"/>
        </w:rPr>
      </w:pPr>
    </w:p>
    <w:p>
      <w:pPr>
        <w:spacing w:after="0"/>
        <w:rPr>
          <w:sz w:val="20"/>
          <w:szCs w:val="20"/>
          <w:color w:val="auto"/>
        </w:rPr>
      </w:pPr>
      <w:r>
        <w:rPr>
          <w:rFonts w:ascii="Arial" w:cs="Arial" w:eastAsia="Arial" w:hAnsi="Arial"/>
          <w:sz w:val="13"/>
          <w:szCs w:val="13"/>
          <w:color w:val="auto"/>
        </w:rPr>
        <w:t>In our summer 2020 stockholder discussions, we also solicited input regarding Mr. Goeckeler’s transition awards, and we received the following feedback:</w:t>
      </w:r>
    </w:p>
    <w:p>
      <w:pPr>
        <w:spacing w:after="0" w:line="215" w:lineRule="exact"/>
        <w:rPr>
          <w:sz w:val="20"/>
          <w:szCs w:val="20"/>
          <w:color w:val="auto"/>
        </w:rPr>
      </w:pPr>
    </w:p>
    <w:p>
      <w:pPr>
        <w:ind w:left="240" w:right="200" w:hanging="232"/>
        <w:spacing w:after="0" w:line="258" w:lineRule="auto"/>
        <w:tabs>
          <w:tab w:leader="none" w:pos="240" w:val="left"/>
        </w:tabs>
        <w:numPr>
          <w:ilvl w:val="0"/>
          <w:numId w:val="136"/>
        </w:numPr>
        <w:rPr>
          <w:rFonts w:ascii="Arial" w:cs="Arial" w:eastAsia="Arial" w:hAnsi="Arial"/>
          <w:sz w:val="13"/>
          <w:szCs w:val="13"/>
          <w:color w:val="61C1AF"/>
        </w:rPr>
      </w:pPr>
      <w:r>
        <w:rPr>
          <w:rFonts w:ascii="Arial" w:cs="Arial" w:eastAsia="Arial" w:hAnsi="Arial"/>
          <w:sz w:val="13"/>
          <w:szCs w:val="13"/>
          <w:color w:val="auto"/>
        </w:rPr>
        <w:t>A substantial majority of stockholders with whom we engaged commended our Board’s appointment of Mr. Goeckeler as our Chief Executive Officer and understood the fact that we needed to make an investment to attract an executive of Mr. Goeckeler’s caliber to join Western Digital.</w:t>
      </w:r>
    </w:p>
    <w:p>
      <w:pPr>
        <w:spacing w:after="0" w:line="83" w:lineRule="exact"/>
        <w:rPr>
          <w:rFonts w:ascii="Arial" w:cs="Arial" w:eastAsia="Arial" w:hAnsi="Arial"/>
          <w:sz w:val="13"/>
          <w:szCs w:val="13"/>
          <w:color w:val="61C1AF"/>
        </w:rPr>
      </w:pPr>
    </w:p>
    <w:p>
      <w:pPr>
        <w:ind w:left="240" w:hanging="232"/>
        <w:spacing w:after="0"/>
        <w:tabs>
          <w:tab w:leader="none" w:pos="240" w:val="left"/>
        </w:tabs>
        <w:numPr>
          <w:ilvl w:val="0"/>
          <w:numId w:val="136"/>
        </w:numPr>
        <w:rPr>
          <w:rFonts w:ascii="Arial" w:cs="Arial" w:eastAsia="Arial" w:hAnsi="Arial"/>
          <w:sz w:val="13"/>
          <w:szCs w:val="13"/>
          <w:color w:val="61C1AF"/>
        </w:rPr>
      </w:pPr>
      <w:r>
        <w:rPr>
          <w:rFonts w:ascii="Arial" w:cs="Arial" w:eastAsia="Arial" w:hAnsi="Arial"/>
          <w:sz w:val="13"/>
          <w:szCs w:val="13"/>
          <w:color w:val="auto"/>
        </w:rPr>
        <w:t>Most of these stockholders supported the transition award designed to attract Mr. Goeckeler and to replace his foregone compensation opportunities with his prior employer.</w:t>
      </w:r>
    </w:p>
    <w:p>
      <w:pPr>
        <w:spacing w:after="0" w:line="107" w:lineRule="exact"/>
        <w:rPr>
          <w:rFonts w:ascii="Arial" w:cs="Arial" w:eastAsia="Arial" w:hAnsi="Arial"/>
          <w:sz w:val="13"/>
          <w:szCs w:val="13"/>
          <w:color w:val="61C1AF"/>
        </w:rPr>
      </w:pPr>
    </w:p>
    <w:p>
      <w:pPr>
        <w:ind w:left="240" w:right="400" w:hanging="232"/>
        <w:spacing w:after="0" w:line="258" w:lineRule="auto"/>
        <w:tabs>
          <w:tab w:leader="none" w:pos="240" w:val="left"/>
        </w:tabs>
        <w:numPr>
          <w:ilvl w:val="0"/>
          <w:numId w:val="136"/>
        </w:numPr>
        <w:rPr>
          <w:rFonts w:ascii="Arial" w:cs="Arial" w:eastAsia="Arial" w:hAnsi="Arial"/>
          <w:sz w:val="13"/>
          <w:szCs w:val="13"/>
          <w:color w:val="61C1AF"/>
        </w:rPr>
      </w:pPr>
      <w:r>
        <w:rPr>
          <w:rFonts w:ascii="Arial" w:cs="Arial" w:eastAsia="Arial" w:hAnsi="Arial"/>
          <w:sz w:val="13"/>
          <w:szCs w:val="13"/>
          <w:color w:val="auto"/>
        </w:rPr>
        <w:t>Most of these stockholders also appreciated the fact that a majority of Mr. Goeckeler’s transition award value is tied to multi-year performance-vesting requirements that align his interests with those of our stockholders.</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color w:val="auto"/>
        </w:rPr>
        <w:t>The section entitled “Chief Executive Officer Transition” on page 52 provides additional details regarding Mr. Goeckeler’s transition awards.</w:t>
      </w:r>
    </w:p>
    <w:p>
      <w:pPr>
        <w:spacing w:after="0" w:line="211" w:lineRule="exact"/>
        <w:rPr>
          <w:sz w:val="20"/>
          <w:szCs w:val="20"/>
          <w:color w:val="auto"/>
        </w:rPr>
      </w:pPr>
    </w:p>
    <w:p>
      <w:pPr>
        <w:ind w:left="440" w:hanging="432"/>
        <w:spacing w:after="0"/>
        <w:tabs>
          <w:tab w:leader="none" w:pos="440" w:val="left"/>
        </w:tabs>
        <w:numPr>
          <w:ilvl w:val="0"/>
          <w:numId w:val="137"/>
        </w:numPr>
        <w:rPr>
          <w:rFonts w:ascii="Arial" w:cs="Arial" w:eastAsia="Arial" w:hAnsi="Arial"/>
          <w:sz w:val="18"/>
          <w:szCs w:val="18"/>
          <w:b w:val="1"/>
          <w:bCs w:val="1"/>
          <w:color w:val="23628F"/>
        </w:rPr>
      </w:pPr>
      <w:r>
        <w:rPr>
          <w:rFonts w:ascii="Arial" w:cs="Arial" w:eastAsia="Arial" w:hAnsi="Arial"/>
          <w:sz w:val="13"/>
          <w:szCs w:val="13"/>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153275" cy="215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right"/>
        <w:spacing w:after="0"/>
        <w:rPr>
          <w:sz w:val="20"/>
          <w:szCs w:val="20"/>
          <w:color w:val="auto"/>
        </w:rPr>
      </w:pPr>
      <w:r>
        <w:rPr>
          <w:rFonts w:ascii="Arial" w:cs="Arial" w:eastAsia="Arial" w:hAnsi="Arial"/>
          <w:sz w:val="13"/>
          <w:szCs w:val="13"/>
          <w:color w:val="23628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3257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07" w:lineRule="exact"/>
        <w:rPr>
          <w:sz w:val="20"/>
          <w:szCs w:val="20"/>
          <w:color w:val="auto"/>
        </w:rPr>
      </w:pPr>
    </w:p>
    <w:p>
      <w:pPr>
        <w:jc w:val="center"/>
        <w:ind w:left="540"/>
        <w:spacing w:after="0"/>
        <w:rPr>
          <w:sz w:val="20"/>
          <w:szCs w:val="20"/>
          <w:color w:val="auto"/>
        </w:rPr>
      </w:pPr>
      <w:r>
        <w:rPr>
          <w:rFonts w:ascii="Arial" w:cs="Arial" w:eastAsia="Arial" w:hAnsi="Arial"/>
          <w:sz w:val="13"/>
          <w:szCs w:val="13"/>
          <w:b w:val="1"/>
          <w:bCs w:val="1"/>
          <w:color w:val="FFFFFF"/>
        </w:rPr>
        <w:t>FISCAL 2019-FISCAL 2020</w:t>
      </w:r>
    </w:p>
    <w:p>
      <w:pPr>
        <w:spacing w:after="0" w:line="15" w:lineRule="exact"/>
        <w:rPr>
          <w:sz w:val="20"/>
          <w:szCs w:val="20"/>
          <w:color w:val="auto"/>
        </w:rPr>
      </w:pPr>
    </w:p>
    <w:p>
      <w:pPr>
        <w:jc w:val="center"/>
        <w:ind w:left="540"/>
        <w:spacing w:after="0"/>
        <w:rPr>
          <w:sz w:val="20"/>
          <w:szCs w:val="20"/>
          <w:color w:val="auto"/>
        </w:rPr>
      </w:pPr>
      <w:r>
        <w:rPr>
          <w:rFonts w:ascii="Arial" w:cs="Arial" w:eastAsia="Arial" w:hAnsi="Arial"/>
          <w:sz w:val="13"/>
          <w:szCs w:val="13"/>
          <w:b w:val="1"/>
          <w:bCs w:val="1"/>
          <w:color w:val="FFFFFF"/>
        </w:rPr>
        <w:t>PROGRAM DESIGN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20" w:hanging="204"/>
        <w:spacing w:after="0"/>
        <w:tabs>
          <w:tab w:leader="none" w:pos="320" w:val="left"/>
        </w:tabs>
        <w:numPr>
          <w:ilvl w:val="0"/>
          <w:numId w:val="138"/>
        </w:numPr>
        <w:rPr>
          <w:rFonts w:ascii="Arial" w:cs="Arial" w:eastAsia="Arial" w:hAnsi="Arial"/>
          <w:sz w:val="13"/>
          <w:szCs w:val="13"/>
          <w:color w:val="61C4AF"/>
        </w:rPr>
      </w:pPr>
      <w:r>
        <w:rPr>
          <w:rFonts w:ascii="Arial" w:cs="Arial" w:eastAsia="Arial" w:hAnsi="Arial"/>
          <w:sz w:val="13"/>
          <w:szCs w:val="13"/>
          <w:color w:val="auto"/>
        </w:rPr>
        <w:t>100% non-GAAP net income</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jc w:val="center"/>
        <w:ind w:left="-59"/>
        <w:spacing w:after="0"/>
        <w:rPr>
          <w:sz w:val="20"/>
          <w:szCs w:val="20"/>
          <w:color w:val="auto"/>
        </w:rPr>
      </w:pPr>
      <w:r>
        <w:rPr>
          <w:rFonts w:ascii="Arial" w:cs="Arial" w:eastAsia="Arial" w:hAnsi="Arial"/>
          <w:sz w:val="13"/>
          <w:szCs w:val="13"/>
          <w:b w:val="1"/>
          <w:bCs w:val="1"/>
          <w:color w:val="FFFFFF"/>
        </w:rPr>
        <w:t>WHAT WE HEARD</w:t>
      </w:r>
    </w:p>
    <w:p>
      <w:pPr>
        <w:spacing w:after="0" w:line="15" w:lineRule="exact"/>
        <w:rPr>
          <w:sz w:val="20"/>
          <w:szCs w:val="20"/>
          <w:color w:val="auto"/>
        </w:rPr>
      </w:pPr>
    </w:p>
    <w:p>
      <w:pPr>
        <w:jc w:val="center"/>
        <w:ind w:left="-59"/>
        <w:spacing w:after="0"/>
        <w:rPr>
          <w:sz w:val="20"/>
          <w:szCs w:val="20"/>
          <w:color w:val="auto"/>
        </w:rPr>
      </w:pPr>
      <w:r>
        <w:rPr>
          <w:rFonts w:ascii="Arial" w:cs="Arial" w:eastAsia="Arial" w:hAnsi="Arial"/>
          <w:sz w:val="13"/>
          <w:szCs w:val="13"/>
          <w:b w:val="1"/>
          <w:bCs w:val="1"/>
          <w:color w:val="FFFFFF"/>
        </w:rPr>
        <w:t>FROM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-3016885</wp:posOffset>
            </wp:positionH>
            <wp:positionV relativeFrom="paragraph">
              <wp:posOffset>137160</wp:posOffset>
            </wp:positionV>
            <wp:extent cx="7132320" cy="23177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231775"/>
                    </a:xfrm>
                    <a:prstGeom prst="rect">
                      <a:avLst/>
                    </a:prstGeom>
                    <a:noFill/>
                  </pic:spPr>
                </pic:pic>
              </a:graphicData>
            </a:graphic>
          </wp:anchor>
        </w:drawing>
      </w:r>
    </w:p>
    <w:p>
      <w:pPr>
        <w:spacing w:after="0" w:line="287" w:lineRule="exact"/>
        <w:rPr>
          <w:sz w:val="20"/>
          <w:szCs w:val="20"/>
          <w:color w:val="auto"/>
        </w:rPr>
      </w:pPr>
    </w:p>
    <w:p>
      <w:pPr>
        <w:jc w:val="center"/>
        <w:ind w:right="1300"/>
        <w:spacing w:after="0"/>
        <w:rPr>
          <w:sz w:val="20"/>
          <w:szCs w:val="20"/>
          <w:color w:val="auto"/>
        </w:rPr>
      </w:pPr>
      <w:r>
        <w:rPr>
          <w:rFonts w:ascii="Arial" w:cs="Arial" w:eastAsia="Arial" w:hAnsi="Arial"/>
          <w:sz w:val="13"/>
          <w:szCs w:val="13"/>
          <w:b w:val="1"/>
          <w:bCs w:val="1"/>
          <w:color w:val="FFFFFF"/>
        </w:rPr>
        <w:t>Annual Incentive Program</w:t>
      </w:r>
    </w:p>
    <w:p>
      <w:pPr>
        <w:spacing w:after="0" w:line="231" w:lineRule="exact"/>
        <w:rPr>
          <w:sz w:val="20"/>
          <w:szCs w:val="20"/>
          <w:color w:val="auto"/>
        </w:rPr>
      </w:pPr>
    </w:p>
    <w:p>
      <w:pPr>
        <w:ind w:left="220" w:hanging="211"/>
        <w:spacing w:after="0"/>
        <w:tabs>
          <w:tab w:leader="none" w:pos="220" w:val="left"/>
        </w:tabs>
        <w:numPr>
          <w:ilvl w:val="0"/>
          <w:numId w:val="139"/>
        </w:numPr>
        <w:rPr>
          <w:rFonts w:ascii="Arial" w:cs="Arial" w:eastAsia="Arial" w:hAnsi="Arial"/>
          <w:sz w:val="13"/>
          <w:szCs w:val="13"/>
          <w:color w:val="61C4AF"/>
        </w:rPr>
      </w:pPr>
      <w:r>
        <w:rPr>
          <w:rFonts w:ascii="Arial" w:cs="Arial" w:eastAsia="Arial" w:hAnsi="Arial"/>
          <w:sz w:val="13"/>
          <w:szCs w:val="13"/>
          <w:color w:val="auto"/>
        </w:rPr>
        <w:t>Incorporate additional metrics into the STI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-3016885</wp:posOffset>
            </wp:positionH>
            <wp:positionV relativeFrom="paragraph">
              <wp:posOffset>685800</wp:posOffset>
            </wp:positionV>
            <wp:extent cx="7132320" cy="23177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231775"/>
                    </a:xfrm>
                    <a:prstGeom prst="rect">
                      <a:avLst/>
                    </a:prstGeom>
                    <a:noFill/>
                  </pic:spPr>
                </pic:pic>
              </a:graphicData>
            </a:graphic>
          </wp:anchor>
        </w:drawing>
        <w:drawing>
          <wp:anchor simplePos="0" relativeHeight="251657728" behindDoc="1" locked="0" layoutInCell="0" allowOverlap="1">
            <wp:simplePos x="0" y="0"/>
            <wp:positionH relativeFrom="column">
              <wp:posOffset>-3016885</wp:posOffset>
            </wp:positionH>
            <wp:positionV relativeFrom="paragraph">
              <wp:posOffset>-93980</wp:posOffset>
            </wp:positionV>
            <wp:extent cx="7132320" cy="6686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6686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jc w:val="center"/>
        <w:ind w:right="44"/>
        <w:spacing w:after="0"/>
        <w:rPr>
          <w:sz w:val="20"/>
          <w:szCs w:val="20"/>
          <w:color w:val="auto"/>
        </w:rPr>
      </w:pPr>
      <w:r>
        <w:rPr>
          <w:rFonts w:ascii="Arial" w:cs="Arial" w:eastAsia="Arial" w:hAnsi="Arial"/>
          <w:sz w:val="13"/>
          <w:szCs w:val="13"/>
          <w:b w:val="1"/>
          <w:bCs w:val="1"/>
          <w:color w:val="FFFFFF"/>
        </w:rPr>
        <w:t>UPDATES IN FISCAL</w:t>
      </w:r>
    </w:p>
    <w:p>
      <w:pPr>
        <w:spacing w:after="0" w:line="15" w:lineRule="exact"/>
        <w:rPr>
          <w:sz w:val="20"/>
          <w:szCs w:val="20"/>
          <w:color w:val="auto"/>
        </w:rPr>
      </w:pPr>
    </w:p>
    <w:p>
      <w:pPr>
        <w:jc w:val="center"/>
        <w:ind w:right="44"/>
        <w:spacing w:after="0"/>
        <w:rPr>
          <w:sz w:val="20"/>
          <w:szCs w:val="20"/>
          <w:color w:val="auto"/>
        </w:rPr>
      </w:pPr>
      <w:r>
        <w:rPr>
          <w:rFonts w:ascii="Arial" w:cs="Arial" w:eastAsia="Arial" w:hAnsi="Arial"/>
          <w:sz w:val="13"/>
          <w:szCs w:val="13"/>
          <w:b w:val="1"/>
          <w:bCs w:val="1"/>
          <w:color w:val="FFFFFF"/>
        </w:rPr>
        <w:t>2021 PROGRAM</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36" w:right="560" w:hanging="236"/>
        <w:spacing w:after="0" w:line="258" w:lineRule="auto"/>
        <w:tabs>
          <w:tab w:leader="none" w:pos="213" w:val="left"/>
        </w:tabs>
        <w:numPr>
          <w:ilvl w:val="0"/>
          <w:numId w:val="140"/>
        </w:numPr>
        <w:rPr>
          <w:rFonts w:ascii="Arial" w:cs="Arial" w:eastAsia="Arial" w:hAnsi="Arial"/>
          <w:sz w:val="13"/>
          <w:szCs w:val="13"/>
          <w:color w:val="61C4AF"/>
        </w:rPr>
      </w:pPr>
      <w:r>
        <w:rPr>
          <w:rFonts w:ascii="Arial" w:cs="Arial" w:eastAsia="Arial" w:hAnsi="Arial"/>
          <w:sz w:val="13"/>
          <w:szCs w:val="13"/>
          <w:color w:val="auto"/>
        </w:rPr>
        <w:t>Changed financial metric to non-GAAP operating income (50% weighting)</w:t>
      </w:r>
    </w:p>
    <w:p>
      <w:pPr>
        <w:spacing w:after="0" w:line="43" w:lineRule="exact"/>
        <w:rPr>
          <w:rFonts w:ascii="Arial" w:cs="Arial" w:eastAsia="Arial" w:hAnsi="Arial"/>
          <w:sz w:val="13"/>
          <w:szCs w:val="13"/>
          <w:color w:val="61C4AF"/>
        </w:rPr>
      </w:pPr>
    </w:p>
    <w:p>
      <w:pPr>
        <w:ind w:left="236" w:right="100" w:hanging="236"/>
        <w:spacing w:after="0" w:line="258" w:lineRule="auto"/>
        <w:tabs>
          <w:tab w:leader="none" w:pos="213" w:val="left"/>
        </w:tabs>
        <w:numPr>
          <w:ilvl w:val="0"/>
          <w:numId w:val="140"/>
        </w:numPr>
        <w:rPr>
          <w:rFonts w:ascii="Arial" w:cs="Arial" w:eastAsia="Arial" w:hAnsi="Arial"/>
          <w:sz w:val="13"/>
          <w:szCs w:val="13"/>
          <w:color w:val="61C4AF"/>
        </w:rPr>
      </w:pPr>
      <w:r>
        <w:rPr>
          <w:rFonts w:ascii="Arial" w:cs="Arial" w:eastAsia="Arial" w:hAnsi="Arial"/>
          <w:sz w:val="13"/>
          <w:szCs w:val="13"/>
          <w:color w:val="auto"/>
        </w:rPr>
        <w:t>Added operational metric for exabytes shipped (25% weighting)</w:t>
      </w:r>
    </w:p>
    <w:p>
      <w:pPr>
        <w:spacing w:after="0" w:line="56" w:lineRule="exact"/>
        <w:rPr>
          <w:rFonts w:ascii="Arial" w:cs="Arial" w:eastAsia="Arial" w:hAnsi="Arial"/>
          <w:sz w:val="13"/>
          <w:szCs w:val="13"/>
          <w:color w:val="61C4AF"/>
        </w:rPr>
      </w:pPr>
    </w:p>
    <w:p>
      <w:pPr>
        <w:ind w:left="236" w:right="380" w:hanging="236"/>
        <w:spacing w:after="0" w:line="258" w:lineRule="auto"/>
        <w:tabs>
          <w:tab w:leader="none" w:pos="213" w:val="left"/>
        </w:tabs>
        <w:numPr>
          <w:ilvl w:val="0"/>
          <w:numId w:val="140"/>
        </w:numPr>
        <w:rPr>
          <w:rFonts w:ascii="Arial" w:cs="Arial" w:eastAsia="Arial" w:hAnsi="Arial"/>
          <w:sz w:val="13"/>
          <w:szCs w:val="13"/>
          <w:color w:val="61C4AF"/>
        </w:rPr>
      </w:pPr>
      <w:r>
        <w:rPr>
          <w:rFonts w:ascii="Arial" w:cs="Arial" w:eastAsia="Arial" w:hAnsi="Arial"/>
          <w:sz w:val="13"/>
          <w:szCs w:val="13"/>
          <w:color w:val="auto"/>
        </w:rPr>
        <w:t>Added individual performance factor (25% weighting)</w:t>
      </w:r>
    </w:p>
    <w:p>
      <w:pPr>
        <w:spacing w:after="0" w:line="200" w:lineRule="exact"/>
        <w:rPr>
          <w:sz w:val="20"/>
          <w:szCs w:val="20"/>
          <w:color w:val="auto"/>
        </w:rPr>
      </w:pPr>
    </w:p>
    <w:p>
      <w:pPr>
        <w:sectPr>
          <w:pgSz w:w="11900" w:h="16838" w:orient="portrait"/>
          <w:cols w:equalWidth="0" w:num="3">
            <w:col w:w="4040" w:space="720"/>
            <w:col w:w="3020" w:space="364"/>
            <w:col w:w="3096"/>
          </w:cols>
          <w:pgMar w:left="320" w:top="121" w:right="339" w:bottom="1440" w:gutter="0" w:footer="0" w:header="0"/>
          <w:type w:val="continuous"/>
        </w:sectPr>
      </w:pPr>
    </w:p>
    <w:p>
      <w:pPr>
        <w:spacing w:after="0" w:line="200" w:lineRule="exact"/>
        <w:rPr>
          <w:sz w:val="20"/>
          <w:szCs w:val="20"/>
          <w:color w:val="auto"/>
        </w:rPr>
      </w:pPr>
    </w:p>
    <w:p>
      <w:pPr>
        <w:spacing w:after="0" w:line="237" w:lineRule="exact"/>
        <w:rPr>
          <w:sz w:val="20"/>
          <w:szCs w:val="20"/>
          <w:color w:val="auto"/>
        </w:rPr>
      </w:pPr>
    </w:p>
    <w:p>
      <w:pPr>
        <w:ind w:left="360" w:hanging="244"/>
        <w:spacing w:after="0" w:line="258" w:lineRule="auto"/>
        <w:tabs>
          <w:tab w:leader="none" w:pos="337" w:val="left"/>
        </w:tabs>
        <w:numPr>
          <w:ilvl w:val="0"/>
          <w:numId w:val="141"/>
        </w:numPr>
        <w:rPr>
          <w:rFonts w:ascii="Arial" w:cs="Arial" w:eastAsia="Arial" w:hAnsi="Arial"/>
          <w:sz w:val="13"/>
          <w:szCs w:val="13"/>
          <w:color w:val="61C4AF"/>
        </w:rPr>
      </w:pPr>
      <w:r>
        <w:rPr>
          <w:rFonts w:ascii="Arial" w:cs="Arial" w:eastAsia="Arial" w:hAnsi="Arial"/>
          <w:sz w:val="13"/>
          <w:szCs w:val="13"/>
          <w:color w:val="auto"/>
        </w:rPr>
        <w:t>Financial metrics include a mix of two- and three-year performance periods:</w:t>
      </w:r>
    </w:p>
    <w:p>
      <w:pPr>
        <w:spacing w:after="0" w:line="43" w:lineRule="exact"/>
        <w:rPr>
          <w:rFonts w:ascii="Arial" w:cs="Arial" w:eastAsia="Arial" w:hAnsi="Arial"/>
          <w:sz w:val="13"/>
          <w:szCs w:val="13"/>
          <w:color w:val="61C4AF"/>
        </w:rPr>
      </w:pPr>
    </w:p>
    <w:p>
      <w:pPr>
        <w:ind w:left="540" w:hanging="208"/>
        <w:spacing w:after="0"/>
        <w:tabs>
          <w:tab w:leader="none" w:pos="540" w:val="left"/>
        </w:tabs>
        <w:numPr>
          <w:ilvl w:val="1"/>
          <w:numId w:val="141"/>
        </w:numPr>
        <w:rPr>
          <w:rFonts w:ascii="Arial" w:cs="Arial" w:eastAsia="Arial" w:hAnsi="Arial"/>
          <w:sz w:val="13"/>
          <w:szCs w:val="13"/>
          <w:color w:val="61C4AF"/>
        </w:rPr>
      </w:pPr>
      <w:r>
        <w:rPr>
          <w:rFonts w:ascii="Arial" w:cs="Arial" w:eastAsia="Arial" w:hAnsi="Arial"/>
          <w:sz w:val="13"/>
          <w:szCs w:val="13"/>
          <w:color w:val="auto"/>
        </w:rPr>
        <w:t>6.25% non-GAAP EPS (two-year performance)</w:t>
      </w:r>
    </w:p>
    <w:p>
      <w:pPr>
        <w:spacing w:after="0" w:line="80" w:lineRule="exact"/>
        <w:rPr>
          <w:rFonts w:ascii="Arial" w:cs="Arial" w:eastAsia="Arial" w:hAnsi="Arial"/>
          <w:sz w:val="13"/>
          <w:szCs w:val="13"/>
          <w:color w:val="61C4AF"/>
        </w:rPr>
      </w:pPr>
    </w:p>
    <w:p>
      <w:pPr>
        <w:ind w:left="540" w:hanging="208"/>
        <w:spacing w:after="0"/>
        <w:tabs>
          <w:tab w:leader="none" w:pos="540" w:val="left"/>
        </w:tabs>
        <w:numPr>
          <w:ilvl w:val="1"/>
          <w:numId w:val="141"/>
        </w:numPr>
        <w:rPr>
          <w:rFonts w:ascii="Arial" w:cs="Arial" w:eastAsia="Arial" w:hAnsi="Arial"/>
          <w:sz w:val="13"/>
          <w:szCs w:val="13"/>
          <w:color w:val="61C4AF"/>
        </w:rPr>
      </w:pPr>
      <w:r>
        <w:rPr>
          <w:rFonts w:ascii="Arial" w:cs="Arial" w:eastAsia="Arial" w:hAnsi="Arial"/>
          <w:sz w:val="13"/>
          <w:szCs w:val="13"/>
          <w:color w:val="auto"/>
        </w:rPr>
        <w:t>18.75% non-GAAP EPS (three-year performance)</w:t>
      </w:r>
    </w:p>
    <w:p>
      <w:pPr>
        <w:spacing w:after="0" w:line="66" w:lineRule="exact"/>
        <w:rPr>
          <w:rFonts w:ascii="Arial" w:cs="Arial" w:eastAsia="Arial" w:hAnsi="Arial"/>
          <w:sz w:val="13"/>
          <w:szCs w:val="13"/>
          <w:color w:val="61C4AF"/>
        </w:rPr>
      </w:pPr>
    </w:p>
    <w:p>
      <w:pPr>
        <w:ind w:left="540" w:hanging="208"/>
        <w:spacing w:after="0"/>
        <w:tabs>
          <w:tab w:leader="none" w:pos="540" w:val="left"/>
        </w:tabs>
        <w:numPr>
          <w:ilvl w:val="1"/>
          <w:numId w:val="141"/>
        </w:numPr>
        <w:rPr>
          <w:rFonts w:ascii="Arial" w:cs="Arial" w:eastAsia="Arial" w:hAnsi="Arial"/>
          <w:sz w:val="13"/>
          <w:szCs w:val="13"/>
          <w:color w:val="61C4AF"/>
        </w:rPr>
      </w:pPr>
      <w:r>
        <w:rPr>
          <w:rFonts w:ascii="Arial" w:cs="Arial" w:eastAsia="Arial" w:hAnsi="Arial"/>
          <w:sz w:val="13"/>
          <w:szCs w:val="13"/>
          <w:color w:val="auto"/>
        </w:rPr>
        <w:t>6.25% revenue (two-year performance)</w:t>
      </w:r>
    </w:p>
    <w:p>
      <w:pPr>
        <w:spacing w:after="0" w:line="66" w:lineRule="exact"/>
        <w:rPr>
          <w:rFonts w:ascii="Arial" w:cs="Arial" w:eastAsia="Arial" w:hAnsi="Arial"/>
          <w:sz w:val="13"/>
          <w:szCs w:val="13"/>
          <w:color w:val="61C4AF"/>
        </w:rPr>
      </w:pPr>
    </w:p>
    <w:p>
      <w:pPr>
        <w:ind w:left="540" w:hanging="208"/>
        <w:spacing w:after="0"/>
        <w:tabs>
          <w:tab w:leader="none" w:pos="540" w:val="left"/>
        </w:tabs>
        <w:numPr>
          <w:ilvl w:val="1"/>
          <w:numId w:val="141"/>
        </w:numPr>
        <w:rPr>
          <w:rFonts w:ascii="Arial" w:cs="Arial" w:eastAsia="Arial" w:hAnsi="Arial"/>
          <w:sz w:val="13"/>
          <w:szCs w:val="13"/>
          <w:color w:val="61C4AF"/>
        </w:rPr>
      </w:pPr>
      <w:r>
        <w:rPr>
          <w:rFonts w:ascii="Arial" w:cs="Arial" w:eastAsia="Arial" w:hAnsi="Arial"/>
          <w:sz w:val="13"/>
          <w:szCs w:val="13"/>
          <w:color w:val="auto"/>
        </w:rPr>
        <w:t>18.75% revenue (three-year performance)</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b w:val="1"/>
          <w:bCs w:val="1"/>
          <w:color w:val="FFFFFF"/>
        </w:rPr>
        <w:t>Long-Term Incentive Program</w:t>
      </w:r>
    </w:p>
    <w:p>
      <w:pPr>
        <w:spacing w:after="0" w:line="231" w:lineRule="exact"/>
        <w:rPr>
          <w:sz w:val="20"/>
          <w:szCs w:val="20"/>
          <w:color w:val="auto"/>
        </w:rPr>
      </w:pPr>
    </w:p>
    <w:p>
      <w:pPr>
        <w:ind w:left="340" w:hanging="231"/>
        <w:spacing w:after="0" w:line="258" w:lineRule="auto"/>
        <w:tabs>
          <w:tab w:leader="none" w:pos="317" w:val="left"/>
        </w:tabs>
        <w:numPr>
          <w:ilvl w:val="0"/>
          <w:numId w:val="142"/>
        </w:numPr>
        <w:rPr>
          <w:rFonts w:ascii="Arial" w:cs="Arial" w:eastAsia="Arial" w:hAnsi="Arial"/>
          <w:sz w:val="13"/>
          <w:szCs w:val="13"/>
          <w:color w:val="61C4AF"/>
        </w:rPr>
      </w:pPr>
      <w:r>
        <w:rPr>
          <w:rFonts w:ascii="Arial" w:cs="Arial" w:eastAsia="Arial" w:hAnsi="Arial"/>
          <w:sz w:val="13"/>
          <w:szCs w:val="13"/>
          <w:color w:val="auto"/>
        </w:rPr>
        <w:t>Move all PSUs to a three-year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-203200</wp:posOffset>
            </wp:positionV>
            <wp:extent cx="7132320" cy="8058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8058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ind w:left="236" w:right="760" w:hanging="236"/>
        <w:spacing w:after="0" w:line="258" w:lineRule="auto"/>
        <w:tabs>
          <w:tab w:leader="none" w:pos="213" w:val="left"/>
        </w:tabs>
        <w:numPr>
          <w:ilvl w:val="0"/>
          <w:numId w:val="143"/>
        </w:numPr>
        <w:rPr>
          <w:rFonts w:ascii="Arial" w:cs="Arial" w:eastAsia="Arial" w:hAnsi="Arial"/>
          <w:sz w:val="13"/>
          <w:szCs w:val="13"/>
          <w:color w:val="61C4AF"/>
        </w:rPr>
      </w:pPr>
      <w:r>
        <w:rPr>
          <w:rFonts w:ascii="Arial" w:cs="Arial" w:eastAsia="Arial" w:hAnsi="Arial"/>
          <w:sz w:val="13"/>
          <w:szCs w:val="13"/>
          <w:color w:val="auto"/>
        </w:rPr>
        <w:t>Moved 100% of PSUs to three-year performance period</w:t>
      </w:r>
    </w:p>
    <w:p>
      <w:pPr>
        <w:spacing w:after="0" w:line="1054" w:lineRule="exact"/>
        <w:rPr>
          <w:sz w:val="20"/>
          <w:szCs w:val="20"/>
          <w:color w:val="auto"/>
        </w:rPr>
      </w:pPr>
    </w:p>
    <w:p>
      <w:pPr>
        <w:sectPr>
          <w:pgSz w:w="11900" w:h="16838" w:orient="portrait"/>
          <w:cols w:equalWidth="0" w:num="3">
            <w:col w:w="4320" w:space="340"/>
            <w:col w:w="2920" w:space="564"/>
            <w:col w:w="3096"/>
          </w:cols>
          <w:pgMar w:left="320" w:top="121" w:right="339" w:bottom="1440" w:gutter="0" w:footer="0" w:header="0"/>
          <w:type w:val="continuous"/>
        </w:sectPr>
      </w:pPr>
    </w:p>
    <w:p>
      <w:pPr>
        <w:spacing w:after="0" w:line="76"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Business Highlights</w:t>
      </w:r>
    </w:p>
    <w:p>
      <w:pPr>
        <w:spacing w:after="0" w:line="257" w:lineRule="exact"/>
        <w:rPr>
          <w:sz w:val="20"/>
          <w:szCs w:val="20"/>
          <w:color w:val="auto"/>
        </w:rPr>
      </w:pPr>
    </w:p>
    <w:p>
      <w:pPr>
        <w:ind w:right="120"/>
        <w:spacing w:after="0" w:line="245" w:lineRule="auto"/>
        <w:rPr>
          <w:sz w:val="20"/>
          <w:szCs w:val="20"/>
          <w:color w:val="auto"/>
        </w:rPr>
      </w:pPr>
      <w:r>
        <w:rPr>
          <w:rFonts w:ascii="Arial" w:cs="Arial" w:eastAsia="Arial" w:hAnsi="Arial"/>
          <w:sz w:val="13"/>
          <w:szCs w:val="13"/>
          <w:color w:val="auto"/>
        </w:rPr>
        <w:t>We entered fiscal 2020 cautiously optimistic after successfully navigating dynamic market conditions and coming out of what we believed to be a cyclical trough in the flash industry. In the first half of fiscal 2020, we experienced an improving flash market environment and strength in our HDD portfolio, led by the success of our capacity enterprise product line. We encountered challenges, primarily in the second half of the fiscal year, due to the ongoing COVID-19 pandemic, the start of a global economic contraction and trade-related geopolitical dynamics, which adversely impacted our fiscal 2020 business results.</w:t>
      </w:r>
    </w:p>
    <w:p>
      <w:pPr>
        <w:spacing w:after="0" w:line="200" w:lineRule="exact"/>
        <w:rPr>
          <w:sz w:val="20"/>
          <w:szCs w:val="20"/>
          <w:color w:val="auto"/>
        </w:rPr>
      </w:pPr>
    </w:p>
    <w:p>
      <w:pPr>
        <w:ind w:right="220"/>
        <w:spacing w:after="0" w:line="243" w:lineRule="auto"/>
        <w:rPr>
          <w:sz w:val="20"/>
          <w:szCs w:val="20"/>
          <w:color w:val="auto"/>
        </w:rPr>
      </w:pPr>
      <w:r>
        <w:rPr>
          <w:rFonts w:ascii="Arial" w:cs="Arial" w:eastAsia="Arial" w:hAnsi="Arial"/>
          <w:sz w:val="13"/>
          <w:szCs w:val="13"/>
          <w:color w:val="auto"/>
        </w:rPr>
        <w:t>In April 2020, we suspended our dividend to strengthen our reinvestment in growth and innovation and to support our ongoing deleveraging efforts. While this impacted our stock price in the short term, we believe the reinvestment of cash in our business and improvement to our balance sheet will benefit our stockholders in the long term. The challenging market for our business in fiscal 2020 is reflected in the compensation received by our executives with respect to the fiscal year. Our two-year performance stock unit (“PSU”) performance was below target and the executives’ payout with respect to this award that will be made following fiscal 2021 is 92% of target. The Compensation and Talent Committee also used downward discretion and capped executives’ STI payout for fiscal 2020 at 100% of target to reflect our fiscal 2020 performance in the context of market conditions.</w:t>
      </w:r>
    </w:p>
    <w:p>
      <w:pPr>
        <w:spacing w:after="0" w:line="202" w:lineRule="exact"/>
        <w:rPr>
          <w:sz w:val="20"/>
          <w:szCs w:val="20"/>
          <w:color w:val="auto"/>
        </w:rPr>
      </w:pPr>
    </w:p>
    <w:p>
      <w:pPr>
        <w:ind w:right="20"/>
        <w:spacing w:after="0" w:line="245" w:lineRule="auto"/>
        <w:rPr>
          <w:sz w:val="20"/>
          <w:szCs w:val="20"/>
          <w:color w:val="auto"/>
        </w:rPr>
      </w:pPr>
      <w:r>
        <w:rPr>
          <w:rFonts w:ascii="Arial" w:cs="Arial" w:eastAsia="Arial" w:hAnsi="Arial"/>
          <w:sz w:val="13"/>
          <w:szCs w:val="13"/>
          <w:color w:val="auto"/>
        </w:rPr>
        <w:t>Despite a challenging year, we remained focused on driving innovation for customers and long-term value creation for our stockholders. Specifically, we broadened our product portfolio and enhanced our technology leadership with a keen focus on strategy and operations. We expect these actions to position us to emerge as a stronger company as the market environment improves. These factors, along with the hiring of our new Chief Executive Officer and stockholder feedback from our engagement efforts, provided important context for the Compensation and Talent Committee’s decisions regarding executive pay in fiscal 2020.</w:t>
      </w:r>
    </w:p>
    <w:p>
      <w:pPr>
        <w:spacing w:after="0" w:line="18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23628F"/>
        </w:rPr>
        <w:t>2020 PROXY STATEMENT</w:t>
      </w:r>
      <w:r>
        <w:rPr>
          <w:sz w:val="20"/>
          <w:szCs w:val="20"/>
          <w:color w:val="auto"/>
        </w:rPr>
        <w:tab/>
      </w:r>
      <w:r>
        <w:rPr>
          <w:rFonts w:ascii="Arial" w:cs="Arial" w:eastAsia="Arial" w:hAnsi="Arial"/>
          <w:sz w:val="16"/>
          <w:szCs w:val="16"/>
          <w:b w:val="1"/>
          <w:bCs w:val="1"/>
          <w:color w:val="23628F"/>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153275" cy="209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23628F"/>
        </w:rPr>
        <w:t>COMPENSATION DISCUSSION AND ANALYSIS</w:t>
      </w:r>
    </w:p>
    <w:p>
      <w:pPr>
        <w:spacing w:after="0" w:line="182"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Chief Executive Officer Transition</w:t>
      </w:r>
    </w:p>
    <w:p>
      <w:pPr>
        <w:spacing w:after="0" w:line="257" w:lineRule="exact"/>
        <w:rPr>
          <w:sz w:val="20"/>
          <w:szCs w:val="20"/>
          <w:color w:val="auto"/>
        </w:rPr>
      </w:pPr>
    </w:p>
    <w:p>
      <w:pPr>
        <w:ind w:right="100"/>
        <w:spacing w:after="0" w:line="245" w:lineRule="auto"/>
        <w:rPr>
          <w:sz w:val="20"/>
          <w:szCs w:val="20"/>
          <w:color w:val="auto"/>
        </w:rPr>
      </w:pPr>
      <w:r>
        <w:rPr>
          <w:rFonts w:ascii="Arial" w:cs="Arial" w:eastAsia="Arial" w:hAnsi="Arial"/>
          <w:sz w:val="13"/>
          <w:szCs w:val="13"/>
          <w:color w:val="auto"/>
        </w:rPr>
        <w:t>In October 2019, we announced that our then-current Chief Executive Officer, Mr. Milligan, intended to retire. Mr. Milligan agreed to serve as our Chief Executive Officer until we appointed his successor; he further agreed to continue in an advisory role following the appointment of our new Chief Executive Officer through September 2020 to facilitate a seamless leadership transition. Following an extensive search led by the CEO Search Committee, a Board committee composed of independent directors and supported by a leading executive recruiting firm, our Board of Directors appointed Mr. Goeckeler in March 2020 to serve as our new Chief Executive Officer.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23628F"/>
        </w:rPr>
        <w:t>SEARCH PROCESS</w:t>
      </w:r>
    </w:p>
    <w:p>
      <w:pPr>
        <w:spacing w:after="0" w:line="230" w:lineRule="exact"/>
        <w:rPr>
          <w:sz w:val="20"/>
          <w:szCs w:val="20"/>
          <w:color w:val="auto"/>
        </w:rPr>
      </w:pPr>
    </w:p>
    <w:p>
      <w:pPr>
        <w:spacing w:after="0" w:line="245" w:lineRule="auto"/>
        <w:rPr>
          <w:sz w:val="20"/>
          <w:szCs w:val="20"/>
          <w:color w:val="auto"/>
        </w:rPr>
      </w:pPr>
      <w:r>
        <w:rPr>
          <w:rFonts w:ascii="Arial" w:cs="Arial" w:eastAsia="Arial" w:hAnsi="Arial"/>
          <w:sz w:val="13"/>
          <w:szCs w:val="13"/>
          <w:color w:val="auto"/>
        </w:rPr>
        <w:t>The CEO Search Committee conducted a comprehensive and robust search, meeting 27 times. Ms. Streeter chaired the search committee, and Ms. Cote and Messrs. Cole, Lauer and Massengill served on the committee. The CEO Search Committee challenged the executive recruiting firm to identify internal and external candidates who would bring strategic vision, deep operational expertise from a technology company at scale and innovation leadership, with a particular emphasis on diverse candidates, including female and underrepresented minority candidates. The committee then assessed the slate of candidates through an in-depth evaluation and interview process.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23628F"/>
        </w:rPr>
        <w:t>WHY OUR BOARD APPOINTED MR. GOECKELER</w:t>
      </w:r>
    </w:p>
    <w:p>
      <w:pPr>
        <w:spacing w:after="0" w:line="230" w:lineRule="exact"/>
        <w:rPr>
          <w:sz w:val="20"/>
          <w:szCs w:val="20"/>
          <w:color w:val="auto"/>
        </w:rPr>
      </w:pPr>
    </w:p>
    <w:p>
      <w:pPr>
        <w:ind w:right="120"/>
        <w:spacing w:after="0" w:line="245" w:lineRule="auto"/>
        <w:rPr>
          <w:sz w:val="20"/>
          <w:szCs w:val="20"/>
          <w:color w:val="auto"/>
        </w:rPr>
      </w:pPr>
      <w:r>
        <w:rPr>
          <w:rFonts w:ascii="Arial" w:cs="Arial" w:eastAsia="Arial" w:hAnsi="Arial"/>
          <w:sz w:val="13"/>
          <w:szCs w:val="13"/>
          <w:color w:val="auto"/>
        </w:rPr>
        <w:t>Prior to joining Western Digital, Mr. Goeckeler led Cisco’s $34 billion networking and security business, with a team of over 25,000 engineers. In that role, Mr. Goeckeler oversaw Cisco’s networking and security strategy and market acceleration, including development operations for an expansive technology portfolio and strategic acquisitions. Our Board of Directors believes that Mr. Goeckeler’s track record of driving highly profitable businesses while innovating successful business strategies and generating new revenue sources makes him an ideal leader to create long-term value for our stockholders.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23628F"/>
        </w:rPr>
        <w:t>MR. GOECKELER’S TARGET TOTAL DIRECT COMPENSATION</w:t>
      </w:r>
    </w:p>
    <w:p>
      <w:pPr>
        <w:spacing w:after="0" w:line="230" w:lineRule="exact"/>
        <w:rPr>
          <w:sz w:val="20"/>
          <w:szCs w:val="20"/>
          <w:color w:val="auto"/>
        </w:rPr>
      </w:pPr>
    </w:p>
    <w:p>
      <w:pPr>
        <w:ind w:right="80"/>
        <w:spacing w:after="0" w:line="245" w:lineRule="auto"/>
        <w:rPr>
          <w:sz w:val="20"/>
          <w:szCs w:val="20"/>
          <w:color w:val="auto"/>
        </w:rPr>
      </w:pPr>
      <w:r>
        <w:rPr>
          <w:rFonts w:ascii="Arial" w:cs="Arial" w:eastAsia="Arial" w:hAnsi="Arial"/>
          <w:sz w:val="13"/>
          <w:szCs w:val="13"/>
          <w:color w:val="auto"/>
        </w:rPr>
        <w:t>In setting Mr. Goeckeler’s target total direct compensation, the Compensation and Talent Committee, advised by the independent compensation consultant, considered Mr. Goeckeler’s target total direct compensation with his prior employer, target total direct compensation of our prior Chief Executive Officer and market data for chief executive officers in our peer group identified on page 63. Mr. Goeckeler’s fiscal 2020 target total direct compensation with his prior employer, as disclosed in its 2019 proxy statement, totaled approximately $13.8 million and included the following components:</w:t>
      </w:r>
    </w:p>
    <w:p>
      <w:pPr>
        <w:spacing w:after="0" w:line="200" w:lineRule="exact"/>
        <w:rPr>
          <w:sz w:val="20"/>
          <w:szCs w:val="20"/>
          <w:color w:val="auto"/>
        </w:rPr>
      </w:pPr>
    </w:p>
    <w:p>
      <w:pPr>
        <w:ind w:left="240" w:hanging="232"/>
        <w:spacing w:after="0"/>
        <w:tabs>
          <w:tab w:leader="none" w:pos="240" w:val="left"/>
        </w:tabs>
        <w:numPr>
          <w:ilvl w:val="0"/>
          <w:numId w:val="144"/>
        </w:numPr>
        <w:rPr>
          <w:rFonts w:ascii="Arial" w:cs="Arial" w:eastAsia="Arial" w:hAnsi="Arial"/>
          <w:sz w:val="13"/>
          <w:szCs w:val="13"/>
          <w:color w:val="61C4AF"/>
        </w:rPr>
      </w:pPr>
      <w:r>
        <w:rPr>
          <w:rFonts w:ascii="Arial" w:cs="Arial" w:eastAsia="Arial" w:hAnsi="Arial"/>
          <w:sz w:val="13"/>
          <w:szCs w:val="13"/>
          <w:color w:val="auto"/>
        </w:rPr>
        <w:t>Base Salary: $825,000</w:t>
      </w:r>
    </w:p>
    <w:p>
      <w:pPr>
        <w:spacing w:after="0" w:line="107" w:lineRule="exact"/>
        <w:rPr>
          <w:rFonts w:ascii="Arial" w:cs="Arial" w:eastAsia="Arial" w:hAnsi="Arial"/>
          <w:sz w:val="13"/>
          <w:szCs w:val="13"/>
          <w:color w:val="61C4AF"/>
        </w:rPr>
      </w:pPr>
    </w:p>
    <w:p>
      <w:pPr>
        <w:ind w:left="240" w:hanging="232"/>
        <w:spacing w:after="0"/>
        <w:tabs>
          <w:tab w:leader="none" w:pos="240" w:val="left"/>
        </w:tabs>
        <w:numPr>
          <w:ilvl w:val="0"/>
          <w:numId w:val="144"/>
        </w:numPr>
        <w:rPr>
          <w:rFonts w:ascii="Arial" w:cs="Arial" w:eastAsia="Arial" w:hAnsi="Arial"/>
          <w:sz w:val="13"/>
          <w:szCs w:val="13"/>
          <w:color w:val="61C4AF"/>
        </w:rPr>
      </w:pPr>
      <w:r>
        <w:rPr>
          <w:rFonts w:ascii="Arial" w:cs="Arial" w:eastAsia="Arial" w:hAnsi="Arial"/>
          <w:sz w:val="13"/>
          <w:szCs w:val="13"/>
          <w:color w:val="auto"/>
        </w:rPr>
        <w:t>STI Target: $1,320,000 (160% of base salary)</w:t>
      </w:r>
    </w:p>
    <w:p>
      <w:pPr>
        <w:spacing w:after="0" w:line="107" w:lineRule="exact"/>
        <w:rPr>
          <w:rFonts w:ascii="Arial" w:cs="Arial" w:eastAsia="Arial" w:hAnsi="Arial"/>
          <w:sz w:val="13"/>
          <w:szCs w:val="13"/>
          <w:color w:val="61C4AF"/>
        </w:rPr>
      </w:pPr>
    </w:p>
    <w:p>
      <w:pPr>
        <w:ind w:left="240" w:right="500" w:hanging="232"/>
        <w:spacing w:after="0" w:line="258" w:lineRule="auto"/>
        <w:tabs>
          <w:tab w:leader="none" w:pos="240" w:val="left"/>
        </w:tabs>
        <w:numPr>
          <w:ilvl w:val="0"/>
          <w:numId w:val="144"/>
        </w:numPr>
        <w:rPr>
          <w:rFonts w:ascii="Arial" w:cs="Arial" w:eastAsia="Arial" w:hAnsi="Arial"/>
          <w:sz w:val="13"/>
          <w:szCs w:val="13"/>
          <w:color w:val="61C4AF"/>
        </w:rPr>
      </w:pPr>
      <w:r>
        <w:rPr>
          <w:rFonts w:ascii="Arial" w:cs="Arial" w:eastAsia="Arial" w:hAnsi="Arial"/>
          <w:sz w:val="13"/>
          <w:szCs w:val="13"/>
          <w:color w:val="auto"/>
        </w:rPr>
        <w:t>Target LTI: $11,676,163 (determined by multiplying the target number of stock units granted to Mr. Goeckeler on September 18, 2019 by the closing price of his prior employer’s common stock on the Nasdaq Stock Market on the grant date)</w:t>
      </w:r>
    </w:p>
    <w:p>
      <w:pPr>
        <w:spacing w:after="0" w:line="192" w:lineRule="exact"/>
        <w:rPr>
          <w:sz w:val="20"/>
          <w:szCs w:val="20"/>
          <w:color w:val="auto"/>
        </w:rPr>
      </w:pPr>
    </w:p>
    <w:p>
      <w:pPr>
        <w:ind w:right="60"/>
        <w:spacing w:after="0" w:line="245" w:lineRule="auto"/>
        <w:rPr>
          <w:sz w:val="20"/>
          <w:szCs w:val="20"/>
          <w:color w:val="auto"/>
        </w:rPr>
      </w:pPr>
      <w:r>
        <w:rPr>
          <w:rFonts w:ascii="Arial" w:cs="Arial" w:eastAsia="Arial" w:hAnsi="Arial"/>
          <w:sz w:val="13"/>
          <w:szCs w:val="13"/>
          <w:color w:val="auto"/>
        </w:rPr>
        <w:t>Following its review, the Compensation and Talent Committee approved target total direct compensation for Mr. Goeckeler that represents a small premium to his fiscal 2020 target total direct compensation with his prior employer to reflect his expanded duties as our Chief Executive Officer; Mr. Goeckeler’s target total direct compensation at Western Digital is also comparable to Mr. Milligan’s fiscal 2020 target total direct compensation. The Compensation and Talent Committee increased Mr. Goeckeler’s target STI percentage above Mr. Milligan’s to align more closely with target STI percentages for our peer companies and due to Mr. Goeckeler’s higher target STI percentage opportunity at his prior employer.</w:t>
      </w:r>
    </w:p>
    <w:p>
      <w:pPr>
        <w:spacing w:after="0" w:line="200" w:lineRule="exact"/>
        <w:rPr>
          <w:sz w:val="20"/>
          <w:szCs w:val="20"/>
          <w:color w:val="auto"/>
        </w:rPr>
      </w:pPr>
    </w:p>
    <w:p>
      <w:pPr>
        <w:spacing w:after="0" w:line="245" w:lineRule="auto"/>
        <w:rPr>
          <w:sz w:val="20"/>
          <w:szCs w:val="20"/>
          <w:color w:val="auto"/>
        </w:rPr>
      </w:pPr>
      <w:r>
        <w:rPr>
          <w:rFonts w:ascii="Arial" w:cs="Arial" w:eastAsia="Arial" w:hAnsi="Arial"/>
          <w:sz w:val="13"/>
          <w:szCs w:val="13"/>
          <w:color w:val="auto"/>
        </w:rPr>
        <w:t>As used in this Compensation Discussion and Analysis, “target total direct compensation” refers to an executive’s base salary, target (not actual) annual STI award and the target value of the executive’s LTI award at the time of grant of the award (determined using the values of the awards as approved by the Compensation and Talent Committee as contrasted with the grant date fair value of the executive’s LTI award for financial reporting purposes, which uses a Monte Carlo simulation to determine the grant date fair value of relative total stockholder return (“TSR”) PSUs). For Mr. Goeckeler, “target total direct compensation with his prior employer” refers to his base salary, STI target and target LTI as described above.</w:t>
      </w:r>
    </w:p>
    <w:p>
      <w:pPr>
        <w:spacing w:after="0" w:line="195" w:lineRule="exact"/>
        <w:rPr>
          <w:sz w:val="20"/>
          <w:szCs w:val="20"/>
          <w:color w:val="auto"/>
        </w:rPr>
      </w:pPr>
    </w:p>
    <w:p>
      <w:pPr>
        <w:ind w:left="440" w:hanging="432"/>
        <w:spacing w:after="0"/>
        <w:tabs>
          <w:tab w:leader="none" w:pos="440" w:val="left"/>
        </w:tabs>
        <w:numPr>
          <w:ilvl w:val="0"/>
          <w:numId w:val="145"/>
        </w:numPr>
        <w:rPr>
          <w:rFonts w:ascii="Arial" w:cs="Arial" w:eastAsia="Arial" w:hAnsi="Arial"/>
          <w:sz w:val="18"/>
          <w:szCs w:val="18"/>
          <w:b w:val="1"/>
          <w:bCs w:val="1"/>
          <w:color w:val="23628F"/>
        </w:rPr>
      </w:pPr>
      <w:r>
        <w:rPr>
          <w:rFonts w:ascii="Arial" w:cs="Arial" w:eastAsia="Arial" w:hAnsi="Arial"/>
          <w:sz w:val="13"/>
          <w:szCs w:val="13"/>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153275" cy="209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right"/>
        <w:spacing w:after="0"/>
        <w:rPr>
          <w:sz w:val="20"/>
          <w:szCs w:val="20"/>
          <w:color w:val="auto"/>
        </w:rPr>
      </w:pPr>
      <w:r>
        <w:rPr>
          <w:rFonts w:ascii="Arial" w:cs="Arial" w:eastAsia="Arial" w:hAnsi="Arial"/>
          <w:sz w:val="13"/>
          <w:szCs w:val="13"/>
          <w:color w:val="23628F"/>
        </w:rPr>
        <w:t>COMPENSATION DISCUSSION AND ANALYSIS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tcPr>
          <w:p>
            <w:pPr>
              <w:ind w:left="680"/>
              <w:spacing w:after="0"/>
              <w:rPr>
                <w:sz w:val="20"/>
                <w:szCs w:val="20"/>
                <w:color w:val="auto"/>
              </w:rPr>
            </w:pPr>
            <w:r>
              <w:rPr>
                <w:rFonts w:ascii="Arial" w:cs="Arial" w:eastAsia="Arial" w:hAnsi="Arial"/>
                <w:sz w:val="13"/>
                <w:szCs w:val="13"/>
                <w:b w:val="1"/>
                <w:bCs w:val="1"/>
                <w:color w:val="auto"/>
              </w:rPr>
              <w:t>Compensation Element</w:t>
            </w:r>
          </w:p>
        </w:tc>
        <w:tc>
          <w:tcPr>
            <w:tcW w:w="1800" w:type="dxa"/>
            <w:vAlign w:val="bottom"/>
            <w:tcBorders>
              <w:bottom w:val="single" w:sz="8" w:color="auto"/>
            </w:tcBorders>
          </w:tcPr>
          <w:p>
            <w:pPr>
              <w:spacing w:after="0"/>
              <w:rPr>
                <w:sz w:val="16"/>
                <w:szCs w:val="16"/>
                <w:color w:val="auto"/>
              </w:rPr>
            </w:pPr>
          </w:p>
        </w:tc>
      </w:tr>
      <w:tr>
        <w:trPr>
          <w:trHeight w:val="159"/>
        </w:trPr>
        <w:tc>
          <w:tcPr>
            <w:tcW w:w="49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800" w:type="dxa"/>
            <w:vAlign w:val="bottom"/>
          </w:tcPr>
          <w:p>
            <w:pPr>
              <w:jc w:val="right"/>
              <w:ind w:right="373"/>
              <w:spacing w:after="0"/>
              <w:rPr>
                <w:sz w:val="20"/>
                <w:szCs w:val="20"/>
                <w:color w:val="auto"/>
              </w:rPr>
            </w:pPr>
            <w:r>
              <w:rPr>
                <w:rFonts w:ascii="Arial" w:cs="Arial" w:eastAsia="Arial" w:hAnsi="Arial"/>
                <w:sz w:val="13"/>
                <w:szCs w:val="13"/>
                <w:b w:val="1"/>
                <w:bCs w:val="1"/>
                <w:color w:val="auto"/>
              </w:rPr>
              <w:t>Target</w:t>
            </w:r>
          </w:p>
        </w:tc>
      </w:tr>
      <w:tr>
        <w:trPr>
          <w:trHeight w:val="148"/>
        </w:trPr>
        <w:tc>
          <w:tcPr>
            <w:tcW w:w="4940" w:type="dxa"/>
            <w:vAlign w:val="bottom"/>
          </w:tcPr>
          <w:p>
            <w:pPr>
              <w:spacing w:after="0"/>
              <w:rPr>
                <w:sz w:val="12"/>
                <w:szCs w:val="12"/>
                <w:color w:val="auto"/>
              </w:rPr>
            </w:pPr>
          </w:p>
        </w:tc>
        <w:tc>
          <w:tcPr>
            <w:tcW w:w="1720" w:type="dxa"/>
            <w:vAlign w:val="bottom"/>
          </w:tcPr>
          <w:p>
            <w:pPr>
              <w:jc w:val="right"/>
              <w:ind w:right="633"/>
              <w:spacing w:after="0"/>
              <w:rPr>
                <w:sz w:val="20"/>
                <w:szCs w:val="20"/>
                <w:color w:val="auto"/>
              </w:rPr>
            </w:pPr>
            <w:r>
              <w:rPr>
                <w:rFonts w:ascii="Arial" w:cs="Arial" w:eastAsia="Arial" w:hAnsi="Arial"/>
                <w:sz w:val="13"/>
                <w:szCs w:val="13"/>
                <w:b w:val="1"/>
                <w:bCs w:val="1"/>
                <w:color w:val="23628F"/>
              </w:rPr>
              <w:t xml:space="preserve">Base  </w:t>
            </w:r>
            <w:r>
              <w:rPr>
                <w:rFonts w:ascii="Arial" w:cs="Arial" w:eastAsia="Arial" w:hAnsi="Arial"/>
                <w:sz w:val="13"/>
                <w:szCs w:val="13"/>
                <w:b w:val="1"/>
                <w:bCs w:val="1"/>
                <w:color w:val="959595"/>
              </w:rPr>
              <w:t>Target</w:t>
            </w:r>
          </w:p>
        </w:tc>
        <w:tc>
          <w:tcPr>
            <w:tcW w:w="2780" w:type="dxa"/>
            <w:vAlign w:val="bottom"/>
          </w:tcPr>
          <w:p>
            <w:pPr>
              <w:spacing w:after="0"/>
              <w:rPr>
                <w:sz w:val="12"/>
                <w:szCs w:val="12"/>
                <w:color w:val="auto"/>
              </w:rPr>
            </w:pPr>
          </w:p>
        </w:tc>
        <w:tc>
          <w:tcPr>
            <w:tcW w:w="1800" w:type="dxa"/>
            <w:vAlign w:val="bottom"/>
          </w:tcPr>
          <w:p>
            <w:pPr>
              <w:jc w:val="right"/>
              <w:ind w:right="213"/>
              <w:spacing w:after="0"/>
              <w:rPr>
                <w:sz w:val="20"/>
                <w:szCs w:val="20"/>
                <w:color w:val="auto"/>
              </w:rPr>
            </w:pPr>
            <w:r>
              <w:rPr>
                <w:rFonts w:ascii="Arial" w:cs="Arial" w:eastAsia="Arial" w:hAnsi="Arial"/>
                <w:sz w:val="13"/>
                <w:szCs w:val="13"/>
                <w:b w:val="1"/>
                <w:bCs w:val="1"/>
                <w:color w:val="auto"/>
              </w:rPr>
              <w:t>Total Direct</w:t>
            </w:r>
          </w:p>
        </w:tc>
      </w:tr>
      <w:tr>
        <w:trPr>
          <w:trHeight w:val="186"/>
        </w:trPr>
        <w:tc>
          <w:tcPr>
            <w:tcW w:w="49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613"/>
              <w:spacing w:after="0"/>
              <w:rPr>
                <w:sz w:val="20"/>
                <w:szCs w:val="20"/>
                <w:color w:val="auto"/>
              </w:rPr>
            </w:pPr>
            <w:r>
              <w:rPr>
                <w:rFonts w:ascii="Arial" w:cs="Arial" w:eastAsia="Arial" w:hAnsi="Arial"/>
                <w:sz w:val="13"/>
                <w:szCs w:val="13"/>
                <w:b w:val="1"/>
                <w:bCs w:val="1"/>
                <w:color w:val="23628F"/>
              </w:rPr>
              <w:t>Salary ($)</w:t>
            </w:r>
            <w:r>
              <w:rPr>
                <w:rFonts w:ascii="Arial" w:cs="Arial" w:eastAsia="Arial" w:hAnsi="Arial"/>
                <w:sz w:val="13"/>
                <w:szCs w:val="13"/>
                <w:b w:val="1"/>
                <w:bCs w:val="1"/>
                <w:color w:val="959595"/>
              </w:rPr>
              <w:t>STI ($)</w:t>
            </w:r>
          </w:p>
        </w:tc>
        <w:tc>
          <w:tcPr>
            <w:tcW w:w="2780" w:type="dxa"/>
            <w:vAlign w:val="bottom"/>
            <w:tcBorders>
              <w:bottom w:val="single" w:sz="8" w:color="auto"/>
            </w:tcBorders>
          </w:tcPr>
          <w:p>
            <w:pPr>
              <w:ind w:left="920"/>
              <w:spacing w:after="0"/>
              <w:rPr>
                <w:sz w:val="20"/>
                <w:szCs w:val="20"/>
                <w:color w:val="auto"/>
              </w:rPr>
            </w:pPr>
            <w:r>
              <w:rPr>
                <w:rFonts w:ascii="Arial" w:cs="Arial" w:eastAsia="Arial" w:hAnsi="Arial"/>
                <w:sz w:val="13"/>
                <w:szCs w:val="13"/>
                <w:b w:val="1"/>
                <w:bCs w:val="1"/>
                <w:color w:val="61C4AF"/>
              </w:rPr>
              <w:t>Target LTI ($)</w:t>
            </w:r>
          </w:p>
        </w:tc>
        <w:tc>
          <w:tcPr>
            <w:tcW w:w="18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Compensation ($)</w:t>
            </w:r>
          </w:p>
        </w:tc>
      </w:tr>
      <w:tr>
        <w:trPr>
          <w:trHeight w:val="378"/>
        </w:trPr>
        <w:tc>
          <w:tcPr>
            <w:tcW w:w="6660" w:type="dxa"/>
            <w:vAlign w:val="bottom"/>
            <w:gridSpan w:val="2"/>
          </w:tcPr>
          <w:p>
            <w:pPr>
              <w:ind w:left="80"/>
              <w:spacing w:after="0"/>
              <w:rPr>
                <w:sz w:val="20"/>
                <w:szCs w:val="20"/>
                <w:color w:val="auto"/>
              </w:rPr>
            </w:pPr>
            <w:r>
              <w:rPr>
                <w:rFonts w:ascii="Arial" w:cs="Arial" w:eastAsia="Arial" w:hAnsi="Arial"/>
                <w:sz w:val="13"/>
                <w:szCs w:val="13"/>
                <w:b w:val="1"/>
                <w:bCs w:val="1"/>
                <w:color w:val="23628F"/>
              </w:rPr>
              <w:t>David V. Goeckeler</w:t>
            </w:r>
          </w:p>
        </w:tc>
        <w:tc>
          <w:tcPr>
            <w:tcW w:w="2780" w:type="dxa"/>
            <w:vAlign w:val="bottom"/>
          </w:tcPr>
          <w:p>
            <w:pPr>
              <w:spacing w:after="0"/>
              <w:rPr>
                <w:sz w:val="24"/>
                <w:szCs w:val="24"/>
                <w:color w:val="auto"/>
              </w:rPr>
            </w:pPr>
          </w:p>
        </w:tc>
        <w:tc>
          <w:tcPr>
            <w:tcW w:w="1800" w:type="dxa"/>
            <w:vAlign w:val="bottom"/>
          </w:tcPr>
          <w:p>
            <w:pPr>
              <w:jc w:val="right"/>
              <w:ind w:right="13"/>
              <w:spacing w:after="0"/>
              <w:rPr>
                <w:sz w:val="20"/>
                <w:szCs w:val="20"/>
                <w:color w:val="auto"/>
              </w:rPr>
            </w:pPr>
            <w:r>
              <w:rPr>
                <w:rFonts w:ascii="Arial" w:cs="Arial" w:eastAsia="Arial" w:hAnsi="Arial"/>
                <w:sz w:val="13"/>
                <w:szCs w:val="13"/>
                <w:color w:val="auto"/>
              </w:rPr>
              <w:t>15,437,500</w:t>
            </w:r>
          </w:p>
        </w:tc>
      </w:tr>
      <w:tr>
        <w:trPr>
          <w:trHeight w:val="203"/>
        </w:trPr>
        <w:tc>
          <w:tcPr>
            <w:tcW w:w="4940" w:type="dxa"/>
            <w:vAlign w:val="bottom"/>
            <w:tcBorders>
              <w:bottom w:val="single" w:sz="8" w:color="959595"/>
            </w:tcBorders>
          </w:tcPr>
          <w:p>
            <w:pPr>
              <w:spacing w:after="0"/>
              <w:rPr>
                <w:sz w:val="17"/>
                <w:szCs w:val="17"/>
                <w:color w:val="auto"/>
              </w:rPr>
            </w:pPr>
          </w:p>
        </w:tc>
        <w:tc>
          <w:tcPr>
            <w:tcW w:w="1720" w:type="dxa"/>
            <w:vAlign w:val="bottom"/>
            <w:tcBorders>
              <w:bottom w:val="single" w:sz="8" w:color="959595"/>
            </w:tcBorders>
          </w:tcPr>
          <w:p>
            <w:pPr>
              <w:spacing w:after="0"/>
              <w:rPr>
                <w:sz w:val="17"/>
                <w:szCs w:val="17"/>
                <w:color w:val="auto"/>
              </w:rPr>
            </w:pPr>
          </w:p>
        </w:tc>
        <w:tc>
          <w:tcPr>
            <w:tcW w:w="2780" w:type="dxa"/>
            <w:vAlign w:val="bottom"/>
            <w:tcBorders>
              <w:bottom w:val="single" w:sz="8" w:color="959595"/>
            </w:tcBorders>
          </w:tcPr>
          <w:p>
            <w:pPr>
              <w:spacing w:after="0"/>
              <w:rPr>
                <w:sz w:val="17"/>
                <w:szCs w:val="17"/>
                <w:color w:val="auto"/>
              </w:rPr>
            </w:pPr>
          </w:p>
        </w:tc>
        <w:tc>
          <w:tcPr>
            <w:tcW w:w="1800" w:type="dxa"/>
            <w:vAlign w:val="bottom"/>
            <w:tcBorders>
              <w:bottom w:val="single" w:sz="8" w:color="959595"/>
            </w:tcBorders>
          </w:tcPr>
          <w:p>
            <w:pPr>
              <w:spacing w:after="0"/>
              <w:rPr>
                <w:sz w:val="17"/>
                <w:szCs w:val="17"/>
                <w:color w:val="auto"/>
              </w:rPr>
            </w:pPr>
          </w:p>
        </w:tc>
      </w:tr>
      <w:tr>
        <w:trPr>
          <w:trHeight w:val="371"/>
        </w:trPr>
        <w:tc>
          <w:tcPr>
            <w:tcW w:w="6660" w:type="dxa"/>
            <w:vAlign w:val="bottom"/>
            <w:gridSpan w:val="2"/>
          </w:tcPr>
          <w:p>
            <w:pPr>
              <w:ind w:left="80"/>
              <w:spacing w:after="0"/>
              <w:rPr>
                <w:sz w:val="20"/>
                <w:szCs w:val="20"/>
                <w:color w:val="auto"/>
              </w:rPr>
            </w:pPr>
            <w:r>
              <w:rPr>
                <w:rFonts w:ascii="Arial" w:cs="Arial" w:eastAsia="Arial" w:hAnsi="Arial"/>
                <w:sz w:val="13"/>
                <w:szCs w:val="13"/>
                <w:b w:val="1"/>
                <w:bCs w:val="1"/>
                <w:color w:val="23628F"/>
              </w:rPr>
              <w:t>Stephen D. Milligan (Fiscal 2020)</w:t>
            </w:r>
          </w:p>
        </w:tc>
        <w:tc>
          <w:tcPr>
            <w:tcW w:w="2780" w:type="dxa"/>
            <w:vAlign w:val="bottom"/>
          </w:tcPr>
          <w:p>
            <w:pPr>
              <w:spacing w:after="0"/>
              <w:rPr>
                <w:sz w:val="24"/>
                <w:szCs w:val="24"/>
                <w:color w:val="auto"/>
              </w:rPr>
            </w:pPr>
          </w:p>
        </w:tc>
        <w:tc>
          <w:tcPr>
            <w:tcW w:w="1800" w:type="dxa"/>
            <w:vAlign w:val="bottom"/>
          </w:tcPr>
          <w:p>
            <w:pPr>
              <w:jc w:val="right"/>
              <w:ind w:right="13"/>
              <w:spacing w:after="0"/>
              <w:rPr>
                <w:sz w:val="20"/>
                <w:szCs w:val="20"/>
                <w:color w:val="auto"/>
              </w:rPr>
            </w:pPr>
            <w:r>
              <w:rPr>
                <w:rFonts w:ascii="Arial" w:cs="Arial" w:eastAsia="Arial" w:hAnsi="Arial"/>
                <w:sz w:val="13"/>
                <w:szCs w:val="13"/>
                <w:color w:val="auto"/>
              </w:rPr>
              <w:t>15,125,000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-599440</wp:posOffset>
            </wp:positionV>
            <wp:extent cx="7132320" cy="7372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737235"/>
                    </a:xfrm>
                    <a:prstGeom prst="rect">
                      <a:avLst/>
                    </a:prstGeom>
                    <a:noFill/>
                  </pic:spPr>
                </pic:pic>
              </a:graphicData>
            </a:graphic>
          </wp:anchor>
        </w:drawing>
      </w:r>
    </w:p>
    <w:p>
      <w:pPr>
        <w:spacing w:after="0" w:line="304" w:lineRule="exact"/>
        <w:rPr>
          <w:sz w:val="20"/>
          <w:szCs w:val="20"/>
          <w:color w:val="auto"/>
        </w:rPr>
      </w:pPr>
    </w:p>
    <w:p>
      <w:pPr>
        <w:ind w:left="300" w:hanging="292"/>
        <w:spacing w:after="0"/>
        <w:tabs>
          <w:tab w:leader="none" w:pos="300" w:val="left"/>
        </w:tabs>
        <w:numPr>
          <w:ilvl w:val="0"/>
          <w:numId w:val="146"/>
        </w:numPr>
        <w:rPr>
          <w:rFonts w:ascii="Arial" w:cs="Arial" w:eastAsia="Arial" w:hAnsi="Arial"/>
          <w:sz w:val="11"/>
          <w:szCs w:val="11"/>
          <w:color w:val="auto"/>
        </w:rPr>
      </w:pPr>
      <w:r>
        <w:rPr>
          <w:rFonts w:ascii="Arial" w:cs="Arial" w:eastAsia="Arial" w:hAnsi="Arial"/>
          <w:sz w:val="13"/>
          <w:szCs w:val="13"/>
          <w:color w:val="auto"/>
        </w:rPr>
        <w:t>For fiscal 2020, Mr. Goeckeler was only entitled to receive a prorated portion of this amount for the portion of the fiscal year he was employed.</w:t>
      </w:r>
    </w:p>
    <w:p>
      <w:pPr>
        <w:spacing w:after="0" w:line="80" w:lineRule="exact"/>
        <w:rPr>
          <w:rFonts w:ascii="Arial" w:cs="Arial" w:eastAsia="Arial" w:hAnsi="Arial"/>
          <w:sz w:val="11"/>
          <w:szCs w:val="11"/>
          <w:color w:val="auto"/>
        </w:rPr>
      </w:pPr>
    </w:p>
    <w:p>
      <w:pPr>
        <w:ind w:left="300" w:right="40" w:hanging="292"/>
        <w:spacing w:after="0" w:line="258" w:lineRule="auto"/>
        <w:tabs>
          <w:tab w:leader="none" w:pos="300" w:val="left"/>
        </w:tabs>
        <w:numPr>
          <w:ilvl w:val="0"/>
          <w:numId w:val="146"/>
        </w:numPr>
        <w:rPr>
          <w:rFonts w:ascii="Arial" w:cs="Arial" w:eastAsia="Arial" w:hAnsi="Arial"/>
          <w:sz w:val="11"/>
          <w:szCs w:val="11"/>
          <w:color w:val="auto"/>
        </w:rPr>
      </w:pPr>
      <w:r>
        <w:rPr>
          <w:rFonts w:ascii="Arial" w:cs="Arial" w:eastAsia="Arial" w:hAnsi="Arial"/>
          <w:sz w:val="13"/>
          <w:szCs w:val="13"/>
          <w:color w:val="auto"/>
        </w:rPr>
        <w:t>Represents Mr. Goeckeler’s target annual LTI equity award grant value for fiscal 2021. Mr. Goeckeler did not receive an annual LTI award from our company in fiscal 2020 but received transition awards, discussed below, in connection with joining our company.</w:t>
      </w:r>
    </w:p>
    <w:p>
      <w:pPr>
        <w:spacing w:after="0" w:line="43" w:lineRule="exact"/>
        <w:rPr>
          <w:rFonts w:ascii="Arial" w:cs="Arial" w:eastAsia="Arial" w:hAnsi="Arial"/>
          <w:sz w:val="11"/>
          <w:szCs w:val="11"/>
          <w:color w:val="auto"/>
        </w:rPr>
      </w:pPr>
    </w:p>
    <w:p>
      <w:pPr>
        <w:ind w:left="300" w:right="60" w:hanging="292"/>
        <w:spacing w:after="0" w:line="258" w:lineRule="auto"/>
        <w:tabs>
          <w:tab w:leader="none" w:pos="300" w:val="left"/>
        </w:tabs>
        <w:numPr>
          <w:ilvl w:val="0"/>
          <w:numId w:val="146"/>
        </w:numPr>
        <w:rPr>
          <w:rFonts w:ascii="Arial" w:cs="Arial" w:eastAsia="Arial" w:hAnsi="Arial"/>
          <w:sz w:val="11"/>
          <w:szCs w:val="11"/>
          <w:color w:val="auto"/>
        </w:rPr>
      </w:pPr>
      <w:r>
        <w:rPr>
          <w:rFonts w:ascii="Arial" w:cs="Arial" w:eastAsia="Arial" w:hAnsi="Arial"/>
          <w:sz w:val="13"/>
          <w:szCs w:val="13"/>
          <w:color w:val="auto"/>
        </w:rPr>
        <w:t>Represents Mr. Milligan’s target annual LTI equity award grant value for fiscal 2020. Based on a Monte Carlo simulation used to determine the value of Mr. Milligan’s relative TSR PSU award, the accounting grant date fair value of his fiscal 2020 LTI equity award (RSUs and PSUs) as reported in the Summary Compensation Table is $14,405,144.</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23628F"/>
        </w:rPr>
        <w:t>MR. GOECKELER’S ONE-TIME TRANSITION AWARDS</w:t>
      </w: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628F"/>
        </w:rPr>
        <w:t>Considerations in Approving Mr. Goeckeler’s Transition Awards</w:t>
      </w:r>
    </w:p>
    <w:p>
      <w:pPr>
        <w:spacing w:after="0" w:line="231" w:lineRule="exact"/>
        <w:rPr>
          <w:sz w:val="20"/>
          <w:szCs w:val="20"/>
          <w:color w:val="auto"/>
        </w:rPr>
      </w:pPr>
    </w:p>
    <w:p>
      <w:pPr>
        <w:spacing w:after="0"/>
        <w:rPr>
          <w:sz w:val="20"/>
          <w:szCs w:val="20"/>
          <w:color w:val="auto"/>
        </w:rPr>
      </w:pPr>
      <w:r>
        <w:rPr>
          <w:rFonts w:ascii="Arial" w:cs="Arial" w:eastAsia="Arial" w:hAnsi="Arial"/>
          <w:sz w:val="13"/>
          <w:szCs w:val="13"/>
          <w:color w:val="auto"/>
        </w:rPr>
        <w:t>In evaluating Mr. Goeckeler’s transition awards, the Compensation and Talent Committee considered the following factors:</w:t>
      </w:r>
    </w:p>
    <w:p>
      <w:pPr>
        <w:spacing w:after="0" w:line="215" w:lineRule="exact"/>
        <w:rPr>
          <w:sz w:val="20"/>
          <w:szCs w:val="20"/>
          <w:color w:val="auto"/>
        </w:rPr>
      </w:pPr>
    </w:p>
    <w:p>
      <w:pPr>
        <w:ind w:left="240" w:hanging="232"/>
        <w:spacing w:after="0"/>
        <w:tabs>
          <w:tab w:leader="none" w:pos="240" w:val="left"/>
        </w:tabs>
        <w:numPr>
          <w:ilvl w:val="0"/>
          <w:numId w:val="147"/>
        </w:numPr>
        <w:rPr>
          <w:rFonts w:ascii="Arial" w:cs="Arial" w:eastAsia="Arial" w:hAnsi="Arial"/>
          <w:sz w:val="13"/>
          <w:szCs w:val="13"/>
          <w:color w:val="61C4AF"/>
        </w:rPr>
      </w:pPr>
      <w:r>
        <w:rPr>
          <w:rFonts w:ascii="Arial" w:cs="Arial" w:eastAsia="Arial" w:hAnsi="Arial"/>
          <w:sz w:val="13"/>
          <w:szCs w:val="13"/>
          <w:color w:val="auto"/>
        </w:rPr>
        <w:t>The competitive market in our industry, and in particular Silicon Valley, and the need to attract and retain top-tier talent</w:t>
      </w:r>
    </w:p>
    <w:p>
      <w:pPr>
        <w:spacing w:after="0" w:line="107" w:lineRule="exact"/>
        <w:rPr>
          <w:rFonts w:ascii="Arial" w:cs="Arial" w:eastAsia="Arial" w:hAnsi="Arial"/>
          <w:sz w:val="13"/>
          <w:szCs w:val="13"/>
          <w:color w:val="61C4AF"/>
        </w:rPr>
      </w:pPr>
    </w:p>
    <w:p>
      <w:pPr>
        <w:ind w:left="240" w:right="260" w:hanging="232"/>
        <w:spacing w:after="0" w:line="258" w:lineRule="auto"/>
        <w:tabs>
          <w:tab w:leader="none" w:pos="240" w:val="left"/>
        </w:tabs>
        <w:numPr>
          <w:ilvl w:val="0"/>
          <w:numId w:val="147"/>
        </w:numPr>
        <w:rPr>
          <w:rFonts w:ascii="Arial" w:cs="Arial" w:eastAsia="Arial" w:hAnsi="Arial"/>
          <w:sz w:val="13"/>
          <w:szCs w:val="13"/>
          <w:color w:val="61C4AF"/>
        </w:rPr>
      </w:pPr>
      <w:r>
        <w:rPr>
          <w:rFonts w:ascii="Arial" w:cs="Arial" w:eastAsia="Arial" w:hAnsi="Arial"/>
          <w:sz w:val="13"/>
          <w:szCs w:val="13"/>
          <w:color w:val="auto"/>
        </w:rPr>
        <w:t>Mr. Goeckeler’s career with his prior employer spanned 19 years and he was one of his prior employer’s most senior executives; Mr. Goeckeler’s prior employer is one of the largest and most successful technology companies in the world and our Board believes that our company and stockholders will benefit from the leadership of such a high-caliber executive</w:t>
      </w:r>
    </w:p>
    <w:p>
      <w:pPr>
        <w:spacing w:after="0" w:line="83" w:lineRule="exact"/>
        <w:rPr>
          <w:rFonts w:ascii="Arial" w:cs="Arial" w:eastAsia="Arial" w:hAnsi="Arial"/>
          <w:sz w:val="13"/>
          <w:szCs w:val="13"/>
          <w:color w:val="61C4AF"/>
        </w:rPr>
      </w:pPr>
    </w:p>
    <w:p>
      <w:pPr>
        <w:ind w:left="240" w:hanging="232"/>
        <w:spacing w:after="0"/>
        <w:tabs>
          <w:tab w:leader="none" w:pos="240" w:val="left"/>
        </w:tabs>
        <w:numPr>
          <w:ilvl w:val="0"/>
          <w:numId w:val="147"/>
        </w:numPr>
        <w:rPr>
          <w:rFonts w:ascii="Arial" w:cs="Arial" w:eastAsia="Arial" w:hAnsi="Arial"/>
          <w:sz w:val="13"/>
          <w:szCs w:val="13"/>
          <w:color w:val="61C4AF"/>
        </w:rPr>
      </w:pPr>
      <w:r>
        <w:rPr>
          <w:rFonts w:ascii="Arial" w:cs="Arial" w:eastAsia="Arial" w:hAnsi="Arial"/>
          <w:sz w:val="13"/>
          <w:szCs w:val="13"/>
          <w:color w:val="auto"/>
        </w:rPr>
        <w:t>Mr. Goeckeler was a successful and well-compensated executive with his prior employer, and he incurred a risk in leaving his company after 19 years to join a new company</w:t>
      </w:r>
    </w:p>
    <w:p>
      <w:pPr>
        <w:spacing w:after="0" w:line="107" w:lineRule="exact"/>
        <w:rPr>
          <w:rFonts w:ascii="Arial" w:cs="Arial" w:eastAsia="Arial" w:hAnsi="Arial"/>
          <w:sz w:val="13"/>
          <w:szCs w:val="13"/>
          <w:color w:val="61C4AF"/>
        </w:rPr>
      </w:pPr>
    </w:p>
    <w:p>
      <w:pPr>
        <w:ind w:left="240" w:hanging="232"/>
        <w:spacing w:after="0"/>
        <w:tabs>
          <w:tab w:leader="none" w:pos="240" w:val="left"/>
        </w:tabs>
        <w:numPr>
          <w:ilvl w:val="0"/>
          <w:numId w:val="147"/>
        </w:numPr>
        <w:rPr>
          <w:rFonts w:ascii="Arial" w:cs="Arial" w:eastAsia="Arial" w:hAnsi="Arial"/>
          <w:sz w:val="13"/>
          <w:szCs w:val="13"/>
          <w:color w:val="61C4AF"/>
        </w:rPr>
      </w:pPr>
      <w:r>
        <w:rPr>
          <w:rFonts w:ascii="Arial" w:cs="Arial" w:eastAsia="Arial" w:hAnsi="Arial"/>
          <w:sz w:val="13"/>
          <w:szCs w:val="13"/>
          <w:color w:val="auto"/>
        </w:rPr>
        <w:t>The magnitude of Mr. Goeckeler’s foregone compensation with his prior employer, and the need to replace substantial lost compensation opportunities in the near term, including:</w:t>
      </w:r>
    </w:p>
    <w:p>
      <w:pPr>
        <w:spacing w:after="0" w:line="112" w:lineRule="exact"/>
        <w:rPr>
          <w:rFonts w:ascii="Arial" w:cs="Arial" w:eastAsia="Arial" w:hAnsi="Arial"/>
          <w:sz w:val="13"/>
          <w:szCs w:val="13"/>
          <w:color w:val="61C4AF"/>
        </w:rPr>
      </w:pPr>
    </w:p>
    <w:p>
      <w:pPr>
        <w:ind w:left="500" w:hanging="222"/>
        <w:spacing w:after="0"/>
        <w:tabs>
          <w:tab w:leader="none" w:pos="500" w:val="left"/>
        </w:tabs>
        <w:numPr>
          <w:ilvl w:val="1"/>
          <w:numId w:val="147"/>
        </w:numPr>
        <w:rPr>
          <w:rFonts w:ascii="Arial" w:cs="Arial" w:eastAsia="Arial" w:hAnsi="Arial"/>
          <w:sz w:val="25"/>
          <w:szCs w:val="25"/>
          <w:color w:val="61C4AF"/>
          <w:vertAlign w:val="superscript"/>
        </w:rPr>
      </w:pPr>
      <w:r>
        <w:rPr>
          <w:rFonts w:ascii="Arial" w:cs="Arial" w:eastAsia="Arial" w:hAnsi="Arial"/>
          <w:sz w:val="13"/>
          <w:szCs w:val="13"/>
          <w:color w:val="auto"/>
        </w:rPr>
        <w:t>Approximately $26.5 million in outstanding PSUs at the target level of performance</w:t>
      </w:r>
      <w:r>
        <w:rPr>
          <w:rFonts w:ascii="Arial" w:cs="Arial" w:eastAsia="Arial" w:hAnsi="Arial"/>
          <w:sz w:val="22"/>
          <w:szCs w:val="22"/>
          <w:color w:val="auto"/>
          <w:vertAlign w:val="superscript"/>
        </w:rPr>
        <w:t>(1)</w:t>
      </w:r>
    </w:p>
    <w:p>
      <w:pPr>
        <w:spacing w:after="0" w:line="21" w:lineRule="exact"/>
        <w:rPr>
          <w:rFonts w:ascii="Arial" w:cs="Arial" w:eastAsia="Arial" w:hAnsi="Arial"/>
          <w:sz w:val="25"/>
          <w:szCs w:val="25"/>
          <w:color w:val="61C4AF"/>
          <w:vertAlign w:val="superscript"/>
        </w:rPr>
      </w:pPr>
    </w:p>
    <w:p>
      <w:pPr>
        <w:ind w:left="500" w:hanging="222"/>
        <w:spacing w:after="0" w:line="229" w:lineRule="auto"/>
        <w:tabs>
          <w:tab w:leader="none" w:pos="500" w:val="left"/>
        </w:tabs>
        <w:numPr>
          <w:ilvl w:val="1"/>
          <w:numId w:val="147"/>
        </w:numPr>
        <w:rPr>
          <w:rFonts w:ascii="Arial" w:cs="Arial" w:eastAsia="Arial" w:hAnsi="Arial"/>
          <w:sz w:val="25"/>
          <w:szCs w:val="25"/>
          <w:color w:val="61C4AF"/>
          <w:vertAlign w:val="superscript"/>
        </w:rPr>
      </w:pPr>
      <w:r>
        <w:rPr>
          <w:rFonts w:ascii="Arial" w:cs="Arial" w:eastAsia="Arial" w:hAnsi="Arial"/>
          <w:sz w:val="13"/>
          <w:szCs w:val="13"/>
          <w:color w:val="auto"/>
        </w:rPr>
        <w:t>Approximately $12.0 million in outstanding RSUs, of which approximately $10.7 million in outstanding RSUs were scheduled to vest before the end of July 2022</w:t>
      </w:r>
      <w:r>
        <w:rPr>
          <w:rFonts w:ascii="Arial" w:cs="Arial" w:eastAsia="Arial" w:hAnsi="Arial"/>
          <w:sz w:val="22"/>
          <w:szCs w:val="22"/>
          <w:color w:val="auto"/>
          <w:vertAlign w:val="superscript"/>
        </w:rPr>
        <w:t>(1)</w:t>
      </w:r>
    </w:p>
    <w:p>
      <w:pPr>
        <w:spacing w:after="0" w:line="4" w:lineRule="exact"/>
        <w:rPr>
          <w:rFonts w:ascii="Arial" w:cs="Arial" w:eastAsia="Arial" w:hAnsi="Arial"/>
          <w:sz w:val="25"/>
          <w:szCs w:val="25"/>
          <w:color w:val="61C4AF"/>
          <w:vertAlign w:val="superscript"/>
        </w:rPr>
      </w:pPr>
    </w:p>
    <w:p>
      <w:pPr>
        <w:ind w:left="500" w:hanging="222"/>
        <w:spacing w:after="0"/>
        <w:tabs>
          <w:tab w:leader="none" w:pos="500" w:val="left"/>
        </w:tabs>
        <w:numPr>
          <w:ilvl w:val="1"/>
          <w:numId w:val="147"/>
        </w:numPr>
        <w:rPr>
          <w:rFonts w:ascii="Arial" w:cs="Arial" w:eastAsia="Arial" w:hAnsi="Arial"/>
          <w:sz w:val="13"/>
          <w:szCs w:val="13"/>
          <w:color w:val="61C4AF"/>
        </w:rPr>
      </w:pPr>
      <w:r>
        <w:rPr>
          <w:rFonts w:ascii="Arial" w:cs="Arial" w:eastAsia="Arial" w:hAnsi="Arial"/>
          <w:sz w:val="13"/>
          <w:szCs w:val="13"/>
          <w:color w:val="auto"/>
        </w:rPr>
        <w:t>Approximately $1.3 million fiscal 2020 target annual incentive award opportunity</w:t>
      </w:r>
    </w:p>
    <w:p>
      <w:pPr>
        <w:spacing w:after="0" w:line="107" w:lineRule="exact"/>
        <w:rPr>
          <w:rFonts w:ascii="Arial" w:cs="Arial" w:eastAsia="Arial" w:hAnsi="Arial"/>
          <w:sz w:val="13"/>
          <w:szCs w:val="13"/>
          <w:color w:val="61C4AF"/>
        </w:rPr>
      </w:pPr>
    </w:p>
    <w:p>
      <w:pPr>
        <w:ind w:left="240" w:right="180" w:hanging="232"/>
        <w:spacing w:after="0" w:line="258" w:lineRule="auto"/>
        <w:tabs>
          <w:tab w:leader="none" w:pos="240" w:val="left"/>
        </w:tabs>
        <w:numPr>
          <w:ilvl w:val="0"/>
          <w:numId w:val="147"/>
        </w:numPr>
        <w:rPr>
          <w:rFonts w:ascii="Arial" w:cs="Arial" w:eastAsia="Arial" w:hAnsi="Arial"/>
          <w:sz w:val="13"/>
          <w:szCs w:val="13"/>
          <w:color w:val="61C4AF"/>
        </w:rPr>
      </w:pPr>
      <w:r>
        <w:rPr>
          <w:rFonts w:ascii="Arial" w:cs="Arial" w:eastAsia="Arial" w:hAnsi="Arial"/>
          <w:sz w:val="13"/>
          <w:szCs w:val="13"/>
          <w:color w:val="auto"/>
        </w:rPr>
        <w:t>Mr. Goeckeler’s transition awards should be structured to align his interests with the long-term interests of our stockholders and a majority of the awards should be subject to rigorous performance conditions covering a multi-year period</w:t>
      </w:r>
    </w:p>
    <w:p>
      <w:pPr>
        <w:spacing w:after="0" w:line="219" w:lineRule="exact"/>
        <w:rPr>
          <w:sz w:val="20"/>
          <w:szCs w:val="20"/>
          <w:color w:val="auto"/>
        </w:rPr>
      </w:pPr>
    </w:p>
    <w:p>
      <w:pPr>
        <w:ind w:left="300" w:right="60" w:hanging="292"/>
        <w:spacing w:after="0" w:line="242" w:lineRule="auto"/>
        <w:tabs>
          <w:tab w:leader="none" w:pos="300" w:val="left"/>
        </w:tabs>
        <w:numPr>
          <w:ilvl w:val="0"/>
          <w:numId w:val="148"/>
        </w:numPr>
        <w:rPr>
          <w:rFonts w:ascii="Arial" w:cs="Arial" w:eastAsia="Arial" w:hAnsi="Arial"/>
          <w:sz w:val="11"/>
          <w:szCs w:val="11"/>
          <w:color w:val="auto"/>
        </w:rPr>
      </w:pPr>
      <w:r>
        <w:rPr>
          <w:rFonts w:ascii="Arial" w:cs="Arial" w:eastAsia="Arial" w:hAnsi="Arial"/>
          <w:sz w:val="13"/>
          <w:szCs w:val="13"/>
          <w:color w:val="auto"/>
        </w:rPr>
        <w:t>The values for Mr. Goeckeler’s foregone equity awards are presented based on the number of his unvested PSUs (at the applicable target level of performance) and RSUs as disclosed in his prior employer’s 2019 proxy statement, multiplied by the closing price of his prior employer’s common stock on the Nasdaq Stock Market on February 14, 2020 ($46.97), which the Compensation and Talent Committee used in evaluating the PSUs and RSUs. The “Outstanding Equity Awards At 2019 Fiscal Year-End” table in his prior employer’s 2019 proxy statement reflects the PSUs at the maximum performance level for the awards scheduled to vest in his prior employer’s fiscal 2021 and 2022; the values above include these awards at the applicable target (not maximum) level of performance. A portion of the PSUs were forfeited when Mr. Goeckeler’s employment with his prior employer terminated, and Mr. Goeckeler remained eligible to vest in a portion of the PSUs under the award provisions for retirement. All of the RSUs were forfeited.</w:t>
      </w:r>
    </w:p>
    <w:p>
      <w:pPr>
        <w:spacing w:after="0" w:line="18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23628F"/>
        </w:rPr>
        <w:t>2020 PROXY STATEMENT</w:t>
      </w:r>
      <w:r>
        <w:rPr>
          <w:sz w:val="20"/>
          <w:szCs w:val="20"/>
          <w:color w:val="auto"/>
        </w:rPr>
        <w:tab/>
      </w:r>
      <w:r>
        <w:rPr>
          <w:rFonts w:ascii="Arial" w:cs="Arial" w:eastAsia="Arial" w:hAnsi="Arial"/>
          <w:sz w:val="16"/>
          <w:szCs w:val="16"/>
          <w:b w:val="1"/>
          <w:bCs w:val="1"/>
          <w:color w:val="23628F"/>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153275"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23628F"/>
        </w:rPr>
        <w:t>COMPENSATION DISCUSSION AND ANALYSIS</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628F"/>
        </w:rPr>
        <w:t>Transition Award Structure</w:t>
      </w:r>
    </w:p>
    <w:p>
      <w:pPr>
        <w:spacing w:after="0" w:line="231" w:lineRule="exact"/>
        <w:rPr>
          <w:sz w:val="20"/>
          <w:szCs w:val="20"/>
          <w:color w:val="auto"/>
        </w:rPr>
      </w:pPr>
    </w:p>
    <w:p>
      <w:pPr>
        <w:spacing w:after="0"/>
        <w:rPr>
          <w:sz w:val="20"/>
          <w:szCs w:val="20"/>
          <w:color w:val="auto"/>
        </w:rPr>
      </w:pPr>
      <w:r>
        <w:rPr>
          <w:rFonts w:ascii="Arial" w:cs="Arial" w:eastAsia="Arial" w:hAnsi="Arial"/>
          <w:sz w:val="13"/>
          <w:szCs w:val="13"/>
          <w:color w:val="auto"/>
        </w:rPr>
        <w:t>After considering the foregoing factors, the Compensation and Talent Committee approved the following transition arrangements for Mr. Goeckeler: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233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23390"/>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84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3"/>
                <w:szCs w:val="13"/>
                <w:b w:val="1"/>
                <w:bCs w:val="1"/>
                <w:color w:val="auto"/>
              </w:rPr>
              <w:t>Transition Award Component</w:t>
            </w:r>
          </w:p>
        </w:tc>
        <w:tc>
          <w:tcPr>
            <w:tcW w:w="560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Material Terms</w:t>
            </w:r>
          </w:p>
        </w:tc>
        <w:tc>
          <w:tcPr>
            <w:tcW w:w="280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Design Considerations</w:t>
            </w:r>
          </w:p>
        </w:tc>
        <w:tc>
          <w:tcPr>
            <w:tcW w:w="0" w:type="dxa"/>
            <w:vAlign w:val="bottom"/>
          </w:tcPr>
          <w:p>
            <w:pPr>
              <w:spacing w:after="0"/>
              <w:rPr>
                <w:sz w:val="1"/>
                <w:szCs w:val="1"/>
                <w:color w:val="auto"/>
              </w:rPr>
            </w:pPr>
          </w:p>
        </w:tc>
      </w:tr>
      <w:tr>
        <w:trPr>
          <w:trHeight w:val="175"/>
        </w:trPr>
        <w:tc>
          <w:tcPr>
            <w:tcW w:w="2840" w:type="dxa"/>
            <w:vAlign w:val="bottom"/>
          </w:tcPr>
          <w:p>
            <w:pPr>
              <w:ind w:left="120"/>
              <w:spacing w:after="0"/>
              <w:rPr>
                <w:sz w:val="20"/>
                <w:szCs w:val="20"/>
                <w:color w:val="auto"/>
              </w:rPr>
            </w:pPr>
            <w:r>
              <w:rPr>
                <w:rFonts w:ascii="Arial" w:cs="Arial" w:eastAsia="Arial" w:hAnsi="Arial"/>
                <w:sz w:val="13"/>
                <w:szCs w:val="13"/>
                <w:b w:val="1"/>
                <w:bCs w:val="1"/>
                <w:color w:val="23628F"/>
              </w:rPr>
              <w:t>$3.5 Million Cash Award</w:t>
            </w:r>
          </w:p>
        </w:tc>
        <w:tc>
          <w:tcPr>
            <w:tcW w:w="5600" w:type="dxa"/>
            <w:vAlign w:val="bottom"/>
          </w:tcPr>
          <w:p>
            <w:pPr>
              <w:ind w:left="120"/>
              <w:spacing w:after="0"/>
              <w:rPr>
                <w:sz w:val="20"/>
                <w:szCs w:val="20"/>
                <w:color w:val="auto"/>
              </w:rPr>
            </w:pPr>
            <w:r>
              <w:rPr>
                <w:rFonts w:ascii="Arial" w:cs="Arial" w:eastAsia="Arial" w:hAnsi="Arial"/>
                <w:sz w:val="13"/>
                <w:szCs w:val="13"/>
                <w:color w:val="61C4AF"/>
              </w:rPr>
              <w:t xml:space="preserve">●   </w:t>
            </w:r>
            <w:r>
              <w:rPr>
                <w:rFonts w:ascii="Arial" w:cs="Arial" w:eastAsia="Arial" w:hAnsi="Arial"/>
                <w:sz w:val="13"/>
                <w:szCs w:val="13"/>
                <w:color w:val="000000"/>
              </w:rPr>
              <w:t>This award is subject to forfeiture if Mr. Goeckeler’s employment terminates (other</w:t>
            </w:r>
          </w:p>
        </w:tc>
        <w:tc>
          <w:tcPr>
            <w:tcW w:w="2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40" w:type="dxa"/>
            <w:vAlign w:val="bottom"/>
            <w:tcBorders>
              <w:bottom w:val="single" w:sz="8" w:color="959595"/>
            </w:tcBorders>
          </w:tcPr>
          <w:p>
            <w:pPr>
              <w:spacing w:after="0"/>
              <w:rPr>
                <w:sz w:val="15"/>
                <w:szCs w:val="15"/>
                <w:color w:val="auto"/>
              </w:rPr>
            </w:pPr>
          </w:p>
        </w:tc>
        <w:tc>
          <w:tcPr>
            <w:tcW w:w="5600" w:type="dxa"/>
            <w:vAlign w:val="bottom"/>
            <w:tcBorders>
              <w:bottom w:val="single" w:sz="8" w:color="959595"/>
            </w:tcBorders>
          </w:tcPr>
          <w:p>
            <w:pPr>
              <w:ind w:left="360"/>
              <w:spacing w:after="0"/>
              <w:rPr>
                <w:sz w:val="20"/>
                <w:szCs w:val="20"/>
                <w:color w:val="auto"/>
              </w:rPr>
            </w:pPr>
            <w:r>
              <w:rPr>
                <w:rFonts w:ascii="Arial" w:cs="Arial" w:eastAsia="Arial" w:hAnsi="Arial"/>
                <w:sz w:val="13"/>
                <w:szCs w:val="13"/>
                <w:color w:val="auto"/>
              </w:rPr>
              <w:t>than by us without cause) within 12 months of his first day of employment.</w:t>
            </w:r>
          </w:p>
        </w:tc>
        <w:tc>
          <w:tcPr>
            <w:tcW w:w="2800" w:type="dxa"/>
            <w:vAlign w:val="bottom"/>
          </w:tcPr>
          <w:p>
            <w:pPr>
              <w:ind w:left="140"/>
              <w:spacing w:after="0"/>
              <w:rPr>
                <w:sz w:val="20"/>
                <w:szCs w:val="20"/>
                <w:color w:val="auto"/>
              </w:rPr>
            </w:pPr>
            <w:r>
              <w:rPr>
                <w:rFonts w:ascii="Arial" w:cs="Arial" w:eastAsia="Arial" w:hAnsi="Arial"/>
                <w:sz w:val="13"/>
                <w:szCs w:val="13"/>
                <w:color w:val="61C4AF"/>
              </w:rPr>
              <w:t xml:space="preserve">●   </w:t>
            </w:r>
            <w:r>
              <w:rPr>
                <w:rFonts w:ascii="Arial" w:cs="Arial" w:eastAsia="Arial" w:hAnsi="Arial"/>
                <w:sz w:val="13"/>
                <w:szCs w:val="13"/>
                <w:b w:val="1"/>
                <w:bCs w:val="1"/>
                <w:color w:val="000000"/>
              </w:rPr>
              <w:t>100%</w:t>
            </w:r>
            <w:r>
              <w:rPr>
                <w:rFonts w:ascii="Arial" w:cs="Arial" w:eastAsia="Arial" w:hAnsi="Arial"/>
                <w:sz w:val="13"/>
                <w:szCs w:val="13"/>
                <w:color w:val="61C4AF"/>
              </w:rPr>
              <w:t xml:space="preserve"> </w:t>
            </w:r>
            <w:r>
              <w:rPr>
                <w:rFonts w:ascii="Arial" w:cs="Arial" w:eastAsia="Arial" w:hAnsi="Arial"/>
                <w:sz w:val="13"/>
                <w:szCs w:val="13"/>
                <w:color w:val="000000"/>
              </w:rPr>
              <w:t>of the transition awards include</w:t>
            </w:r>
          </w:p>
        </w:tc>
        <w:tc>
          <w:tcPr>
            <w:tcW w:w="0" w:type="dxa"/>
            <w:vAlign w:val="bottom"/>
          </w:tcPr>
          <w:p>
            <w:pPr>
              <w:spacing w:after="0"/>
              <w:rPr>
                <w:sz w:val="1"/>
                <w:szCs w:val="1"/>
                <w:color w:val="auto"/>
              </w:rPr>
            </w:pPr>
          </w:p>
        </w:tc>
      </w:tr>
      <w:tr>
        <w:trPr>
          <w:trHeight w:val="152"/>
        </w:trPr>
        <w:tc>
          <w:tcPr>
            <w:tcW w:w="2840" w:type="dxa"/>
            <w:vAlign w:val="bottom"/>
          </w:tcPr>
          <w:p>
            <w:pPr>
              <w:ind w:left="120"/>
              <w:spacing w:after="0"/>
              <w:rPr>
                <w:sz w:val="20"/>
                <w:szCs w:val="20"/>
                <w:color w:val="auto"/>
              </w:rPr>
            </w:pPr>
            <w:r>
              <w:rPr>
                <w:rFonts w:ascii="Arial" w:cs="Arial" w:eastAsia="Arial" w:hAnsi="Arial"/>
                <w:sz w:val="13"/>
                <w:szCs w:val="13"/>
                <w:b w:val="1"/>
                <w:bCs w:val="1"/>
                <w:color w:val="23628F"/>
              </w:rPr>
              <w:t>$10 Million RSU</w:t>
            </w:r>
          </w:p>
        </w:tc>
        <w:tc>
          <w:tcPr>
            <w:tcW w:w="5600" w:type="dxa"/>
            <w:vAlign w:val="bottom"/>
          </w:tcPr>
          <w:p>
            <w:pPr>
              <w:ind w:left="120"/>
              <w:spacing w:after="0"/>
              <w:rPr>
                <w:sz w:val="20"/>
                <w:szCs w:val="20"/>
                <w:color w:val="auto"/>
              </w:rPr>
            </w:pPr>
            <w:r>
              <w:rPr>
                <w:rFonts w:ascii="Arial" w:cs="Arial" w:eastAsia="Arial" w:hAnsi="Arial"/>
                <w:sz w:val="13"/>
                <w:szCs w:val="13"/>
                <w:color w:val="61C4AF"/>
              </w:rPr>
              <w:t xml:space="preserve">●   </w:t>
            </w:r>
            <w:r>
              <w:rPr>
                <w:rFonts w:ascii="Arial" w:cs="Arial" w:eastAsia="Arial" w:hAnsi="Arial"/>
                <w:sz w:val="13"/>
                <w:szCs w:val="13"/>
                <w:color w:val="000000"/>
              </w:rPr>
              <w:t>This award vests 50% on each of the first two anniversaries of the grant date (subject</w:t>
            </w:r>
          </w:p>
        </w:tc>
        <w:tc>
          <w:tcPr>
            <w:tcW w:w="2800" w:type="dxa"/>
            <w:vAlign w:val="bottom"/>
          </w:tcPr>
          <w:p>
            <w:pPr>
              <w:ind w:left="380"/>
              <w:spacing w:after="0"/>
              <w:rPr>
                <w:sz w:val="20"/>
                <w:szCs w:val="20"/>
                <w:color w:val="auto"/>
              </w:rPr>
            </w:pPr>
            <w:r>
              <w:rPr>
                <w:rFonts w:ascii="Arial" w:cs="Arial" w:eastAsia="Arial" w:hAnsi="Arial"/>
                <w:sz w:val="13"/>
                <w:szCs w:val="13"/>
                <w:color w:val="auto"/>
              </w:rPr>
              <w:t>service-based vesting requirements.</w:t>
            </w:r>
          </w:p>
        </w:tc>
        <w:tc>
          <w:tcPr>
            <w:tcW w:w="0" w:type="dxa"/>
            <w:vAlign w:val="bottom"/>
          </w:tcPr>
          <w:p>
            <w:pPr>
              <w:spacing w:after="0"/>
              <w:rPr>
                <w:sz w:val="1"/>
                <w:szCs w:val="1"/>
                <w:color w:val="auto"/>
              </w:rPr>
            </w:pPr>
          </w:p>
        </w:tc>
      </w:tr>
      <w:tr>
        <w:trPr>
          <w:trHeight w:val="179"/>
        </w:trPr>
        <w:tc>
          <w:tcPr>
            <w:tcW w:w="2840" w:type="dxa"/>
            <w:vAlign w:val="bottom"/>
          </w:tcPr>
          <w:p>
            <w:pPr>
              <w:ind w:left="120"/>
              <w:spacing w:after="0"/>
              <w:rPr>
                <w:sz w:val="20"/>
                <w:szCs w:val="20"/>
                <w:color w:val="auto"/>
              </w:rPr>
            </w:pPr>
            <w:r>
              <w:rPr>
                <w:rFonts w:ascii="Arial" w:cs="Arial" w:eastAsia="Arial" w:hAnsi="Arial"/>
                <w:sz w:val="13"/>
                <w:szCs w:val="13"/>
                <w:b w:val="1"/>
                <w:bCs w:val="1"/>
                <w:color w:val="23628F"/>
              </w:rPr>
              <w:t>Make-Whole Award</w:t>
            </w:r>
          </w:p>
        </w:tc>
        <w:tc>
          <w:tcPr>
            <w:tcW w:w="5600" w:type="dxa"/>
            <w:vAlign w:val="bottom"/>
          </w:tcPr>
          <w:p>
            <w:pPr>
              <w:ind w:left="360"/>
              <w:spacing w:after="0"/>
              <w:rPr>
                <w:sz w:val="20"/>
                <w:szCs w:val="20"/>
                <w:color w:val="auto"/>
              </w:rPr>
            </w:pPr>
            <w:r>
              <w:rPr>
                <w:rFonts w:ascii="Arial" w:cs="Arial" w:eastAsia="Arial" w:hAnsi="Arial"/>
                <w:sz w:val="13"/>
                <w:szCs w:val="13"/>
                <w:color w:val="auto"/>
              </w:rPr>
              <w:t>to acceleration upon termination of Mr. Goeckeler’s employment under certain</w:t>
            </w:r>
          </w:p>
        </w:tc>
        <w:tc>
          <w:tcPr>
            <w:tcW w:w="2800" w:type="dxa"/>
            <w:vAlign w:val="bottom"/>
          </w:tcPr>
          <w:p>
            <w:pPr>
              <w:ind w:left="140"/>
              <w:spacing w:after="0"/>
              <w:rPr>
                <w:sz w:val="20"/>
                <w:szCs w:val="20"/>
                <w:color w:val="auto"/>
              </w:rPr>
            </w:pPr>
            <w:r>
              <w:rPr>
                <w:rFonts w:ascii="Arial" w:cs="Arial" w:eastAsia="Arial" w:hAnsi="Arial"/>
                <w:sz w:val="13"/>
                <w:szCs w:val="13"/>
                <w:color w:val="61C4AF"/>
              </w:rPr>
              <w:t xml:space="preserve">●   </w:t>
            </w:r>
            <w:r>
              <w:rPr>
                <w:rFonts w:ascii="Arial" w:cs="Arial" w:eastAsia="Arial" w:hAnsi="Arial"/>
                <w:sz w:val="13"/>
                <w:szCs w:val="13"/>
                <w:color w:val="000000"/>
              </w:rPr>
              <w:t>Approximately</w:t>
            </w:r>
            <w:r>
              <w:rPr>
                <w:rFonts w:ascii="Arial" w:cs="Arial" w:eastAsia="Arial" w:hAnsi="Arial"/>
                <w:sz w:val="13"/>
                <w:szCs w:val="13"/>
                <w:color w:val="61C4AF"/>
              </w:rPr>
              <w:t xml:space="preserve"> </w:t>
            </w:r>
            <w:r>
              <w:rPr>
                <w:rFonts w:ascii="Arial" w:cs="Arial" w:eastAsia="Arial" w:hAnsi="Arial"/>
                <w:sz w:val="13"/>
                <w:szCs w:val="13"/>
                <w:b w:val="1"/>
                <w:bCs w:val="1"/>
                <w:color w:val="000000"/>
              </w:rPr>
              <w:t>90%</w:t>
            </w:r>
            <w:r>
              <w:rPr>
                <w:rFonts w:ascii="Arial" w:cs="Arial" w:eastAsia="Arial" w:hAnsi="Arial"/>
                <w:sz w:val="13"/>
                <w:szCs w:val="13"/>
                <w:color w:val="61C4AF"/>
              </w:rPr>
              <w:t xml:space="preserve"> </w:t>
            </w:r>
            <w:r>
              <w:rPr>
                <w:rFonts w:ascii="Arial" w:cs="Arial" w:eastAsia="Arial" w:hAnsi="Arial"/>
                <w:sz w:val="13"/>
                <w:szCs w:val="13"/>
                <w:color w:val="000000"/>
              </w:rPr>
              <w:t>of the transition</w:t>
            </w:r>
          </w:p>
        </w:tc>
        <w:tc>
          <w:tcPr>
            <w:tcW w:w="0" w:type="dxa"/>
            <w:vAlign w:val="bottom"/>
          </w:tcPr>
          <w:p>
            <w:pPr>
              <w:spacing w:after="0"/>
              <w:rPr>
                <w:sz w:val="1"/>
                <w:szCs w:val="1"/>
                <w:color w:val="auto"/>
              </w:rPr>
            </w:pPr>
          </w:p>
        </w:tc>
      </w:tr>
      <w:tr>
        <w:trPr>
          <w:trHeight w:val="175"/>
        </w:trPr>
        <w:tc>
          <w:tcPr>
            <w:tcW w:w="2840" w:type="dxa"/>
            <w:vAlign w:val="bottom"/>
          </w:tcPr>
          <w:p>
            <w:pPr>
              <w:spacing w:after="0"/>
              <w:rPr>
                <w:sz w:val="15"/>
                <w:szCs w:val="15"/>
                <w:color w:val="auto"/>
              </w:rPr>
            </w:pPr>
          </w:p>
        </w:tc>
        <w:tc>
          <w:tcPr>
            <w:tcW w:w="5600" w:type="dxa"/>
            <w:vAlign w:val="bottom"/>
          </w:tcPr>
          <w:p>
            <w:pPr>
              <w:ind w:left="360"/>
              <w:spacing w:after="0"/>
              <w:rPr>
                <w:sz w:val="20"/>
                <w:szCs w:val="20"/>
                <w:color w:val="auto"/>
              </w:rPr>
            </w:pPr>
            <w:r>
              <w:rPr>
                <w:rFonts w:ascii="Arial" w:cs="Arial" w:eastAsia="Arial" w:hAnsi="Arial"/>
                <w:sz w:val="13"/>
                <w:szCs w:val="13"/>
                <w:color w:val="auto"/>
              </w:rPr>
              <w:t>circumstances).</w:t>
            </w:r>
          </w:p>
        </w:tc>
        <w:tc>
          <w:tcPr>
            <w:tcW w:w="2800" w:type="dxa"/>
            <w:vAlign w:val="bottom"/>
          </w:tcPr>
          <w:p>
            <w:pPr>
              <w:ind w:left="380"/>
              <w:spacing w:after="0"/>
              <w:rPr>
                <w:sz w:val="20"/>
                <w:szCs w:val="20"/>
                <w:color w:val="auto"/>
              </w:rPr>
            </w:pPr>
            <w:r>
              <w:rPr>
                <w:rFonts w:ascii="Arial" w:cs="Arial" w:eastAsia="Arial" w:hAnsi="Arial"/>
                <w:sz w:val="13"/>
                <w:szCs w:val="13"/>
                <w:color w:val="auto"/>
              </w:rPr>
              <w:t>awards were granted in equity that</w:t>
            </w:r>
          </w:p>
        </w:tc>
        <w:tc>
          <w:tcPr>
            <w:tcW w:w="0" w:type="dxa"/>
            <w:vAlign w:val="bottom"/>
          </w:tcPr>
          <w:p>
            <w:pPr>
              <w:spacing w:after="0"/>
              <w:rPr>
                <w:sz w:val="1"/>
                <w:szCs w:val="1"/>
                <w:color w:val="auto"/>
              </w:rPr>
            </w:pPr>
          </w:p>
        </w:tc>
      </w:tr>
      <w:tr>
        <w:trPr>
          <w:trHeight w:val="175"/>
        </w:trPr>
        <w:tc>
          <w:tcPr>
            <w:tcW w:w="2840" w:type="dxa"/>
            <w:vAlign w:val="bottom"/>
          </w:tcPr>
          <w:p>
            <w:pPr>
              <w:spacing w:after="0"/>
              <w:rPr>
                <w:sz w:val="15"/>
                <w:szCs w:val="15"/>
                <w:color w:val="auto"/>
              </w:rPr>
            </w:pPr>
          </w:p>
        </w:tc>
        <w:tc>
          <w:tcPr>
            <w:tcW w:w="5600" w:type="dxa"/>
            <w:vAlign w:val="bottom"/>
          </w:tcPr>
          <w:p>
            <w:pPr>
              <w:ind w:left="120"/>
              <w:spacing w:after="0"/>
              <w:rPr>
                <w:sz w:val="20"/>
                <w:szCs w:val="20"/>
                <w:color w:val="auto"/>
              </w:rPr>
            </w:pPr>
            <w:r>
              <w:rPr>
                <w:rFonts w:ascii="Arial" w:cs="Arial" w:eastAsia="Arial" w:hAnsi="Arial"/>
                <w:sz w:val="13"/>
                <w:szCs w:val="13"/>
                <w:color w:val="61C4AF"/>
              </w:rPr>
              <w:t xml:space="preserve">●   </w:t>
            </w:r>
            <w:r>
              <w:rPr>
                <w:rFonts w:ascii="Arial" w:cs="Arial" w:eastAsia="Arial" w:hAnsi="Arial"/>
                <w:sz w:val="13"/>
                <w:szCs w:val="13"/>
                <w:color w:val="000000"/>
              </w:rPr>
              <w:t>Intended to replace the forfeited RSU values during the next two fiscal years with Mr.</w:t>
            </w:r>
          </w:p>
        </w:tc>
        <w:tc>
          <w:tcPr>
            <w:tcW w:w="2800" w:type="dxa"/>
            <w:vAlign w:val="bottom"/>
          </w:tcPr>
          <w:p>
            <w:pPr>
              <w:ind w:left="380"/>
              <w:spacing w:after="0"/>
              <w:rPr>
                <w:sz w:val="20"/>
                <w:szCs w:val="20"/>
                <w:color w:val="auto"/>
              </w:rPr>
            </w:pPr>
            <w:r>
              <w:rPr>
                <w:rFonts w:ascii="Arial" w:cs="Arial" w:eastAsia="Arial" w:hAnsi="Arial"/>
                <w:sz w:val="13"/>
                <w:szCs w:val="13"/>
                <w:color w:val="auto"/>
              </w:rPr>
              <w:t>vests over multiple years.</w:t>
            </w:r>
          </w:p>
        </w:tc>
        <w:tc>
          <w:tcPr>
            <w:tcW w:w="0" w:type="dxa"/>
            <w:vAlign w:val="bottom"/>
          </w:tcPr>
          <w:p>
            <w:pPr>
              <w:spacing w:after="0"/>
              <w:rPr>
                <w:sz w:val="1"/>
                <w:szCs w:val="1"/>
                <w:color w:val="auto"/>
              </w:rPr>
            </w:pPr>
          </w:p>
        </w:tc>
      </w:tr>
      <w:tr>
        <w:trPr>
          <w:trHeight w:val="176"/>
        </w:trPr>
        <w:tc>
          <w:tcPr>
            <w:tcW w:w="2840" w:type="dxa"/>
            <w:vAlign w:val="bottom"/>
            <w:tcBorders>
              <w:bottom w:val="single" w:sz="8" w:color="959595"/>
            </w:tcBorders>
          </w:tcPr>
          <w:p>
            <w:pPr>
              <w:spacing w:after="0"/>
              <w:rPr>
                <w:sz w:val="15"/>
                <w:szCs w:val="15"/>
                <w:color w:val="auto"/>
              </w:rPr>
            </w:pPr>
          </w:p>
        </w:tc>
        <w:tc>
          <w:tcPr>
            <w:tcW w:w="5600" w:type="dxa"/>
            <w:vAlign w:val="bottom"/>
            <w:tcBorders>
              <w:bottom w:val="single" w:sz="8" w:color="959595"/>
            </w:tcBorders>
          </w:tcPr>
          <w:p>
            <w:pPr>
              <w:ind w:left="360"/>
              <w:spacing w:after="0"/>
              <w:rPr>
                <w:sz w:val="20"/>
                <w:szCs w:val="20"/>
                <w:color w:val="auto"/>
              </w:rPr>
            </w:pPr>
            <w:r>
              <w:rPr>
                <w:rFonts w:ascii="Arial" w:cs="Arial" w:eastAsia="Arial" w:hAnsi="Arial"/>
                <w:sz w:val="13"/>
                <w:szCs w:val="13"/>
                <w:color w:val="auto"/>
              </w:rPr>
              <w:t>Goeckeler’s prior employer.</w:t>
            </w:r>
          </w:p>
        </w:tc>
        <w:tc>
          <w:tcPr>
            <w:tcW w:w="2800" w:type="dxa"/>
            <w:vAlign w:val="bottom"/>
          </w:tcPr>
          <w:p>
            <w:pPr>
              <w:ind w:left="140"/>
              <w:spacing w:after="0"/>
              <w:rPr>
                <w:sz w:val="20"/>
                <w:szCs w:val="20"/>
                <w:color w:val="auto"/>
              </w:rPr>
            </w:pPr>
            <w:r>
              <w:rPr>
                <w:rFonts w:ascii="Arial" w:cs="Arial" w:eastAsia="Arial" w:hAnsi="Arial"/>
                <w:sz w:val="13"/>
                <w:szCs w:val="13"/>
                <w:color w:val="61C4AF"/>
              </w:rPr>
              <w:t xml:space="preserve">●   </w:t>
            </w:r>
            <w:r>
              <w:rPr>
                <w:rFonts w:ascii="Arial" w:cs="Arial" w:eastAsia="Arial" w:hAnsi="Arial"/>
                <w:sz w:val="13"/>
                <w:szCs w:val="13"/>
                <w:color w:val="000000"/>
              </w:rPr>
              <w:t>Approximately</w:t>
            </w:r>
            <w:r>
              <w:rPr>
                <w:rFonts w:ascii="Arial" w:cs="Arial" w:eastAsia="Arial" w:hAnsi="Arial"/>
                <w:sz w:val="13"/>
                <w:szCs w:val="13"/>
                <w:color w:val="61C4AF"/>
              </w:rPr>
              <w:t xml:space="preserve"> </w:t>
            </w:r>
            <w:r>
              <w:rPr>
                <w:rFonts w:ascii="Arial" w:cs="Arial" w:eastAsia="Arial" w:hAnsi="Arial"/>
                <w:sz w:val="13"/>
                <w:szCs w:val="13"/>
                <w:b w:val="1"/>
                <w:bCs w:val="1"/>
                <w:color w:val="000000"/>
              </w:rPr>
              <w:t>60%</w:t>
            </w:r>
            <w:r>
              <w:rPr>
                <w:rFonts w:ascii="Arial" w:cs="Arial" w:eastAsia="Arial" w:hAnsi="Arial"/>
                <w:sz w:val="13"/>
                <w:szCs w:val="13"/>
                <w:color w:val="61C4AF"/>
              </w:rPr>
              <w:t xml:space="preserve"> </w:t>
            </w:r>
            <w:r>
              <w:rPr>
                <w:rFonts w:ascii="Arial" w:cs="Arial" w:eastAsia="Arial" w:hAnsi="Arial"/>
                <w:sz w:val="13"/>
                <w:szCs w:val="13"/>
                <w:color w:val="000000"/>
              </w:rPr>
              <w:t>of the transition</w:t>
            </w:r>
          </w:p>
        </w:tc>
        <w:tc>
          <w:tcPr>
            <w:tcW w:w="0" w:type="dxa"/>
            <w:vAlign w:val="bottom"/>
          </w:tcPr>
          <w:p>
            <w:pPr>
              <w:spacing w:after="0"/>
              <w:rPr>
                <w:sz w:val="1"/>
                <w:szCs w:val="1"/>
                <w:color w:val="auto"/>
              </w:rPr>
            </w:pPr>
          </w:p>
        </w:tc>
      </w:tr>
      <w:tr>
        <w:trPr>
          <w:trHeight w:val="183"/>
        </w:trPr>
        <w:tc>
          <w:tcPr>
            <w:tcW w:w="2840" w:type="dxa"/>
            <w:vAlign w:val="bottom"/>
          </w:tcPr>
          <w:p>
            <w:pPr>
              <w:ind w:left="120"/>
              <w:spacing w:after="0" w:line="183" w:lineRule="exact"/>
              <w:rPr>
                <w:sz w:val="20"/>
                <w:szCs w:val="20"/>
                <w:color w:val="auto"/>
              </w:rPr>
            </w:pPr>
            <w:r>
              <w:rPr>
                <w:rFonts w:ascii="Arial" w:cs="Arial" w:eastAsia="Arial" w:hAnsi="Arial"/>
                <w:sz w:val="13"/>
                <w:szCs w:val="13"/>
                <w:b w:val="1"/>
                <w:bCs w:val="1"/>
                <w:color w:val="23628F"/>
              </w:rPr>
              <w:t>$20.5 Million PSU Award</w:t>
            </w:r>
            <w:r>
              <w:rPr>
                <w:rFonts w:ascii="Arial" w:cs="Arial" w:eastAsia="Arial" w:hAnsi="Arial"/>
                <w:sz w:val="21"/>
                <w:szCs w:val="21"/>
                <w:b w:val="1"/>
                <w:bCs w:val="1"/>
                <w:color w:val="23628F"/>
                <w:vertAlign w:val="superscript"/>
              </w:rPr>
              <w:t>(1)</w:t>
            </w:r>
          </w:p>
        </w:tc>
        <w:tc>
          <w:tcPr>
            <w:tcW w:w="5600" w:type="dxa"/>
            <w:vAlign w:val="bottom"/>
          </w:tcPr>
          <w:p>
            <w:pPr>
              <w:ind w:left="120"/>
              <w:spacing w:after="0"/>
              <w:rPr>
                <w:sz w:val="20"/>
                <w:szCs w:val="20"/>
                <w:color w:val="auto"/>
              </w:rPr>
            </w:pPr>
            <w:r>
              <w:rPr>
                <w:rFonts w:ascii="Arial" w:cs="Arial" w:eastAsia="Arial" w:hAnsi="Arial"/>
                <w:sz w:val="13"/>
                <w:szCs w:val="13"/>
                <w:color w:val="61C4AF"/>
              </w:rPr>
              <w:t xml:space="preserve">●   </w:t>
            </w:r>
            <w:r>
              <w:rPr>
                <w:rFonts w:ascii="Arial" w:cs="Arial" w:eastAsia="Arial" w:hAnsi="Arial"/>
                <w:sz w:val="13"/>
                <w:szCs w:val="13"/>
                <w:color w:val="000000"/>
              </w:rPr>
              <w:t>Three-year relative TSR PSU award that vests based upon our TSR performance</w:t>
            </w:r>
          </w:p>
        </w:tc>
        <w:tc>
          <w:tcPr>
            <w:tcW w:w="2800" w:type="dxa"/>
            <w:vAlign w:val="bottom"/>
          </w:tcPr>
          <w:p>
            <w:pPr>
              <w:ind w:left="380"/>
              <w:spacing w:after="0"/>
              <w:rPr>
                <w:sz w:val="20"/>
                <w:szCs w:val="20"/>
                <w:color w:val="auto"/>
              </w:rPr>
            </w:pPr>
            <w:r>
              <w:rPr>
                <w:rFonts w:ascii="Arial" w:cs="Arial" w:eastAsia="Arial" w:hAnsi="Arial"/>
                <w:sz w:val="13"/>
                <w:szCs w:val="13"/>
                <w:color w:val="auto"/>
              </w:rPr>
              <w:t>awards (and approximately 67% of the</w:t>
            </w:r>
          </w:p>
        </w:tc>
        <w:tc>
          <w:tcPr>
            <w:tcW w:w="0" w:type="dxa"/>
            <w:vAlign w:val="bottom"/>
          </w:tcPr>
          <w:p>
            <w:pPr>
              <w:spacing w:after="0"/>
              <w:rPr>
                <w:sz w:val="1"/>
                <w:szCs w:val="1"/>
                <w:color w:val="auto"/>
              </w:rPr>
            </w:pPr>
          </w:p>
        </w:tc>
      </w:tr>
      <w:tr>
        <w:trPr>
          <w:trHeight w:val="121"/>
        </w:trPr>
        <w:tc>
          <w:tcPr>
            <w:tcW w:w="2840" w:type="dxa"/>
            <w:vAlign w:val="bottom"/>
          </w:tcPr>
          <w:p>
            <w:pPr>
              <w:spacing w:after="0"/>
              <w:rPr>
                <w:sz w:val="10"/>
                <w:szCs w:val="10"/>
                <w:color w:val="auto"/>
              </w:rPr>
            </w:pPr>
          </w:p>
        </w:tc>
        <w:tc>
          <w:tcPr>
            <w:tcW w:w="5600" w:type="dxa"/>
            <w:vAlign w:val="bottom"/>
          </w:tcPr>
          <w:p>
            <w:pPr>
              <w:ind w:left="360"/>
              <w:spacing w:after="0" w:line="121" w:lineRule="exact"/>
              <w:rPr>
                <w:sz w:val="20"/>
                <w:szCs w:val="20"/>
                <w:color w:val="auto"/>
              </w:rPr>
            </w:pPr>
            <w:r>
              <w:rPr>
                <w:rFonts w:ascii="Arial" w:cs="Arial" w:eastAsia="Arial" w:hAnsi="Arial"/>
                <w:sz w:val="13"/>
                <w:szCs w:val="13"/>
                <w:color w:val="auto"/>
              </w:rPr>
              <w:t>relative to the TSR of the S&amp;P 500 constituent companies (determined as of the</w:t>
            </w:r>
          </w:p>
        </w:tc>
        <w:tc>
          <w:tcPr>
            <w:tcW w:w="2800" w:type="dxa"/>
            <w:vAlign w:val="bottom"/>
          </w:tcPr>
          <w:p>
            <w:pPr>
              <w:ind w:left="380"/>
              <w:spacing w:after="0" w:line="121" w:lineRule="exact"/>
              <w:rPr>
                <w:sz w:val="20"/>
                <w:szCs w:val="20"/>
                <w:color w:val="auto"/>
              </w:rPr>
            </w:pPr>
            <w:r>
              <w:rPr>
                <w:rFonts w:ascii="Arial" w:cs="Arial" w:eastAsia="Arial" w:hAnsi="Arial"/>
                <w:sz w:val="13"/>
                <w:szCs w:val="13"/>
                <w:color w:val="auto"/>
              </w:rPr>
              <w:t>transition equity awards) were granted</w:t>
            </w: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5600" w:type="dxa"/>
            <w:vAlign w:val="bottom"/>
          </w:tcPr>
          <w:p>
            <w:pPr>
              <w:ind w:left="360"/>
              <w:spacing w:after="0"/>
              <w:rPr>
                <w:sz w:val="20"/>
                <w:szCs w:val="20"/>
                <w:color w:val="auto"/>
              </w:rPr>
            </w:pPr>
            <w:r>
              <w:rPr>
                <w:rFonts w:ascii="Arial" w:cs="Arial" w:eastAsia="Arial" w:hAnsi="Arial"/>
                <w:sz w:val="13"/>
                <w:szCs w:val="13"/>
                <w:color w:val="auto"/>
              </w:rPr>
              <w:t>beginning of the performance period) over a three-year period.</w:t>
            </w:r>
          </w:p>
        </w:tc>
        <w:tc>
          <w:tcPr>
            <w:tcW w:w="2800" w:type="dxa"/>
            <w:vAlign w:val="bottom"/>
          </w:tcPr>
          <w:p>
            <w:pPr>
              <w:ind w:left="380"/>
              <w:spacing w:after="0"/>
              <w:rPr>
                <w:sz w:val="20"/>
                <w:szCs w:val="20"/>
                <w:color w:val="auto"/>
              </w:rPr>
            </w:pPr>
            <w:r>
              <w:rPr>
                <w:rFonts w:ascii="Arial" w:cs="Arial" w:eastAsia="Arial" w:hAnsi="Arial"/>
                <w:sz w:val="13"/>
                <w:szCs w:val="13"/>
                <w:color w:val="auto"/>
              </w:rPr>
              <w:t>in the form of a PSU that includes</w:t>
            </w: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5600" w:type="dxa"/>
            <w:vAlign w:val="bottom"/>
            <w:vMerge w:val="restart"/>
          </w:tcPr>
          <w:p>
            <w:pPr>
              <w:ind w:left="120"/>
              <w:spacing w:after="0"/>
              <w:rPr>
                <w:sz w:val="20"/>
                <w:szCs w:val="20"/>
                <w:color w:val="auto"/>
              </w:rPr>
            </w:pPr>
            <w:r>
              <w:rPr>
                <w:rFonts w:ascii="Arial" w:cs="Arial" w:eastAsia="Arial" w:hAnsi="Arial"/>
                <w:sz w:val="13"/>
                <w:szCs w:val="13"/>
                <w:color w:val="61C4AF"/>
              </w:rPr>
              <w:t xml:space="preserve">●   </w:t>
            </w:r>
            <w:r>
              <w:rPr>
                <w:rFonts w:ascii="Arial" w:cs="Arial" w:eastAsia="Arial" w:hAnsi="Arial"/>
                <w:sz w:val="13"/>
                <w:szCs w:val="13"/>
                <w:color w:val="000000"/>
              </w:rPr>
              <w:t>Our performance must exceed the 57</w:t>
            </w:r>
            <w:r>
              <w:rPr>
                <w:rFonts w:ascii="Arial" w:cs="Arial" w:eastAsia="Arial" w:hAnsi="Arial"/>
                <w:sz w:val="22"/>
                <w:szCs w:val="22"/>
                <w:color w:val="000000"/>
                <w:vertAlign w:val="superscript"/>
              </w:rPr>
              <w:t>th</w:t>
            </w:r>
            <w:r>
              <w:rPr>
                <w:rFonts w:ascii="Arial" w:cs="Arial" w:eastAsia="Arial" w:hAnsi="Arial"/>
                <w:sz w:val="13"/>
                <w:szCs w:val="13"/>
                <w:color w:val="61C4AF"/>
              </w:rPr>
              <w:t xml:space="preserve"> </w:t>
            </w:r>
            <w:r>
              <w:rPr>
                <w:rFonts w:ascii="Arial" w:cs="Arial" w:eastAsia="Arial" w:hAnsi="Arial"/>
                <w:sz w:val="13"/>
                <w:szCs w:val="13"/>
                <w:color w:val="000000"/>
              </w:rPr>
              <w:t>percentile relative to S&amp;P 500 constituents for</w:t>
            </w:r>
          </w:p>
        </w:tc>
        <w:tc>
          <w:tcPr>
            <w:tcW w:w="2800" w:type="dxa"/>
            <w:vAlign w:val="bottom"/>
          </w:tcPr>
          <w:p>
            <w:pPr>
              <w:ind w:left="380"/>
              <w:spacing w:after="0"/>
              <w:rPr>
                <w:sz w:val="20"/>
                <w:szCs w:val="20"/>
                <w:color w:val="auto"/>
              </w:rPr>
            </w:pPr>
            <w:r>
              <w:rPr>
                <w:rFonts w:ascii="Arial" w:cs="Arial" w:eastAsia="Arial" w:hAnsi="Arial"/>
                <w:sz w:val="13"/>
                <w:szCs w:val="13"/>
                <w:color w:val="auto"/>
              </w:rPr>
              <w:t>robust performance requirements for</w:t>
            </w:r>
          </w:p>
        </w:tc>
        <w:tc>
          <w:tcPr>
            <w:tcW w:w="0" w:type="dxa"/>
            <w:vAlign w:val="bottom"/>
          </w:tcPr>
          <w:p>
            <w:pPr>
              <w:spacing w:after="0"/>
              <w:rPr>
                <w:sz w:val="1"/>
                <w:szCs w:val="1"/>
                <w:color w:val="auto"/>
              </w:rPr>
            </w:pPr>
          </w:p>
        </w:tc>
      </w:tr>
      <w:tr>
        <w:trPr>
          <w:trHeight w:val="122"/>
        </w:trPr>
        <w:tc>
          <w:tcPr>
            <w:tcW w:w="2840" w:type="dxa"/>
            <w:vAlign w:val="bottom"/>
          </w:tcPr>
          <w:p>
            <w:pPr>
              <w:spacing w:after="0"/>
              <w:rPr>
                <w:sz w:val="10"/>
                <w:szCs w:val="10"/>
                <w:color w:val="auto"/>
              </w:rPr>
            </w:pPr>
          </w:p>
        </w:tc>
        <w:tc>
          <w:tcPr>
            <w:tcW w:w="5600" w:type="dxa"/>
            <w:vAlign w:val="bottom"/>
            <w:vMerge w:val="continue"/>
          </w:tcPr>
          <w:p>
            <w:pPr>
              <w:spacing w:after="0"/>
              <w:rPr>
                <w:sz w:val="10"/>
                <w:szCs w:val="10"/>
                <w:color w:val="auto"/>
              </w:rPr>
            </w:pPr>
          </w:p>
        </w:tc>
        <w:tc>
          <w:tcPr>
            <w:tcW w:w="2800" w:type="dxa"/>
            <w:vAlign w:val="bottom"/>
          </w:tcPr>
          <w:p>
            <w:pPr>
              <w:ind w:left="380"/>
              <w:spacing w:after="0" w:line="123" w:lineRule="exact"/>
              <w:rPr>
                <w:sz w:val="20"/>
                <w:szCs w:val="20"/>
                <w:color w:val="auto"/>
              </w:rPr>
            </w:pPr>
            <w:r>
              <w:rPr>
                <w:rFonts w:ascii="Arial" w:cs="Arial" w:eastAsia="Arial" w:hAnsi="Arial"/>
                <w:sz w:val="13"/>
                <w:szCs w:val="13"/>
                <w:color w:val="auto"/>
              </w:rPr>
              <w:t>Mr. Goeckeler to receive a target</w:t>
            </w:r>
          </w:p>
        </w:tc>
        <w:tc>
          <w:tcPr>
            <w:tcW w:w="0" w:type="dxa"/>
            <w:vAlign w:val="bottom"/>
          </w:tcPr>
          <w:p>
            <w:pPr>
              <w:spacing w:after="0"/>
              <w:rPr>
                <w:sz w:val="1"/>
                <w:szCs w:val="1"/>
                <w:color w:val="auto"/>
              </w:rPr>
            </w:pPr>
          </w:p>
        </w:tc>
      </w:tr>
      <w:tr>
        <w:trPr>
          <w:trHeight w:val="188"/>
        </w:trPr>
        <w:tc>
          <w:tcPr>
            <w:tcW w:w="2840" w:type="dxa"/>
            <w:vAlign w:val="bottom"/>
          </w:tcPr>
          <w:p>
            <w:pPr>
              <w:spacing w:after="0"/>
              <w:rPr>
                <w:sz w:val="16"/>
                <w:szCs w:val="16"/>
                <w:color w:val="auto"/>
              </w:rPr>
            </w:pPr>
          </w:p>
        </w:tc>
        <w:tc>
          <w:tcPr>
            <w:tcW w:w="5600" w:type="dxa"/>
            <w:vAlign w:val="bottom"/>
          </w:tcPr>
          <w:p>
            <w:pPr>
              <w:ind w:left="360"/>
              <w:spacing w:after="0"/>
              <w:rPr>
                <w:sz w:val="20"/>
                <w:szCs w:val="20"/>
                <w:color w:val="auto"/>
              </w:rPr>
            </w:pPr>
            <w:r>
              <w:rPr>
                <w:rFonts w:ascii="Arial" w:cs="Arial" w:eastAsia="Arial" w:hAnsi="Arial"/>
                <w:sz w:val="13"/>
                <w:szCs w:val="13"/>
                <w:color w:val="auto"/>
              </w:rPr>
              <w:t>Mr. Goeckeler to receive a target payout under the award.</w:t>
            </w:r>
          </w:p>
        </w:tc>
        <w:tc>
          <w:tcPr>
            <w:tcW w:w="2800" w:type="dxa"/>
            <w:vAlign w:val="bottom"/>
          </w:tcPr>
          <w:p>
            <w:pPr>
              <w:ind w:left="380"/>
              <w:spacing w:after="0"/>
              <w:rPr>
                <w:sz w:val="20"/>
                <w:szCs w:val="20"/>
                <w:color w:val="auto"/>
              </w:rPr>
            </w:pPr>
            <w:r>
              <w:rPr>
                <w:rFonts w:ascii="Arial" w:cs="Arial" w:eastAsia="Arial" w:hAnsi="Arial"/>
                <w:sz w:val="13"/>
                <w:szCs w:val="13"/>
                <w:color w:val="auto"/>
              </w:rPr>
              <w:t>payout under the award.</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180" w:hanging="220"/>
        <w:spacing w:after="0"/>
        <w:tabs>
          <w:tab w:leader="none" w:pos="3180" w:val="left"/>
        </w:tabs>
        <w:numPr>
          <w:ilvl w:val="1"/>
          <w:numId w:val="149"/>
        </w:numPr>
        <w:rPr>
          <w:rFonts w:ascii="Arial" w:cs="Arial" w:eastAsia="Arial" w:hAnsi="Arial"/>
          <w:sz w:val="13"/>
          <w:szCs w:val="13"/>
          <w:color w:val="61C4AF"/>
        </w:rPr>
      </w:pPr>
      <w:r>
        <w:rPr>
          <w:rFonts w:ascii="Arial" w:cs="Arial" w:eastAsia="Arial" w:hAnsi="Arial"/>
          <w:sz w:val="13"/>
          <w:szCs w:val="13"/>
          <w:color w:val="auto"/>
        </w:rPr>
        <w:t>The maximum payout under the award is capped at 150% of target value.</w:t>
      </w:r>
    </w:p>
    <w:p>
      <w:pPr>
        <w:spacing w:after="0" w:line="215" w:lineRule="exact"/>
        <w:rPr>
          <w:rFonts w:ascii="Arial" w:cs="Arial" w:eastAsia="Arial" w:hAnsi="Arial"/>
          <w:sz w:val="13"/>
          <w:szCs w:val="13"/>
          <w:color w:val="61C4AF"/>
        </w:rPr>
      </w:pPr>
    </w:p>
    <w:p>
      <w:pPr>
        <w:ind w:left="300" w:right="20" w:hanging="292"/>
        <w:spacing w:after="0" w:line="258" w:lineRule="auto"/>
        <w:tabs>
          <w:tab w:leader="none" w:pos="300" w:val="left"/>
        </w:tabs>
        <w:numPr>
          <w:ilvl w:val="0"/>
          <w:numId w:val="149"/>
        </w:numPr>
        <w:rPr>
          <w:rFonts w:ascii="Arial" w:cs="Arial" w:eastAsia="Arial" w:hAnsi="Arial"/>
          <w:sz w:val="11"/>
          <w:szCs w:val="11"/>
          <w:color w:val="auto"/>
        </w:rPr>
      </w:pPr>
      <w:r>
        <w:rPr>
          <w:rFonts w:ascii="Arial" w:cs="Arial" w:eastAsia="Arial" w:hAnsi="Arial"/>
          <w:sz w:val="13"/>
          <w:szCs w:val="13"/>
          <w:color w:val="auto"/>
        </w:rPr>
        <w:t>The value of the PSU award is based on the value approved by the Compensation and Talent Committee, rather than the grant date fair value of the equity award for financial reporting purposes ($21,140,062) determined using a Monte Carlo simulation and as reported in the Summary Compensation Table.</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628F"/>
        </w:rPr>
        <w:t>Pay-for-Performance Alignment of Mr. Goeckeler’s Transition Awards</w:t>
      </w:r>
    </w:p>
    <w:p>
      <w:pPr>
        <w:spacing w:after="0" w:line="231" w:lineRule="exact"/>
        <w:rPr>
          <w:sz w:val="20"/>
          <w:szCs w:val="20"/>
          <w:color w:val="auto"/>
        </w:rPr>
      </w:pPr>
    </w:p>
    <w:p>
      <w:pPr>
        <w:ind w:right="240"/>
        <w:spacing w:after="0" w:line="248" w:lineRule="auto"/>
        <w:rPr>
          <w:sz w:val="20"/>
          <w:szCs w:val="20"/>
          <w:color w:val="auto"/>
        </w:rPr>
      </w:pPr>
      <w:r>
        <w:rPr>
          <w:rFonts w:ascii="Arial" w:cs="Arial" w:eastAsia="Arial" w:hAnsi="Arial"/>
          <w:sz w:val="13"/>
          <w:szCs w:val="13"/>
          <w:color w:val="auto"/>
        </w:rPr>
        <w:t>Mr. Goeckeler’s three-year relative TSR PSU represents approximately 60% of the target value of his transition awards and we must substantially outperform the S&amp;P 500 constituent companies during the performance period for Mr. Goeckeler to receive a target payout. The relative TSR PSU design also reflects the Compensation and Talent Committee’s philosophy that a majority of our Chief Executive Officer’s transition awards should be aligned with our market performance.</w:t>
      </w:r>
    </w:p>
    <w:p>
      <w:pPr>
        <w:spacing w:after="0" w:line="205" w:lineRule="exact"/>
        <w:rPr>
          <w:sz w:val="20"/>
          <w:szCs w:val="20"/>
          <w:color w:val="auto"/>
        </w:rPr>
      </w:pPr>
    </w:p>
    <w:p>
      <w:pPr>
        <w:ind w:right="60"/>
        <w:spacing w:after="0" w:line="214" w:lineRule="auto"/>
        <w:rPr>
          <w:sz w:val="20"/>
          <w:szCs w:val="20"/>
          <w:color w:val="auto"/>
        </w:rPr>
      </w:pPr>
      <w:r>
        <w:rPr>
          <w:rFonts w:ascii="Arial" w:cs="Arial" w:eastAsia="Arial" w:hAnsi="Arial"/>
          <w:sz w:val="13"/>
          <w:szCs w:val="13"/>
          <w:color w:val="auto"/>
        </w:rPr>
        <w:t>As of September 1, 2020, our TSR performance relative to the S&amp;P 500 constituent peer group for Mr. Goeckeler’s transition award was tracking at the 5</w:t>
      </w:r>
      <w:r>
        <w:rPr>
          <w:rFonts w:ascii="Arial" w:cs="Arial" w:eastAsia="Arial" w:hAnsi="Arial"/>
          <w:sz w:val="22"/>
          <w:szCs w:val="22"/>
          <w:color w:val="auto"/>
          <w:vertAlign w:val="superscript"/>
        </w:rPr>
        <w:t>th</w:t>
      </w:r>
      <w:r>
        <w:rPr>
          <w:rFonts w:ascii="Arial" w:cs="Arial" w:eastAsia="Arial" w:hAnsi="Arial"/>
          <w:sz w:val="13"/>
          <w:szCs w:val="13"/>
          <w:color w:val="auto"/>
        </w:rPr>
        <w:t xml:space="preserve"> percentile, which would have resulted in a payout of 0% if the performance period had ended on this date. Our TSR performance relative to this peer group must improve substantially during the rest of the performance period for Mr. Goeckeler to receive a target payout under the award.</w:t>
      </w:r>
    </w:p>
    <w:p>
      <w:pPr>
        <w:spacing w:after="0" w:line="167" w:lineRule="exact"/>
        <w:rPr>
          <w:sz w:val="20"/>
          <w:szCs w:val="20"/>
          <w:color w:val="auto"/>
        </w:rPr>
      </w:pPr>
    </w:p>
    <w:p>
      <w:pPr>
        <w:spacing w:after="0"/>
        <w:rPr>
          <w:sz w:val="20"/>
          <w:szCs w:val="20"/>
          <w:color w:val="auto"/>
        </w:rPr>
      </w:pPr>
      <w:r>
        <w:rPr>
          <w:sz w:val="1"/>
          <w:szCs w:val="1"/>
          <w:color w:val="auto"/>
        </w:rPr>
        <w:drawing>
          <wp:inline distT="0" distB="0" distL="0" distR="0">
            <wp:extent cx="34290" cy="171450"/>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4290" cy="171450"/>
                    </a:xfrm>
                    <a:prstGeom prst="rect">
                      <a:avLst/>
                    </a:prstGeom>
                    <a:noFill/>
                    <a:ln>
                      <a:noFill/>
                    </a:ln>
                  </pic:spPr>
                </pic:pic>
              </a:graphicData>
            </a:graphic>
          </wp:inline>
        </w:drawing>
      </w:r>
      <w:r>
        <w:rPr>
          <w:rFonts w:ascii="Arial" w:cs="Arial" w:eastAsia="Arial" w:hAnsi="Arial"/>
          <w:sz w:val="22"/>
          <w:szCs w:val="22"/>
          <w:b w:val="1"/>
          <w:bCs w:val="1"/>
          <w:color w:val="5FC4AF"/>
        </w:rPr>
        <w:t xml:space="preserve"> 3-Year Relative TSR PSU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8605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1860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FFFFFF"/>
        </w:rPr>
        <w:t>3-Year Relative TSR PSU S&amp;P 500 Constituent Peer Group</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00" w:type="dxa"/>
            <w:vAlign w:val="bottom"/>
            <w:tcBorders>
              <w:top w:val="single" w:sz="8" w:color="auto"/>
              <w:right w:val="single" w:sz="8" w:color="auto"/>
            </w:tcBorders>
          </w:tcPr>
          <w:p>
            <w:pPr>
              <w:spacing w:after="0"/>
              <w:rPr>
                <w:sz w:val="22"/>
                <w:szCs w:val="22"/>
                <w:color w:val="auto"/>
              </w:rPr>
            </w:pPr>
          </w:p>
        </w:tc>
        <w:tc>
          <w:tcPr>
            <w:tcW w:w="4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Western Digital's</w:t>
            </w:r>
          </w:p>
        </w:tc>
        <w:tc>
          <w:tcPr>
            <w:tcW w:w="3440" w:type="dxa"/>
            <w:vAlign w:val="bottom"/>
            <w:tcBorders>
              <w:top w:val="single" w:sz="8" w:color="auto"/>
            </w:tcBorders>
          </w:tcPr>
          <w:p>
            <w:pPr>
              <w:spacing w:after="0"/>
              <w:rPr>
                <w:sz w:val="22"/>
                <w:szCs w:val="22"/>
                <w:color w:val="auto"/>
              </w:rPr>
            </w:pPr>
          </w:p>
        </w:tc>
      </w:tr>
      <w:tr>
        <w:trPr>
          <w:trHeight w:val="178"/>
        </w:trPr>
        <w:tc>
          <w:tcPr>
            <w:tcW w:w="33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Payout Level</w:t>
            </w:r>
          </w:p>
        </w:tc>
        <w:tc>
          <w:tcPr>
            <w:tcW w:w="45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Percentile Rank</w:t>
            </w:r>
          </w:p>
        </w:tc>
        <w:tc>
          <w:tcPr>
            <w:tcW w:w="3440" w:type="dxa"/>
            <w:vAlign w:val="bottom"/>
          </w:tcPr>
          <w:p>
            <w:pPr>
              <w:ind w:left="1260"/>
              <w:spacing w:after="0"/>
              <w:rPr>
                <w:sz w:val="20"/>
                <w:szCs w:val="20"/>
                <w:color w:val="auto"/>
              </w:rPr>
            </w:pPr>
            <w:r>
              <w:rPr>
                <w:rFonts w:ascii="Arial" w:cs="Arial" w:eastAsia="Arial" w:hAnsi="Arial"/>
                <w:sz w:val="13"/>
                <w:szCs w:val="13"/>
                <w:b w:val="1"/>
                <w:bCs w:val="1"/>
                <w:color w:val="auto"/>
              </w:rPr>
              <w:t>PSU Payout %</w:t>
            </w:r>
          </w:p>
        </w:tc>
      </w:tr>
      <w:tr>
        <w:trPr>
          <w:trHeight w:val="95"/>
        </w:trPr>
        <w:tc>
          <w:tcPr>
            <w:tcW w:w="3300" w:type="dxa"/>
            <w:vAlign w:val="bottom"/>
            <w:tcBorders>
              <w:bottom w:val="single" w:sz="8" w:color="auto"/>
              <w:right w:val="single" w:sz="8" w:color="auto"/>
            </w:tcBorders>
          </w:tcPr>
          <w:p>
            <w:pPr>
              <w:spacing w:after="0"/>
              <w:rPr>
                <w:sz w:val="8"/>
                <w:szCs w:val="8"/>
                <w:color w:val="auto"/>
              </w:rPr>
            </w:pPr>
          </w:p>
        </w:tc>
        <w:tc>
          <w:tcPr>
            <w:tcW w:w="4500" w:type="dxa"/>
            <w:vAlign w:val="bottom"/>
            <w:tcBorders>
              <w:bottom w:val="single" w:sz="8" w:color="auto"/>
              <w:right w:val="single" w:sz="8" w:color="auto"/>
            </w:tcBorders>
          </w:tcPr>
          <w:p>
            <w:pPr>
              <w:spacing w:after="0"/>
              <w:rPr>
                <w:sz w:val="8"/>
                <w:szCs w:val="8"/>
                <w:color w:val="auto"/>
              </w:rPr>
            </w:pPr>
          </w:p>
        </w:tc>
        <w:tc>
          <w:tcPr>
            <w:tcW w:w="3440" w:type="dxa"/>
            <w:vAlign w:val="bottom"/>
            <w:tcBorders>
              <w:bottom w:val="single" w:sz="8" w:color="auto"/>
            </w:tcBorders>
          </w:tcPr>
          <w:p>
            <w:pPr>
              <w:spacing w:after="0"/>
              <w:rPr>
                <w:sz w:val="8"/>
                <w:szCs w:val="8"/>
                <w:color w:val="auto"/>
              </w:rPr>
            </w:pPr>
          </w:p>
        </w:tc>
      </w:tr>
      <w:tr>
        <w:trPr>
          <w:trHeight w:val="263"/>
        </w:trPr>
        <w:tc>
          <w:tcPr>
            <w:tcW w:w="3300" w:type="dxa"/>
            <w:vAlign w:val="bottom"/>
          </w:tcPr>
          <w:p>
            <w:pPr>
              <w:jc w:val="center"/>
              <w:spacing w:after="0"/>
              <w:rPr>
                <w:sz w:val="20"/>
                <w:szCs w:val="20"/>
                <w:color w:val="auto"/>
              </w:rPr>
            </w:pPr>
            <w:r>
              <w:rPr>
                <w:rFonts w:ascii="Arial" w:cs="Arial" w:eastAsia="Arial" w:hAnsi="Arial"/>
                <w:sz w:val="13"/>
                <w:szCs w:val="13"/>
                <w:color w:val="auto"/>
                <w:w w:val="97"/>
              </w:rPr>
              <w:t>Max</w:t>
            </w:r>
          </w:p>
        </w:tc>
        <w:tc>
          <w:tcPr>
            <w:tcW w:w="4500" w:type="dxa"/>
            <w:vAlign w:val="bottom"/>
          </w:tcPr>
          <w:p>
            <w:pPr>
              <w:jc w:val="center"/>
              <w:spacing w:after="0"/>
              <w:rPr>
                <w:sz w:val="20"/>
                <w:szCs w:val="20"/>
                <w:color w:val="auto"/>
              </w:rPr>
            </w:pPr>
            <w:r>
              <w:rPr>
                <w:rFonts w:ascii="Arial" w:cs="Arial" w:eastAsia="Arial" w:hAnsi="Arial"/>
                <w:sz w:val="13"/>
                <w:szCs w:val="13"/>
                <w:color w:val="auto"/>
              </w:rPr>
              <w:t>75%</w:t>
            </w:r>
          </w:p>
        </w:tc>
        <w:tc>
          <w:tcPr>
            <w:tcW w:w="3440" w:type="dxa"/>
            <w:vAlign w:val="bottom"/>
          </w:tcPr>
          <w:p>
            <w:pPr>
              <w:jc w:val="center"/>
              <w:spacing w:after="0"/>
              <w:rPr>
                <w:sz w:val="20"/>
                <w:szCs w:val="20"/>
                <w:color w:val="auto"/>
              </w:rPr>
            </w:pPr>
            <w:r>
              <w:rPr>
                <w:rFonts w:ascii="Arial" w:cs="Arial" w:eastAsia="Arial" w:hAnsi="Arial"/>
                <w:sz w:val="13"/>
                <w:szCs w:val="13"/>
                <w:color w:val="auto"/>
              </w:rPr>
              <w:t>150%</w:t>
            </w:r>
          </w:p>
        </w:tc>
      </w:tr>
      <w:tr>
        <w:trPr>
          <w:trHeight w:val="95"/>
        </w:trPr>
        <w:tc>
          <w:tcPr>
            <w:tcW w:w="3300" w:type="dxa"/>
            <w:vAlign w:val="bottom"/>
            <w:tcBorders>
              <w:bottom w:val="single" w:sz="8" w:color="959595"/>
            </w:tcBorders>
          </w:tcPr>
          <w:p>
            <w:pPr>
              <w:spacing w:after="0"/>
              <w:rPr>
                <w:sz w:val="8"/>
                <w:szCs w:val="8"/>
                <w:color w:val="auto"/>
              </w:rPr>
            </w:pPr>
          </w:p>
        </w:tc>
        <w:tc>
          <w:tcPr>
            <w:tcW w:w="4500" w:type="dxa"/>
            <w:vAlign w:val="bottom"/>
            <w:tcBorders>
              <w:bottom w:val="single" w:sz="8" w:color="959595"/>
            </w:tcBorders>
          </w:tcPr>
          <w:p>
            <w:pPr>
              <w:spacing w:after="0"/>
              <w:rPr>
                <w:sz w:val="8"/>
                <w:szCs w:val="8"/>
                <w:color w:val="auto"/>
              </w:rPr>
            </w:pPr>
          </w:p>
        </w:tc>
        <w:tc>
          <w:tcPr>
            <w:tcW w:w="3440" w:type="dxa"/>
            <w:vAlign w:val="bottom"/>
            <w:tcBorders>
              <w:bottom w:val="single" w:sz="8" w:color="959595"/>
            </w:tcBorders>
          </w:tcPr>
          <w:p>
            <w:pPr>
              <w:spacing w:after="0"/>
              <w:rPr>
                <w:sz w:val="8"/>
                <w:szCs w:val="8"/>
                <w:color w:val="auto"/>
              </w:rPr>
            </w:pPr>
          </w:p>
        </w:tc>
      </w:tr>
      <w:tr>
        <w:trPr>
          <w:trHeight w:val="263"/>
        </w:trPr>
        <w:tc>
          <w:tcPr>
            <w:tcW w:w="3300" w:type="dxa"/>
            <w:vAlign w:val="bottom"/>
            <w:tcBorders>
              <w:right w:val="single" w:sz="8" w:color="D5DEE8"/>
            </w:tcBorders>
            <w:shd w:val="clear" w:color="auto" w:fill="D5DEE8"/>
          </w:tcPr>
          <w:p>
            <w:pPr>
              <w:jc w:val="center"/>
              <w:spacing w:after="0"/>
              <w:rPr>
                <w:sz w:val="20"/>
                <w:szCs w:val="20"/>
                <w:color w:val="auto"/>
              </w:rPr>
            </w:pPr>
            <w:r>
              <w:rPr>
                <w:rFonts w:ascii="Arial" w:cs="Arial" w:eastAsia="Arial" w:hAnsi="Arial"/>
                <w:sz w:val="13"/>
                <w:szCs w:val="13"/>
                <w:color w:val="auto"/>
                <w:w w:val="95"/>
              </w:rPr>
              <w:t>Target</w:t>
            </w:r>
          </w:p>
        </w:tc>
        <w:tc>
          <w:tcPr>
            <w:tcW w:w="4500" w:type="dxa"/>
            <w:vAlign w:val="bottom"/>
            <w:tcBorders>
              <w:right w:val="single" w:sz="8" w:color="D5DEE8"/>
            </w:tcBorders>
            <w:shd w:val="clear" w:color="auto" w:fill="D5DEE8"/>
          </w:tcPr>
          <w:p>
            <w:pPr>
              <w:jc w:val="center"/>
              <w:spacing w:after="0"/>
              <w:rPr>
                <w:sz w:val="20"/>
                <w:szCs w:val="20"/>
                <w:color w:val="auto"/>
              </w:rPr>
            </w:pPr>
            <w:r>
              <w:rPr>
                <w:rFonts w:ascii="Arial" w:cs="Arial" w:eastAsia="Arial" w:hAnsi="Arial"/>
                <w:sz w:val="13"/>
                <w:szCs w:val="13"/>
                <w:color w:val="auto"/>
              </w:rPr>
              <w:t>57%</w:t>
            </w:r>
          </w:p>
        </w:tc>
        <w:tc>
          <w:tcPr>
            <w:tcW w:w="3440" w:type="dxa"/>
            <w:vAlign w:val="bottom"/>
            <w:shd w:val="clear" w:color="auto" w:fill="D5DEE8"/>
          </w:tcPr>
          <w:p>
            <w:pPr>
              <w:jc w:val="center"/>
              <w:spacing w:after="0"/>
              <w:rPr>
                <w:sz w:val="20"/>
                <w:szCs w:val="20"/>
                <w:color w:val="auto"/>
              </w:rPr>
            </w:pPr>
            <w:r>
              <w:rPr>
                <w:rFonts w:ascii="Arial" w:cs="Arial" w:eastAsia="Arial" w:hAnsi="Arial"/>
                <w:sz w:val="13"/>
                <w:szCs w:val="13"/>
                <w:color w:val="auto"/>
              </w:rPr>
              <w:t>100%</w:t>
            </w:r>
          </w:p>
        </w:tc>
      </w:tr>
      <w:tr>
        <w:trPr>
          <w:trHeight w:val="95"/>
        </w:trPr>
        <w:tc>
          <w:tcPr>
            <w:tcW w:w="3300" w:type="dxa"/>
            <w:vAlign w:val="bottom"/>
            <w:tcBorders>
              <w:bottom w:val="single" w:sz="8" w:color="959595"/>
              <w:right w:val="single" w:sz="8" w:color="D5DEE8"/>
            </w:tcBorders>
            <w:shd w:val="clear" w:color="auto" w:fill="D5DEE8"/>
          </w:tcPr>
          <w:p>
            <w:pPr>
              <w:spacing w:after="0"/>
              <w:rPr>
                <w:sz w:val="8"/>
                <w:szCs w:val="8"/>
                <w:color w:val="auto"/>
              </w:rPr>
            </w:pPr>
          </w:p>
        </w:tc>
        <w:tc>
          <w:tcPr>
            <w:tcW w:w="4500" w:type="dxa"/>
            <w:vAlign w:val="bottom"/>
            <w:tcBorders>
              <w:bottom w:val="single" w:sz="8" w:color="959595"/>
              <w:right w:val="single" w:sz="8" w:color="D5DEE8"/>
            </w:tcBorders>
            <w:shd w:val="clear" w:color="auto" w:fill="D5DEE8"/>
          </w:tcPr>
          <w:p>
            <w:pPr>
              <w:spacing w:after="0"/>
              <w:rPr>
                <w:sz w:val="8"/>
                <w:szCs w:val="8"/>
                <w:color w:val="auto"/>
              </w:rPr>
            </w:pPr>
          </w:p>
        </w:tc>
        <w:tc>
          <w:tcPr>
            <w:tcW w:w="3440" w:type="dxa"/>
            <w:vAlign w:val="bottom"/>
            <w:tcBorders>
              <w:bottom w:val="single" w:sz="8" w:color="959595"/>
            </w:tcBorders>
            <w:shd w:val="clear" w:color="auto" w:fill="D5DEE8"/>
          </w:tcPr>
          <w:p>
            <w:pPr>
              <w:spacing w:after="0"/>
              <w:rPr>
                <w:sz w:val="8"/>
                <w:szCs w:val="8"/>
                <w:color w:val="auto"/>
              </w:rPr>
            </w:pPr>
          </w:p>
        </w:tc>
      </w:tr>
      <w:tr>
        <w:trPr>
          <w:trHeight w:val="263"/>
        </w:trPr>
        <w:tc>
          <w:tcPr>
            <w:tcW w:w="3300" w:type="dxa"/>
            <w:vAlign w:val="bottom"/>
          </w:tcPr>
          <w:p>
            <w:pPr>
              <w:spacing w:after="0"/>
              <w:rPr>
                <w:sz w:val="22"/>
                <w:szCs w:val="22"/>
                <w:color w:val="auto"/>
              </w:rPr>
            </w:pPr>
          </w:p>
        </w:tc>
        <w:tc>
          <w:tcPr>
            <w:tcW w:w="4500" w:type="dxa"/>
            <w:vAlign w:val="bottom"/>
          </w:tcPr>
          <w:p>
            <w:pPr>
              <w:jc w:val="center"/>
              <w:spacing w:after="0"/>
              <w:rPr>
                <w:sz w:val="20"/>
                <w:szCs w:val="20"/>
                <w:color w:val="auto"/>
              </w:rPr>
            </w:pPr>
            <w:r>
              <w:rPr>
                <w:rFonts w:ascii="Arial" w:cs="Arial" w:eastAsia="Arial" w:hAnsi="Arial"/>
                <w:sz w:val="13"/>
                <w:szCs w:val="13"/>
                <w:color w:val="auto"/>
              </w:rPr>
              <w:t>50%</w:t>
            </w:r>
          </w:p>
        </w:tc>
        <w:tc>
          <w:tcPr>
            <w:tcW w:w="3440" w:type="dxa"/>
            <w:vAlign w:val="bottom"/>
          </w:tcPr>
          <w:p>
            <w:pPr>
              <w:jc w:val="center"/>
              <w:spacing w:after="0"/>
              <w:rPr>
                <w:sz w:val="20"/>
                <w:szCs w:val="20"/>
                <w:color w:val="auto"/>
              </w:rPr>
            </w:pPr>
            <w:r>
              <w:rPr>
                <w:rFonts w:ascii="Arial" w:cs="Arial" w:eastAsia="Arial" w:hAnsi="Arial"/>
                <w:sz w:val="13"/>
                <w:szCs w:val="13"/>
                <w:color w:val="auto"/>
                <w:w w:val="99"/>
              </w:rPr>
              <w:t>80%</w:t>
            </w:r>
          </w:p>
        </w:tc>
      </w:tr>
      <w:tr>
        <w:trPr>
          <w:trHeight w:val="95"/>
        </w:trPr>
        <w:tc>
          <w:tcPr>
            <w:tcW w:w="3300" w:type="dxa"/>
            <w:vAlign w:val="bottom"/>
            <w:tcBorders>
              <w:bottom w:val="single" w:sz="8" w:color="959595"/>
            </w:tcBorders>
          </w:tcPr>
          <w:p>
            <w:pPr>
              <w:spacing w:after="0"/>
              <w:rPr>
                <w:sz w:val="8"/>
                <w:szCs w:val="8"/>
                <w:color w:val="auto"/>
              </w:rPr>
            </w:pPr>
          </w:p>
        </w:tc>
        <w:tc>
          <w:tcPr>
            <w:tcW w:w="4500" w:type="dxa"/>
            <w:vAlign w:val="bottom"/>
            <w:tcBorders>
              <w:bottom w:val="single" w:sz="8" w:color="959595"/>
            </w:tcBorders>
          </w:tcPr>
          <w:p>
            <w:pPr>
              <w:spacing w:after="0"/>
              <w:rPr>
                <w:sz w:val="8"/>
                <w:szCs w:val="8"/>
                <w:color w:val="auto"/>
              </w:rPr>
            </w:pPr>
          </w:p>
        </w:tc>
        <w:tc>
          <w:tcPr>
            <w:tcW w:w="3440" w:type="dxa"/>
            <w:vAlign w:val="bottom"/>
            <w:tcBorders>
              <w:bottom w:val="single" w:sz="8" w:color="959595"/>
            </w:tcBorders>
          </w:tcPr>
          <w:p>
            <w:pPr>
              <w:spacing w:after="0"/>
              <w:rPr>
                <w:sz w:val="8"/>
                <w:szCs w:val="8"/>
                <w:color w:val="auto"/>
              </w:rPr>
            </w:pPr>
          </w:p>
        </w:tc>
      </w:tr>
      <w:tr>
        <w:trPr>
          <w:trHeight w:val="263"/>
        </w:trPr>
        <w:tc>
          <w:tcPr>
            <w:tcW w:w="3300" w:type="dxa"/>
            <w:vAlign w:val="bottom"/>
          </w:tcPr>
          <w:p>
            <w:pPr>
              <w:jc w:val="center"/>
              <w:spacing w:after="0"/>
              <w:rPr>
                <w:sz w:val="20"/>
                <w:szCs w:val="20"/>
                <w:color w:val="auto"/>
              </w:rPr>
            </w:pPr>
            <w:r>
              <w:rPr>
                <w:rFonts w:ascii="Arial" w:cs="Arial" w:eastAsia="Arial" w:hAnsi="Arial"/>
                <w:sz w:val="13"/>
                <w:szCs w:val="13"/>
                <w:color w:val="auto"/>
              </w:rPr>
              <w:t>Threshold</w:t>
            </w:r>
          </w:p>
        </w:tc>
        <w:tc>
          <w:tcPr>
            <w:tcW w:w="4500" w:type="dxa"/>
            <w:vAlign w:val="bottom"/>
          </w:tcPr>
          <w:p>
            <w:pPr>
              <w:jc w:val="center"/>
              <w:spacing w:after="0"/>
              <w:rPr>
                <w:sz w:val="20"/>
                <w:szCs w:val="20"/>
                <w:color w:val="auto"/>
              </w:rPr>
            </w:pPr>
            <w:r>
              <w:rPr>
                <w:rFonts w:ascii="Arial" w:cs="Arial" w:eastAsia="Arial" w:hAnsi="Arial"/>
                <w:sz w:val="13"/>
                <w:szCs w:val="13"/>
                <w:color w:val="auto"/>
              </w:rPr>
              <w:t>25%</w:t>
            </w:r>
          </w:p>
        </w:tc>
        <w:tc>
          <w:tcPr>
            <w:tcW w:w="3440" w:type="dxa"/>
            <w:vAlign w:val="bottom"/>
          </w:tcPr>
          <w:p>
            <w:pPr>
              <w:jc w:val="center"/>
              <w:spacing w:after="0"/>
              <w:rPr>
                <w:sz w:val="20"/>
                <w:szCs w:val="20"/>
                <w:color w:val="auto"/>
              </w:rPr>
            </w:pPr>
            <w:r>
              <w:rPr>
                <w:rFonts w:ascii="Arial" w:cs="Arial" w:eastAsia="Arial" w:hAnsi="Arial"/>
                <w:sz w:val="13"/>
                <w:szCs w:val="13"/>
                <w:color w:val="auto"/>
                <w:w w:val="99"/>
              </w:rPr>
              <w:t>50%</w:t>
            </w:r>
          </w:p>
        </w:tc>
      </w:tr>
      <w:tr>
        <w:trPr>
          <w:trHeight w:val="95"/>
        </w:trPr>
        <w:tc>
          <w:tcPr>
            <w:tcW w:w="3300" w:type="dxa"/>
            <w:vAlign w:val="bottom"/>
            <w:tcBorders>
              <w:bottom w:val="single" w:sz="8" w:color="959595"/>
            </w:tcBorders>
          </w:tcPr>
          <w:p>
            <w:pPr>
              <w:spacing w:after="0"/>
              <w:rPr>
                <w:sz w:val="8"/>
                <w:szCs w:val="8"/>
                <w:color w:val="auto"/>
              </w:rPr>
            </w:pPr>
          </w:p>
        </w:tc>
        <w:tc>
          <w:tcPr>
            <w:tcW w:w="4500" w:type="dxa"/>
            <w:vAlign w:val="bottom"/>
            <w:tcBorders>
              <w:bottom w:val="single" w:sz="8" w:color="959595"/>
            </w:tcBorders>
          </w:tcPr>
          <w:p>
            <w:pPr>
              <w:spacing w:after="0"/>
              <w:rPr>
                <w:sz w:val="8"/>
                <w:szCs w:val="8"/>
                <w:color w:val="auto"/>
              </w:rPr>
            </w:pPr>
          </w:p>
        </w:tc>
        <w:tc>
          <w:tcPr>
            <w:tcW w:w="3440" w:type="dxa"/>
            <w:vAlign w:val="bottom"/>
            <w:tcBorders>
              <w:bottom w:val="single" w:sz="8" w:color="959595"/>
            </w:tcBorders>
          </w:tcPr>
          <w:p>
            <w:pPr>
              <w:spacing w:after="0"/>
              <w:rPr>
                <w:sz w:val="8"/>
                <w:szCs w:val="8"/>
                <w:color w:val="auto"/>
              </w:rPr>
            </w:pPr>
          </w:p>
        </w:tc>
      </w:tr>
    </w:tbl>
    <w:p>
      <w:pPr>
        <w:spacing w:after="0" w:line="15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23628F"/>
        </w:rPr>
        <w:t>54</w:t>
      </w:r>
      <w:r>
        <w:rPr>
          <w:sz w:val="20"/>
          <w:szCs w:val="20"/>
          <w:color w:val="auto"/>
        </w:rPr>
        <w:tab/>
      </w:r>
      <w:r>
        <w:rPr>
          <w:rFonts w:ascii="Arial" w:cs="Arial" w:eastAsia="Arial" w:hAnsi="Arial"/>
          <w:sz w:val="13"/>
          <w:szCs w:val="13"/>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172720</wp:posOffset>
            </wp:positionV>
            <wp:extent cx="7153275"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ind w:left="8260"/>
        <w:spacing w:after="0"/>
        <w:rPr>
          <w:sz w:val="20"/>
          <w:szCs w:val="20"/>
          <w:color w:val="auto"/>
        </w:rPr>
      </w:pPr>
      <w:r>
        <w:rPr>
          <w:rFonts w:ascii="Arial" w:cs="Arial" w:eastAsia="Arial" w:hAnsi="Arial"/>
          <w:sz w:val="13"/>
          <w:szCs w:val="13"/>
          <w:color w:val="23628F"/>
        </w:rPr>
        <w:t>COMPENSATION DISCUSSION AND ANALYSIS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23628F"/>
        </w:rPr>
        <w:t>MR. GOECKELER’S ANNUAL COMPENSATION OPPORTUNITY</w:t>
      </w:r>
    </w:p>
    <w:p>
      <w:pPr>
        <w:spacing w:after="0" w:line="230" w:lineRule="exact"/>
        <w:rPr>
          <w:sz w:val="20"/>
          <w:szCs w:val="20"/>
          <w:color w:val="auto"/>
        </w:rPr>
      </w:pPr>
    </w:p>
    <w:p>
      <w:pPr>
        <w:ind w:right="20"/>
        <w:spacing w:after="0" w:line="248" w:lineRule="auto"/>
        <w:rPr>
          <w:sz w:val="20"/>
          <w:szCs w:val="20"/>
          <w:color w:val="auto"/>
        </w:rPr>
      </w:pPr>
      <w:r>
        <w:rPr>
          <w:rFonts w:ascii="Arial" w:cs="Arial" w:eastAsia="Arial" w:hAnsi="Arial"/>
          <w:sz w:val="13"/>
          <w:szCs w:val="13"/>
          <w:color w:val="auto"/>
        </w:rPr>
        <w:t>The table below summarizes Mr. Goeckeler’s intended annual compensation opportunity for each fiscal year from fiscal 2020 through fiscal 2024. For purposes of this presentation, Mr. Goeckeler’s “annual compensation opportunity” for each fiscal year includes his base salary, target STI amount, transition cash award and the annual vesting value (calculated as described below below) of his transition equity awards and annual LTI awards.</w:t>
      </w:r>
    </w:p>
    <w:p>
      <w:pPr>
        <w:spacing w:after="0" w:line="198" w:lineRule="exact"/>
        <w:rPr>
          <w:sz w:val="20"/>
          <w:szCs w:val="20"/>
          <w:color w:val="auto"/>
        </w:rPr>
      </w:pPr>
    </w:p>
    <w:p>
      <w:pPr>
        <w:ind w:right="40"/>
        <w:spacing w:after="0" w:line="251" w:lineRule="auto"/>
        <w:rPr>
          <w:sz w:val="20"/>
          <w:szCs w:val="20"/>
          <w:color w:val="auto"/>
        </w:rPr>
      </w:pPr>
      <w:r>
        <w:rPr>
          <w:rFonts w:ascii="Arial" w:cs="Arial" w:eastAsia="Arial" w:hAnsi="Arial"/>
          <w:sz w:val="13"/>
          <w:szCs w:val="13"/>
          <w:color w:val="auto"/>
        </w:rPr>
        <w:t>The table incorporates information that the Compensation and Talent Committee reviewed in approving Mr. Goeckeler’s transition awards and his target total direct compensation. It demonstrates that Mr. Goeckeler’s annual compensation opportunities are heavily weighted toward multi-year PSU awards that align his compensation with long-term value creation for our stockholders.</w:t>
      </w:r>
    </w:p>
    <w:p>
      <w:pPr>
        <w:spacing w:after="0" w:line="349" w:lineRule="exact"/>
        <w:rPr>
          <w:sz w:val="20"/>
          <w:szCs w:val="20"/>
          <w:color w:val="auto"/>
        </w:rPr>
      </w:pPr>
    </w:p>
    <w:p>
      <w:pPr>
        <w:ind w:left="240" w:right="60" w:hanging="232"/>
        <w:spacing w:after="0" w:line="258" w:lineRule="auto"/>
        <w:tabs>
          <w:tab w:leader="none" w:pos="240" w:val="left"/>
        </w:tabs>
        <w:numPr>
          <w:ilvl w:val="0"/>
          <w:numId w:val="150"/>
        </w:numPr>
        <w:rPr>
          <w:rFonts w:ascii="Arial" w:cs="Arial" w:eastAsia="Arial" w:hAnsi="Arial"/>
          <w:sz w:val="13"/>
          <w:szCs w:val="13"/>
          <w:color w:val="61C4AF"/>
        </w:rPr>
      </w:pPr>
      <w:r>
        <w:rPr>
          <w:rFonts w:ascii="Arial" w:cs="Arial" w:eastAsia="Arial" w:hAnsi="Arial"/>
          <w:sz w:val="13"/>
          <w:szCs w:val="13"/>
          <w:color w:val="auto"/>
        </w:rPr>
        <w:t>Mr. Goeckeler’s transition cash award and transition RSU award provide him with a lower annual compensation opportunity in each of fiscal 2020 through fiscal 2022 than in fiscal 2023 and fiscal 2024 as he transitions into multi-year PSU performance periods.</w:t>
      </w:r>
    </w:p>
    <w:p>
      <w:pPr>
        <w:spacing w:after="0" w:line="43" w:lineRule="exact"/>
        <w:rPr>
          <w:rFonts w:ascii="Arial" w:cs="Arial" w:eastAsia="Arial" w:hAnsi="Arial"/>
          <w:sz w:val="13"/>
          <w:szCs w:val="13"/>
          <w:color w:val="61C4AF"/>
        </w:rPr>
      </w:pPr>
    </w:p>
    <w:p>
      <w:pPr>
        <w:ind w:left="240" w:right="300" w:hanging="232"/>
        <w:spacing w:after="0" w:line="258" w:lineRule="auto"/>
        <w:tabs>
          <w:tab w:leader="none" w:pos="240" w:val="left"/>
        </w:tabs>
        <w:numPr>
          <w:ilvl w:val="0"/>
          <w:numId w:val="150"/>
        </w:numPr>
        <w:rPr>
          <w:rFonts w:ascii="Arial" w:cs="Arial" w:eastAsia="Arial" w:hAnsi="Arial"/>
          <w:sz w:val="13"/>
          <w:szCs w:val="13"/>
          <w:color w:val="61C4AF"/>
        </w:rPr>
      </w:pPr>
      <w:r>
        <w:rPr>
          <w:rFonts w:ascii="Arial" w:cs="Arial" w:eastAsia="Arial" w:hAnsi="Arial"/>
          <w:sz w:val="13"/>
          <w:szCs w:val="13"/>
          <w:color w:val="auto"/>
        </w:rPr>
        <w:t>If our performance is below target with respect to the applicable PSU performance criteria, Mr. Goeckeler’s actual compensation in fiscal 2023 and fiscal 2024 will be lower than the annual compensation opportunity reflected in the table below for those fiscal years, assuming no change in our stock price over the performance period.</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color w:val="auto"/>
        </w:rPr>
        <w:t>Mr. Goeckeler’s average annual compensation opportunity during fiscal 2021 through 2024 ($14,662,500) is less than his target total direct compensation ($15,437,500) described above.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600" w:type="dxa"/>
            <w:vAlign w:val="bottom"/>
          </w:tcPr>
          <w:p>
            <w:pPr>
              <w:spacing w:after="0"/>
              <w:rPr>
                <w:sz w:val="15"/>
                <w:szCs w:val="15"/>
                <w:color w:val="auto"/>
              </w:rPr>
            </w:pPr>
          </w:p>
        </w:tc>
        <w:tc>
          <w:tcPr>
            <w:tcW w:w="276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Fiscal 2020</w:t>
            </w:r>
          </w:p>
        </w:tc>
        <w:tc>
          <w:tcPr>
            <w:tcW w:w="960" w:type="dxa"/>
            <w:vAlign w:val="bottom"/>
            <w:tcBorders>
              <w:right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Fiscal 2021</w:t>
            </w:r>
          </w:p>
        </w:tc>
        <w:tc>
          <w:tcPr>
            <w:tcW w:w="960" w:type="dxa"/>
            <w:vAlign w:val="bottom"/>
            <w:tcBorders>
              <w:right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Fiscal 2022</w:t>
            </w:r>
          </w:p>
        </w:tc>
        <w:tc>
          <w:tcPr>
            <w:tcW w:w="1100" w:type="dxa"/>
            <w:vAlign w:val="bottom"/>
            <w:tcBorders>
              <w:right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Fiscal 2023</w:t>
            </w:r>
          </w:p>
        </w:tc>
        <w:tc>
          <w:tcPr>
            <w:tcW w:w="900" w:type="dxa"/>
            <w:vAlign w:val="bottom"/>
          </w:tcPr>
          <w:p>
            <w:pPr>
              <w:jc w:val="right"/>
              <w:ind w:right="13"/>
              <w:spacing w:after="0"/>
              <w:rPr>
                <w:sz w:val="20"/>
                <w:szCs w:val="20"/>
                <w:color w:val="auto"/>
              </w:rPr>
            </w:pPr>
            <w:r>
              <w:rPr>
                <w:rFonts w:ascii="Arial" w:cs="Arial" w:eastAsia="Arial" w:hAnsi="Arial"/>
                <w:sz w:val="13"/>
                <w:szCs w:val="13"/>
                <w:b w:val="1"/>
                <w:bCs w:val="1"/>
                <w:color w:val="auto"/>
              </w:rPr>
              <w:t>Fiscal 2024</w:t>
            </w:r>
          </w:p>
        </w:tc>
      </w:tr>
      <w:tr>
        <w:trPr>
          <w:trHeight w:val="203"/>
        </w:trPr>
        <w:tc>
          <w:tcPr>
            <w:tcW w:w="36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Annual Compensation Opportunity</w:t>
            </w:r>
          </w:p>
        </w:tc>
        <w:tc>
          <w:tcPr>
            <w:tcW w:w="276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jc w:val="right"/>
              <w:ind w:right="53"/>
              <w:spacing w:after="0" w:line="203"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2"/>
                <w:szCs w:val="22"/>
                <w:b w:val="1"/>
                <w:bCs w:val="1"/>
                <w:color w:val="auto"/>
                <w:vertAlign w:val="superscript"/>
              </w:rPr>
              <w:t>(1)</w:t>
            </w:r>
          </w:p>
        </w:tc>
        <w:tc>
          <w:tcPr>
            <w:tcW w:w="960" w:type="dxa"/>
            <w:vAlign w:val="bottom"/>
            <w:tcBorders>
              <w:bottom w:val="single" w:sz="8" w:color="auto"/>
              <w:right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w:t>
            </w:r>
          </w:p>
        </w:tc>
        <w:tc>
          <w:tcPr>
            <w:tcW w:w="960" w:type="dxa"/>
            <w:vAlign w:val="bottom"/>
            <w:tcBorders>
              <w:bottom w:val="single" w:sz="8" w:color="auto"/>
              <w:right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w:t>
            </w:r>
          </w:p>
        </w:tc>
        <w:tc>
          <w:tcPr>
            <w:tcW w:w="1100" w:type="dxa"/>
            <w:vAlign w:val="bottom"/>
            <w:tcBorders>
              <w:bottom w:val="single" w:sz="8" w:color="auto"/>
              <w:right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w:t>
            </w: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w:t>
            </w:r>
          </w:p>
        </w:tc>
      </w:tr>
      <w:tr>
        <w:trPr>
          <w:trHeight w:val="290"/>
        </w:trPr>
        <w:tc>
          <w:tcPr>
            <w:tcW w:w="3600" w:type="dxa"/>
            <w:vAlign w:val="bottom"/>
            <w:tcBorders>
              <w:bottom w:val="single" w:sz="8" w:color="959595"/>
            </w:tcBorders>
          </w:tcPr>
          <w:p>
            <w:pPr>
              <w:ind w:left="80"/>
              <w:spacing w:after="0"/>
              <w:rPr>
                <w:sz w:val="20"/>
                <w:szCs w:val="20"/>
                <w:color w:val="auto"/>
              </w:rPr>
            </w:pPr>
            <w:r>
              <w:rPr>
                <w:rFonts w:ascii="Arial" w:cs="Arial" w:eastAsia="Arial" w:hAnsi="Arial"/>
                <w:sz w:val="13"/>
                <w:szCs w:val="13"/>
                <w:color w:val="auto"/>
              </w:rPr>
              <w:t>Base Salary</w:t>
            </w:r>
            <w:r>
              <w:rPr>
                <w:rFonts w:ascii="Arial" w:cs="Arial" w:eastAsia="Arial" w:hAnsi="Arial"/>
                <w:sz w:val="22"/>
                <w:szCs w:val="22"/>
                <w:color w:val="auto"/>
                <w:vertAlign w:val="superscript"/>
              </w:rPr>
              <w:t>(2)</w:t>
            </w:r>
          </w:p>
        </w:tc>
        <w:tc>
          <w:tcPr>
            <w:tcW w:w="2760" w:type="dxa"/>
            <w:vAlign w:val="bottom"/>
            <w:tcBorders>
              <w:bottom w:val="single" w:sz="8" w:color="959595"/>
            </w:tcBorders>
          </w:tcPr>
          <w:p>
            <w:pPr>
              <w:spacing w:after="0"/>
              <w:rPr>
                <w:sz w:val="24"/>
                <w:szCs w:val="24"/>
                <w:color w:val="auto"/>
              </w:rPr>
            </w:pPr>
          </w:p>
        </w:tc>
        <w:tc>
          <w:tcPr>
            <w:tcW w:w="960" w:type="dxa"/>
            <w:vAlign w:val="bottom"/>
            <w:tcBorders>
              <w:bottom w:val="single" w:sz="8" w:color="959595"/>
            </w:tcBorders>
          </w:tcPr>
          <w:p>
            <w:pPr>
              <w:jc w:val="right"/>
              <w:ind w:right="53"/>
              <w:spacing w:after="0"/>
              <w:rPr>
                <w:sz w:val="20"/>
                <w:szCs w:val="20"/>
                <w:color w:val="auto"/>
              </w:rPr>
            </w:pPr>
            <w:r>
              <w:rPr>
                <w:rFonts w:ascii="Arial" w:cs="Arial" w:eastAsia="Arial" w:hAnsi="Arial"/>
                <w:sz w:val="13"/>
                <w:szCs w:val="13"/>
                <w:color w:val="auto"/>
              </w:rPr>
              <w:t>408,654</w:t>
            </w:r>
          </w:p>
        </w:tc>
        <w:tc>
          <w:tcPr>
            <w:tcW w:w="96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1,250,000</w:t>
            </w:r>
          </w:p>
        </w:tc>
        <w:tc>
          <w:tcPr>
            <w:tcW w:w="96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1,250,000</w:t>
            </w:r>
          </w:p>
        </w:tc>
        <w:tc>
          <w:tcPr>
            <w:tcW w:w="1100" w:type="dxa"/>
            <w:vAlign w:val="bottom"/>
            <w:tcBorders>
              <w:bottom w:val="single" w:sz="8" w:color="959595"/>
            </w:tcBorders>
          </w:tcPr>
          <w:p>
            <w:pPr>
              <w:jc w:val="right"/>
              <w:ind w:right="213"/>
              <w:spacing w:after="0"/>
              <w:rPr>
                <w:sz w:val="20"/>
                <w:szCs w:val="20"/>
                <w:color w:val="auto"/>
              </w:rPr>
            </w:pPr>
            <w:r>
              <w:rPr>
                <w:rFonts w:ascii="Arial" w:cs="Arial" w:eastAsia="Arial" w:hAnsi="Arial"/>
                <w:sz w:val="13"/>
                <w:szCs w:val="13"/>
                <w:color w:val="auto"/>
              </w:rPr>
              <w:t>1,250,000</w:t>
            </w:r>
          </w:p>
        </w:tc>
        <w:tc>
          <w:tcPr>
            <w:tcW w:w="90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1,250,000</w:t>
            </w:r>
          </w:p>
        </w:tc>
      </w:tr>
      <w:tr>
        <w:trPr>
          <w:trHeight w:val="291"/>
        </w:trPr>
        <w:tc>
          <w:tcPr>
            <w:tcW w:w="3600" w:type="dxa"/>
            <w:vAlign w:val="bottom"/>
            <w:tcBorders>
              <w:bottom w:val="single" w:sz="8" w:color="959595"/>
            </w:tcBorders>
          </w:tcPr>
          <w:p>
            <w:pPr>
              <w:ind w:left="80"/>
              <w:spacing w:after="0"/>
              <w:rPr>
                <w:sz w:val="20"/>
                <w:szCs w:val="20"/>
                <w:color w:val="auto"/>
              </w:rPr>
            </w:pPr>
            <w:r>
              <w:rPr>
                <w:rFonts w:ascii="Arial" w:cs="Arial" w:eastAsia="Arial" w:hAnsi="Arial"/>
                <w:sz w:val="13"/>
                <w:szCs w:val="13"/>
                <w:color w:val="auto"/>
              </w:rPr>
              <w:t>Target STI</w:t>
            </w:r>
            <w:r>
              <w:rPr>
                <w:rFonts w:ascii="Arial" w:cs="Arial" w:eastAsia="Arial" w:hAnsi="Arial"/>
                <w:sz w:val="22"/>
                <w:szCs w:val="22"/>
                <w:color w:val="auto"/>
                <w:vertAlign w:val="superscript"/>
              </w:rPr>
              <w:t>(2)</w:t>
            </w:r>
          </w:p>
        </w:tc>
        <w:tc>
          <w:tcPr>
            <w:tcW w:w="2760" w:type="dxa"/>
            <w:vAlign w:val="bottom"/>
            <w:tcBorders>
              <w:bottom w:val="single" w:sz="8" w:color="959595"/>
            </w:tcBorders>
          </w:tcPr>
          <w:p>
            <w:pPr>
              <w:spacing w:after="0"/>
              <w:rPr>
                <w:sz w:val="24"/>
                <w:szCs w:val="24"/>
                <w:color w:val="auto"/>
              </w:rPr>
            </w:pPr>
          </w:p>
        </w:tc>
        <w:tc>
          <w:tcPr>
            <w:tcW w:w="960" w:type="dxa"/>
            <w:vAlign w:val="bottom"/>
            <w:tcBorders>
              <w:bottom w:val="single" w:sz="8" w:color="959595"/>
            </w:tcBorders>
          </w:tcPr>
          <w:p>
            <w:pPr>
              <w:jc w:val="right"/>
              <w:ind w:right="53"/>
              <w:spacing w:after="0"/>
              <w:rPr>
                <w:sz w:val="20"/>
                <w:szCs w:val="20"/>
                <w:color w:val="auto"/>
              </w:rPr>
            </w:pPr>
            <w:r>
              <w:rPr>
                <w:rFonts w:ascii="Arial" w:cs="Arial" w:eastAsia="Arial" w:hAnsi="Arial"/>
                <w:sz w:val="13"/>
                <w:szCs w:val="13"/>
                <w:color w:val="auto"/>
              </w:rPr>
              <w:t>673,077</w:t>
            </w:r>
          </w:p>
        </w:tc>
        <w:tc>
          <w:tcPr>
            <w:tcW w:w="96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2,187,500</w:t>
            </w:r>
          </w:p>
        </w:tc>
        <w:tc>
          <w:tcPr>
            <w:tcW w:w="96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2,187,500</w:t>
            </w:r>
          </w:p>
        </w:tc>
        <w:tc>
          <w:tcPr>
            <w:tcW w:w="1100" w:type="dxa"/>
            <w:vAlign w:val="bottom"/>
            <w:tcBorders>
              <w:bottom w:val="single" w:sz="8" w:color="959595"/>
            </w:tcBorders>
          </w:tcPr>
          <w:p>
            <w:pPr>
              <w:jc w:val="right"/>
              <w:ind w:right="213"/>
              <w:spacing w:after="0"/>
              <w:rPr>
                <w:sz w:val="20"/>
                <w:szCs w:val="20"/>
                <w:color w:val="auto"/>
              </w:rPr>
            </w:pPr>
            <w:r>
              <w:rPr>
                <w:rFonts w:ascii="Arial" w:cs="Arial" w:eastAsia="Arial" w:hAnsi="Arial"/>
                <w:sz w:val="13"/>
                <w:szCs w:val="13"/>
                <w:color w:val="auto"/>
              </w:rPr>
              <w:t>2,187,500</w:t>
            </w:r>
          </w:p>
        </w:tc>
        <w:tc>
          <w:tcPr>
            <w:tcW w:w="90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2,187,500</w:t>
            </w:r>
          </w:p>
        </w:tc>
      </w:tr>
      <w:tr>
        <w:trPr>
          <w:trHeight w:val="195"/>
        </w:trPr>
        <w:tc>
          <w:tcPr>
            <w:tcW w:w="3600" w:type="dxa"/>
            <w:vAlign w:val="bottom"/>
          </w:tcPr>
          <w:p>
            <w:pPr>
              <w:ind w:left="80"/>
              <w:spacing w:after="0"/>
              <w:rPr>
                <w:sz w:val="20"/>
                <w:szCs w:val="20"/>
                <w:color w:val="auto"/>
              </w:rPr>
            </w:pPr>
            <w:r>
              <w:rPr>
                <w:rFonts w:ascii="Arial" w:cs="Arial" w:eastAsia="Arial" w:hAnsi="Arial"/>
                <w:sz w:val="13"/>
                <w:szCs w:val="13"/>
                <w:color w:val="auto"/>
              </w:rPr>
              <w:t>Transition Cash Award</w:t>
            </w:r>
          </w:p>
        </w:tc>
        <w:tc>
          <w:tcPr>
            <w:tcW w:w="2760" w:type="dxa"/>
            <w:vAlign w:val="bottom"/>
          </w:tcPr>
          <w:p>
            <w:pPr>
              <w:spacing w:after="0"/>
              <w:rPr>
                <w:sz w:val="17"/>
                <w:szCs w:val="17"/>
                <w:color w:val="auto"/>
              </w:rPr>
            </w:pPr>
          </w:p>
        </w:tc>
        <w:tc>
          <w:tcPr>
            <w:tcW w:w="960" w:type="dxa"/>
            <w:vAlign w:val="bottom"/>
          </w:tcPr>
          <w:p>
            <w:pPr>
              <w:jc w:val="right"/>
              <w:ind w:right="53"/>
              <w:spacing w:after="0"/>
              <w:rPr>
                <w:sz w:val="20"/>
                <w:szCs w:val="20"/>
                <w:color w:val="auto"/>
              </w:rPr>
            </w:pPr>
            <w:r>
              <w:rPr>
                <w:rFonts w:ascii="Arial" w:cs="Arial" w:eastAsia="Arial" w:hAnsi="Arial"/>
                <w:sz w:val="13"/>
                <w:szCs w:val="13"/>
                <w:color w:val="auto"/>
              </w:rPr>
              <w:t>3,500,000</w:t>
            </w: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213"/>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3"/>
              <w:spacing w:after="0"/>
              <w:rPr>
                <w:sz w:val="20"/>
                <w:szCs w:val="20"/>
                <w:color w:val="auto"/>
              </w:rPr>
            </w:pPr>
            <w:r>
              <w:rPr>
                <w:rFonts w:ascii="Arial" w:cs="Arial" w:eastAsia="Arial" w:hAnsi="Arial"/>
                <w:sz w:val="13"/>
                <w:szCs w:val="13"/>
                <w:color w:val="auto"/>
              </w:rPr>
              <w:t>—</w:t>
            </w:r>
          </w:p>
        </w:tc>
      </w:tr>
      <w:tr>
        <w:trPr>
          <w:trHeight w:val="41"/>
        </w:trPr>
        <w:tc>
          <w:tcPr>
            <w:tcW w:w="3600" w:type="dxa"/>
            <w:vAlign w:val="bottom"/>
            <w:tcBorders>
              <w:bottom w:val="single" w:sz="8" w:color="959595"/>
            </w:tcBorders>
          </w:tcPr>
          <w:p>
            <w:pPr>
              <w:spacing w:after="0"/>
              <w:rPr>
                <w:sz w:val="3"/>
                <w:szCs w:val="3"/>
                <w:color w:val="auto"/>
              </w:rPr>
            </w:pPr>
          </w:p>
        </w:tc>
        <w:tc>
          <w:tcPr>
            <w:tcW w:w="2760" w:type="dxa"/>
            <w:vAlign w:val="bottom"/>
            <w:tcBorders>
              <w:bottom w:val="single" w:sz="8" w:color="959595"/>
            </w:tcBorders>
          </w:tcPr>
          <w:p>
            <w:pPr>
              <w:spacing w:after="0"/>
              <w:rPr>
                <w:sz w:val="3"/>
                <w:szCs w:val="3"/>
                <w:color w:val="auto"/>
              </w:rPr>
            </w:pPr>
          </w:p>
        </w:tc>
        <w:tc>
          <w:tcPr>
            <w:tcW w:w="960" w:type="dxa"/>
            <w:vAlign w:val="bottom"/>
            <w:tcBorders>
              <w:bottom w:val="single" w:sz="8" w:color="959595"/>
            </w:tcBorders>
          </w:tcPr>
          <w:p>
            <w:pPr>
              <w:spacing w:after="0"/>
              <w:rPr>
                <w:sz w:val="3"/>
                <w:szCs w:val="3"/>
                <w:color w:val="auto"/>
              </w:rPr>
            </w:pPr>
          </w:p>
        </w:tc>
        <w:tc>
          <w:tcPr>
            <w:tcW w:w="960" w:type="dxa"/>
            <w:vAlign w:val="bottom"/>
            <w:tcBorders>
              <w:bottom w:val="single" w:sz="8" w:color="959595"/>
            </w:tcBorders>
          </w:tcPr>
          <w:p>
            <w:pPr>
              <w:spacing w:after="0"/>
              <w:rPr>
                <w:sz w:val="3"/>
                <w:szCs w:val="3"/>
                <w:color w:val="auto"/>
              </w:rPr>
            </w:pPr>
          </w:p>
        </w:tc>
        <w:tc>
          <w:tcPr>
            <w:tcW w:w="960" w:type="dxa"/>
            <w:vAlign w:val="bottom"/>
            <w:tcBorders>
              <w:bottom w:val="single" w:sz="8" w:color="959595"/>
            </w:tcBorders>
          </w:tcPr>
          <w:p>
            <w:pPr>
              <w:spacing w:after="0"/>
              <w:rPr>
                <w:sz w:val="3"/>
                <w:szCs w:val="3"/>
                <w:color w:val="auto"/>
              </w:rPr>
            </w:pPr>
          </w:p>
        </w:tc>
        <w:tc>
          <w:tcPr>
            <w:tcW w:w="1100" w:type="dxa"/>
            <w:vAlign w:val="bottom"/>
            <w:tcBorders>
              <w:bottom w:val="single" w:sz="8" w:color="959595"/>
            </w:tcBorders>
          </w:tcPr>
          <w:p>
            <w:pPr>
              <w:spacing w:after="0"/>
              <w:rPr>
                <w:sz w:val="3"/>
                <w:szCs w:val="3"/>
                <w:color w:val="auto"/>
              </w:rPr>
            </w:pPr>
          </w:p>
        </w:tc>
        <w:tc>
          <w:tcPr>
            <w:tcW w:w="900" w:type="dxa"/>
            <w:vAlign w:val="bottom"/>
            <w:tcBorders>
              <w:bottom w:val="single" w:sz="8" w:color="959595"/>
            </w:tcBorders>
          </w:tcPr>
          <w:p>
            <w:pPr>
              <w:spacing w:after="0"/>
              <w:rPr>
                <w:sz w:val="3"/>
                <w:szCs w:val="3"/>
                <w:color w:val="auto"/>
              </w:rPr>
            </w:pPr>
          </w:p>
        </w:tc>
      </w:tr>
      <w:tr>
        <w:trPr>
          <w:trHeight w:val="290"/>
        </w:trPr>
        <w:tc>
          <w:tcPr>
            <w:tcW w:w="3600" w:type="dxa"/>
            <w:vAlign w:val="bottom"/>
          </w:tcPr>
          <w:p>
            <w:pPr>
              <w:ind w:left="80"/>
              <w:spacing w:after="0"/>
              <w:rPr>
                <w:sz w:val="20"/>
                <w:szCs w:val="20"/>
                <w:color w:val="auto"/>
              </w:rPr>
            </w:pPr>
            <w:r>
              <w:rPr>
                <w:rFonts w:ascii="Arial" w:cs="Arial" w:eastAsia="Arial" w:hAnsi="Arial"/>
                <w:sz w:val="13"/>
                <w:szCs w:val="13"/>
                <w:color w:val="auto"/>
              </w:rPr>
              <w:t>Transition Equity Award</w:t>
            </w:r>
            <w:r>
              <w:rPr>
                <w:rFonts w:ascii="Arial" w:cs="Arial" w:eastAsia="Arial" w:hAnsi="Arial"/>
                <w:sz w:val="22"/>
                <w:szCs w:val="22"/>
                <w:color w:val="auto"/>
                <w:vertAlign w:val="superscript"/>
              </w:rPr>
              <w:t>(3)</w:t>
            </w:r>
          </w:p>
        </w:tc>
        <w:tc>
          <w:tcPr>
            <w:tcW w:w="2760" w:type="dxa"/>
            <w:vAlign w:val="bottom"/>
            <w:tcBorders>
              <w:bottom w:val="single" w:sz="8" w:color="959595"/>
            </w:tcBorders>
          </w:tcPr>
          <w:p>
            <w:pPr>
              <w:ind w:left="80"/>
              <w:spacing w:after="0"/>
              <w:rPr>
                <w:sz w:val="20"/>
                <w:szCs w:val="20"/>
                <w:color w:val="auto"/>
              </w:rPr>
            </w:pPr>
            <w:r>
              <w:rPr>
                <w:rFonts w:ascii="Arial" w:cs="Arial" w:eastAsia="Arial" w:hAnsi="Arial"/>
                <w:sz w:val="13"/>
                <w:szCs w:val="13"/>
                <w:color w:val="auto"/>
              </w:rPr>
              <w:t>PSUs</w:t>
            </w:r>
          </w:p>
        </w:tc>
        <w:tc>
          <w:tcPr>
            <w:tcW w:w="960" w:type="dxa"/>
            <w:vAlign w:val="bottom"/>
            <w:tcBorders>
              <w:bottom w:val="single" w:sz="8" w:color="959595"/>
            </w:tcBorders>
          </w:tcPr>
          <w:p>
            <w:pPr>
              <w:jc w:val="right"/>
              <w:ind w:right="53"/>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20,500,000</w:t>
            </w:r>
            <w:r>
              <w:rPr>
                <w:rFonts w:ascii="Arial" w:cs="Arial" w:eastAsia="Arial" w:hAnsi="Arial"/>
                <w:sz w:val="11"/>
                <w:szCs w:val="11"/>
                <w:color w:val="auto"/>
              </w:rPr>
              <w:t>(4)</w:t>
            </w:r>
          </w:p>
        </w:tc>
        <w:tc>
          <w:tcPr>
            <w:tcW w:w="90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r>
      <w:tr>
        <w:trPr>
          <w:trHeight w:val="196"/>
        </w:trPr>
        <w:tc>
          <w:tcPr>
            <w:tcW w:w="360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3"/>
                <w:szCs w:val="13"/>
                <w:color w:val="auto"/>
              </w:rPr>
              <w:t>RSUs</w:t>
            </w:r>
          </w:p>
        </w:tc>
        <w:tc>
          <w:tcPr>
            <w:tcW w:w="9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5,000,000</w:t>
            </w: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5,000,000</w:t>
            </w:r>
          </w:p>
        </w:tc>
        <w:tc>
          <w:tcPr>
            <w:tcW w:w="1100" w:type="dxa"/>
            <w:vAlign w:val="bottom"/>
          </w:tcPr>
          <w:p>
            <w:pPr>
              <w:jc w:val="right"/>
              <w:ind w:right="213"/>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3"/>
              <w:spacing w:after="0"/>
              <w:rPr>
                <w:sz w:val="20"/>
                <w:szCs w:val="20"/>
                <w:color w:val="auto"/>
              </w:rPr>
            </w:pPr>
            <w:r>
              <w:rPr>
                <w:rFonts w:ascii="Arial" w:cs="Arial" w:eastAsia="Arial" w:hAnsi="Arial"/>
                <w:sz w:val="13"/>
                <w:szCs w:val="13"/>
                <w:color w:val="auto"/>
              </w:rPr>
              <w:t>—</w:t>
            </w:r>
          </w:p>
        </w:tc>
      </w:tr>
      <w:tr>
        <w:trPr>
          <w:trHeight w:val="41"/>
        </w:trPr>
        <w:tc>
          <w:tcPr>
            <w:tcW w:w="3600" w:type="dxa"/>
            <w:vAlign w:val="bottom"/>
            <w:tcBorders>
              <w:bottom w:val="single" w:sz="8" w:color="959595"/>
            </w:tcBorders>
          </w:tcPr>
          <w:p>
            <w:pPr>
              <w:spacing w:after="0"/>
              <w:rPr>
                <w:sz w:val="3"/>
                <w:szCs w:val="3"/>
                <w:color w:val="auto"/>
              </w:rPr>
            </w:pPr>
          </w:p>
        </w:tc>
        <w:tc>
          <w:tcPr>
            <w:tcW w:w="2760" w:type="dxa"/>
            <w:vAlign w:val="bottom"/>
            <w:tcBorders>
              <w:bottom w:val="single" w:sz="8" w:color="959595"/>
            </w:tcBorders>
          </w:tcPr>
          <w:p>
            <w:pPr>
              <w:spacing w:after="0"/>
              <w:rPr>
                <w:sz w:val="3"/>
                <w:szCs w:val="3"/>
                <w:color w:val="auto"/>
              </w:rPr>
            </w:pPr>
          </w:p>
        </w:tc>
        <w:tc>
          <w:tcPr>
            <w:tcW w:w="960" w:type="dxa"/>
            <w:vAlign w:val="bottom"/>
            <w:tcBorders>
              <w:bottom w:val="single" w:sz="8" w:color="959595"/>
            </w:tcBorders>
          </w:tcPr>
          <w:p>
            <w:pPr>
              <w:spacing w:after="0"/>
              <w:rPr>
                <w:sz w:val="3"/>
                <w:szCs w:val="3"/>
                <w:color w:val="auto"/>
              </w:rPr>
            </w:pPr>
          </w:p>
        </w:tc>
        <w:tc>
          <w:tcPr>
            <w:tcW w:w="960" w:type="dxa"/>
            <w:vAlign w:val="bottom"/>
            <w:tcBorders>
              <w:bottom w:val="single" w:sz="8" w:color="959595"/>
            </w:tcBorders>
          </w:tcPr>
          <w:p>
            <w:pPr>
              <w:spacing w:after="0"/>
              <w:rPr>
                <w:sz w:val="3"/>
                <w:szCs w:val="3"/>
                <w:color w:val="auto"/>
              </w:rPr>
            </w:pPr>
          </w:p>
        </w:tc>
        <w:tc>
          <w:tcPr>
            <w:tcW w:w="960" w:type="dxa"/>
            <w:vAlign w:val="bottom"/>
            <w:tcBorders>
              <w:bottom w:val="single" w:sz="8" w:color="959595"/>
            </w:tcBorders>
          </w:tcPr>
          <w:p>
            <w:pPr>
              <w:spacing w:after="0"/>
              <w:rPr>
                <w:sz w:val="3"/>
                <w:szCs w:val="3"/>
                <w:color w:val="auto"/>
              </w:rPr>
            </w:pPr>
          </w:p>
        </w:tc>
        <w:tc>
          <w:tcPr>
            <w:tcW w:w="1100" w:type="dxa"/>
            <w:vAlign w:val="bottom"/>
            <w:tcBorders>
              <w:bottom w:val="single" w:sz="8" w:color="959595"/>
            </w:tcBorders>
          </w:tcPr>
          <w:p>
            <w:pPr>
              <w:spacing w:after="0"/>
              <w:rPr>
                <w:sz w:val="3"/>
                <w:szCs w:val="3"/>
                <w:color w:val="auto"/>
              </w:rPr>
            </w:pPr>
          </w:p>
        </w:tc>
        <w:tc>
          <w:tcPr>
            <w:tcW w:w="900" w:type="dxa"/>
            <w:vAlign w:val="bottom"/>
            <w:tcBorders>
              <w:bottom w:val="single" w:sz="8" w:color="959595"/>
            </w:tcBorders>
          </w:tcPr>
          <w:p>
            <w:pPr>
              <w:spacing w:after="0"/>
              <w:rPr>
                <w:sz w:val="3"/>
                <w:szCs w:val="3"/>
                <w:color w:val="auto"/>
              </w:rPr>
            </w:pPr>
          </w:p>
        </w:tc>
      </w:tr>
      <w:tr>
        <w:trPr>
          <w:trHeight w:val="290"/>
        </w:trPr>
        <w:tc>
          <w:tcPr>
            <w:tcW w:w="3600" w:type="dxa"/>
            <w:vAlign w:val="bottom"/>
          </w:tcPr>
          <w:p>
            <w:pPr>
              <w:ind w:left="80"/>
              <w:spacing w:after="0"/>
              <w:rPr>
                <w:sz w:val="20"/>
                <w:szCs w:val="20"/>
                <w:color w:val="auto"/>
              </w:rPr>
            </w:pPr>
            <w:r>
              <w:rPr>
                <w:rFonts w:ascii="Arial" w:cs="Arial" w:eastAsia="Arial" w:hAnsi="Arial"/>
                <w:sz w:val="13"/>
                <w:szCs w:val="13"/>
                <w:color w:val="auto"/>
              </w:rPr>
              <w:t>Fiscal 2021 Annual LTI Award</w:t>
            </w:r>
            <w:r>
              <w:rPr>
                <w:rFonts w:ascii="Arial" w:cs="Arial" w:eastAsia="Arial" w:hAnsi="Arial"/>
                <w:sz w:val="22"/>
                <w:szCs w:val="22"/>
                <w:color w:val="auto"/>
                <w:vertAlign w:val="superscript"/>
              </w:rPr>
              <w:t>(3)</w:t>
            </w:r>
          </w:p>
        </w:tc>
        <w:tc>
          <w:tcPr>
            <w:tcW w:w="2760" w:type="dxa"/>
            <w:vAlign w:val="bottom"/>
            <w:tcBorders>
              <w:bottom w:val="single" w:sz="8" w:color="959595"/>
            </w:tcBorders>
          </w:tcPr>
          <w:p>
            <w:pPr>
              <w:ind w:left="80"/>
              <w:spacing w:after="0"/>
              <w:rPr>
                <w:sz w:val="20"/>
                <w:szCs w:val="20"/>
                <w:color w:val="auto"/>
              </w:rPr>
            </w:pPr>
            <w:r>
              <w:rPr>
                <w:rFonts w:ascii="Arial" w:cs="Arial" w:eastAsia="Arial" w:hAnsi="Arial"/>
                <w:sz w:val="13"/>
                <w:szCs w:val="13"/>
                <w:color w:val="auto"/>
              </w:rPr>
              <w:t>PSUs</w:t>
            </w:r>
          </w:p>
        </w:tc>
        <w:tc>
          <w:tcPr>
            <w:tcW w:w="960" w:type="dxa"/>
            <w:vAlign w:val="bottom"/>
            <w:tcBorders>
              <w:bottom w:val="single" w:sz="8" w:color="959595"/>
            </w:tcBorders>
          </w:tcPr>
          <w:p>
            <w:pPr>
              <w:jc w:val="right"/>
              <w:ind w:right="53"/>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959595"/>
            </w:tcBorders>
          </w:tcPr>
          <w:p>
            <w:pPr>
              <w:jc w:val="right"/>
              <w:ind w:right="213"/>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7,200,000</w:t>
            </w:r>
          </w:p>
        </w:tc>
      </w:tr>
      <w:tr>
        <w:trPr>
          <w:trHeight w:val="196"/>
        </w:trPr>
        <w:tc>
          <w:tcPr>
            <w:tcW w:w="360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3"/>
                <w:szCs w:val="13"/>
                <w:color w:val="auto"/>
              </w:rPr>
              <w:t>RSUs</w:t>
            </w:r>
          </w:p>
        </w:tc>
        <w:tc>
          <w:tcPr>
            <w:tcW w:w="9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1,200,000</w:t>
            </w:r>
          </w:p>
        </w:tc>
        <w:tc>
          <w:tcPr>
            <w:tcW w:w="1100" w:type="dxa"/>
            <w:vAlign w:val="bottom"/>
          </w:tcPr>
          <w:p>
            <w:pPr>
              <w:jc w:val="right"/>
              <w:ind w:right="213"/>
              <w:spacing w:after="0"/>
              <w:rPr>
                <w:sz w:val="20"/>
                <w:szCs w:val="20"/>
                <w:color w:val="auto"/>
              </w:rPr>
            </w:pPr>
            <w:r>
              <w:rPr>
                <w:rFonts w:ascii="Arial" w:cs="Arial" w:eastAsia="Arial" w:hAnsi="Arial"/>
                <w:sz w:val="13"/>
                <w:szCs w:val="13"/>
                <w:color w:val="auto"/>
              </w:rPr>
              <w:t>1,200,000</w:t>
            </w:r>
          </w:p>
        </w:tc>
        <w:tc>
          <w:tcPr>
            <w:tcW w:w="900" w:type="dxa"/>
            <w:vAlign w:val="bottom"/>
          </w:tcPr>
          <w:p>
            <w:pPr>
              <w:jc w:val="right"/>
              <w:ind w:right="13"/>
              <w:spacing w:after="0"/>
              <w:rPr>
                <w:sz w:val="20"/>
                <w:szCs w:val="20"/>
                <w:color w:val="auto"/>
              </w:rPr>
            </w:pPr>
            <w:r>
              <w:rPr>
                <w:rFonts w:ascii="Arial" w:cs="Arial" w:eastAsia="Arial" w:hAnsi="Arial"/>
                <w:sz w:val="13"/>
                <w:szCs w:val="13"/>
                <w:color w:val="auto"/>
              </w:rPr>
              <w:t>1,200,000</w:t>
            </w:r>
          </w:p>
        </w:tc>
      </w:tr>
      <w:tr>
        <w:trPr>
          <w:trHeight w:val="41"/>
        </w:trPr>
        <w:tc>
          <w:tcPr>
            <w:tcW w:w="3600" w:type="dxa"/>
            <w:vAlign w:val="bottom"/>
            <w:tcBorders>
              <w:bottom w:val="single" w:sz="8" w:color="959595"/>
            </w:tcBorders>
          </w:tcPr>
          <w:p>
            <w:pPr>
              <w:spacing w:after="0"/>
              <w:rPr>
                <w:sz w:val="3"/>
                <w:szCs w:val="3"/>
                <w:color w:val="auto"/>
              </w:rPr>
            </w:pPr>
          </w:p>
        </w:tc>
        <w:tc>
          <w:tcPr>
            <w:tcW w:w="2760" w:type="dxa"/>
            <w:vAlign w:val="bottom"/>
            <w:tcBorders>
              <w:bottom w:val="single" w:sz="8" w:color="959595"/>
            </w:tcBorders>
          </w:tcPr>
          <w:p>
            <w:pPr>
              <w:spacing w:after="0"/>
              <w:rPr>
                <w:sz w:val="3"/>
                <w:szCs w:val="3"/>
                <w:color w:val="auto"/>
              </w:rPr>
            </w:pPr>
          </w:p>
        </w:tc>
        <w:tc>
          <w:tcPr>
            <w:tcW w:w="960" w:type="dxa"/>
            <w:vAlign w:val="bottom"/>
            <w:tcBorders>
              <w:bottom w:val="single" w:sz="8" w:color="959595"/>
            </w:tcBorders>
          </w:tcPr>
          <w:p>
            <w:pPr>
              <w:spacing w:after="0"/>
              <w:rPr>
                <w:sz w:val="3"/>
                <w:szCs w:val="3"/>
                <w:color w:val="auto"/>
              </w:rPr>
            </w:pPr>
          </w:p>
        </w:tc>
        <w:tc>
          <w:tcPr>
            <w:tcW w:w="960" w:type="dxa"/>
            <w:vAlign w:val="bottom"/>
            <w:tcBorders>
              <w:bottom w:val="single" w:sz="8" w:color="959595"/>
            </w:tcBorders>
          </w:tcPr>
          <w:p>
            <w:pPr>
              <w:spacing w:after="0"/>
              <w:rPr>
                <w:sz w:val="3"/>
                <w:szCs w:val="3"/>
                <w:color w:val="auto"/>
              </w:rPr>
            </w:pPr>
          </w:p>
        </w:tc>
        <w:tc>
          <w:tcPr>
            <w:tcW w:w="960" w:type="dxa"/>
            <w:vAlign w:val="bottom"/>
            <w:tcBorders>
              <w:bottom w:val="single" w:sz="8" w:color="959595"/>
            </w:tcBorders>
          </w:tcPr>
          <w:p>
            <w:pPr>
              <w:spacing w:after="0"/>
              <w:rPr>
                <w:sz w:val="3"/>
                <w:szCs w:val="3"/>
                <w:color w:val="auto"/>
              </w:rPr>
            </w:pPr>
          </w:p>
        </w:tc>
        <w:tc>
          <w:tcPr>
            <w:tcW w:w="1100" w:type="dxa"/>
            <w:vAlign w:val="bottom"/>
            <w:tcBorders>
              <w:bottom w:val="single" w:sz="8" w:color="959595"/>
            </w:tcBorders>
          </w:tcPr>
          <w:p>
            <w:pPr>
              <w:spacing w:after="0"/>
              <w:rPr>
                <w:sz w:val="3"/>
                <w:szCs w:val="3"/>
                <w:color w:val="auto"/>
              </w:rPr>
            </w:pPr>
          </w:p>
        </w:tc>
        <w:tc>
          <w:tcPr>
            <w:tcW w:w="900" w:type="dxa"/>
            <w:vAlign w:val="bottom"/>
            <w:tcBorders>
              <w:bottom w:val="single" w:sz="8" w:color="959595"/>
            </w:tcBorders>
          </w:tcPr>
          <w:p>
            <w:pPr>
              <w:spacing w:after="0"/>
              <w:rPr>
                <w:sz w:val="3"/>
                <w:szCs w:val="3"/>
                <w:color w:val="auto"/>
              </w:rPr>
            </w:pPr>
          </w:p>
        </w:tc>
      </w:tr>
      <w:tr>
        <w:trPr>
          <w:trHeight w:val="291"/>
        </w:trPr>
        <w:tc>
          <w:tcPr>
            <w:tcW w:w="3600" w:type="dxa"/>
            <w:vAlign w:val="bottom"/>
            <w:tcBorders>
              <w:bottom w:val="single" w:sz="8" w:color="959595"/>
            </w:tcBorders>
          </w:tcPr>
          <w:p>
            <w:pPr>
              <w:ind w:left="80"/>
              <w:spacing w:after="0"/>
              <w:rPr>
                <w:sz w:val="20"/>
                <w:szCs w:val="20"/>
                <w:color w:val="auto"/>
              </w:rPr>
            </w:pPr>
            <w:r>
              <w:rPr>
                <w:rFonts w:ascii="Arial" w:cs="Arial" w:eastAsia="Arial" w:hAnsi="Arial"/>
                <w:sz w:val="13"/>
                <w:szCs w:val="13"/>
                <w:color w:val="auto"/>
              </w:rPr>
              <w:t>Fiscal 2022 Annual LTI Award</w:t>
            </w:r>
            <w:r>
              <w:rPr>
                <w:rFonts w:ascii="Arial" w:cs="Arial" w:eastAsia="Arial" w:hAnsi="Arial"/>
                <w:sz w:val="22"/>
                <w:szCs w:val="22"/>
                <w:color w:val="auto"/>
                <w:vertAlign w:val="superscript"/>
              </w:rPr>
              <w:t>(3)</w:t>
            </w:r>
          </w:p>
        </w:tc>
        <w:tc>
          <w:tcPr>
            <w:tcW w:w="2760" w:type="dxa"/>
            <w:vAlign w:val="bottom"/>
            <w:tcBorders>
              <w:bottom w:val="single" w:sz="8" w:color="959595"/>
            </w:tcBorders>
          </w:tcPr>
          <w:p>
            <w:pPr>
              <w:ind w:left="80"/>
              <w:spacing w:after="0"/>
              <w:rPr>
                <w:sz w:val="20"/>
                <w:szCs w:val="20"/>
                <w:color w:val="auto"/>
              </w:rPr>
            </w:pPr>
            <w:r>
              <w:rPr>
                <w:rFonts w:ascii="Arial" w:cs="Arial" w:eastAsia="Arial" w:hAnsi="Arial"/>
                <w:sz w:val="13"/>
                <w:szCs w:val="13"/>
                <w:color w:val="auto"/>
              </w:rPr>
              <w:t>RSUs</w:t>
            </w:r>
          </w:p>
        </w:tc>
        <w:tc>
          <w:tcPr>
            <w:tcW w:w="960" w:type="dxa"/>
            <w:vAlign w:val="bottom"/>
            <w:tcBorders>
              <w:bottom w:val="single" w:sz="8" w:color="959595"/>
            </w:tcBorders>
          </w:tcPr>
          <w:p>
            <w:pPr>
              <w:jc w:val="right"/>
              <w:ind w:right="53"/>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959595"/>
            </w:tcBorders>
          </w:tcPr>
          <w:p>
            <w:pPr>
              <w:jc w:val="right"/>
              <w:ind w:right="213"/>
              <w:spacing w:after="0"/>
              <w:rPr>
                <w:sz w:val="20"/>
                <w:szCs w:val="20"/>
                <w:color w:val="auto"/>
              </w:rPr>
            </w:pPr>
            <w:r>
              <w:rPr>
                <w:rFonts w:ascii="Arial" w:cs="Arial" w:eastAsia="Arial" w:hAnsi="Arial"/>
                <w:sz w:val="13"/>
                <w:szCs w:val="13"/>
                <w:color w:val="auto"/>
              </w:rPr>
              <w:t>1,200,000</w:t>
            </w:r>
          </w:p>
        </w:tc>
        <w:tc>
          <w:tcPr>
            <w:tcW w:w="90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1,200,000</w:t>
            </w:r>
          </w:p>
        </w:tc>
      </w:tr>
      <w:tr>
        <w:trPr>
          <w:trHeight w:val="290"/>
        </w:trPr>
        <w:tc>
          <w:tcPr>
            <w:tcW w:w="3600" w:type="dxa"/>
            <w:vAlign w:val="bottom"/>
            <w:tcBorders>
              <w:bottom w:val="single" w:sz="8" w:color="959595"/>
            </w:tcBorders>
          </w:tcPr>
          <w:p>
            <w:pPr>
              <w:ind w:left="80"/>
              <w:spacing w:after="0"/>
              <w:rPr>
                <w:sz w:val="20"/>
                <w:szCs w:val="20"/>
                <w:color w:val="auto"/>
              </w:rPr>
            </w:pPr>
            <w:r>
              <w:rPr>
                <w:rFonts w:ascii="Arial" w:cs="Arial" w:eastAsia="Arial" w:hAnsi="Arial"/>
                <w:sz w:val="13"/>
                <w:szCs w:val="13"/>
                <w:color w:val="auto"/>
              </w:rPr>
              <w:t>Fiscal 2023 Annual LTI Award</w:t>
            </w:r>
            <w:r>
              <w:rPr>
                <w:rFonts w:ascii="Arial" w:cs="Arial" w:eastAsia="Arial" w:hAnsi="Arial"/>
                <w:sz w:val="22"/>
                <w:szCs w:val="22"/>
                <w:color w:val="auto"/>
                <w:vertAlign w:val="superscript"/>
              </w:rPr>
              <w:t>(3)</w:t>
            </w:r>
          </w:p>
        </w:tc>
        <w:tc>
          <w:tcPr>
            <w:tcW w:w="2760" w:type="dxa"/>
            <w:vAlign w:val="bottom"/>
            <w:tcBorders>
              <w:bottom w:val="single" w:sz="8" w:color="959595"/>
            </w:tcBorders>
          </w:tcPr>
          <w:p>
            <w:pPr>
              <w:ind w:left="80"/>
              <w:spacing w:after="0"/>
              <w:rPr>
                <w:sz w:val="20"/>
                <w:szCs w:val="20"/>
                <w:color w:val="auto"/>
              </w:rPr>
            </w:pPr>
            <w:r>
              <w:rPr>
                <w:rFonts w:ascii="Arial" w:cs="Arial" w:eastAsia="Arial" w:hAnsi="Arial"/>
                <w:sz w:val="13"/>
                <w:szCs w:val="13"/>
                <w:color w:val="auto"/>
              </w:rPr>
              <w:t>RSUs</w:t>
            </w:r>
          </w:p>
        </w:tc>
        <w:tc>
          <w:tcPr>
            <w:tcW w:w="960" w:type="dxa"/>
            <w:vAlign w:val="bottom"/>
            <w:tcBorders>
              <w:bottom w:val="single" w:sz="8" w:color="959595"/>
            </w:tcBorders>
          </w:tcPr>
          <w:p>
            <w:pPr>
              <w:jc w:val="right"/>
              <w:ind w:right="53"/>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959595"/>
            </w:tcBorders>
          </w:tcPr>
          <w:p>
            <w:pPr>
              <w:jc w:val="right"/>
              <w:ind w:right="213"/>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1,200,000</w:t>
            </w:r>
          </w:p>
        </w:tc>
      </w:tr>
      <w:tr>
        <w:trPr>
          <w:trHeight w:val="195"/>
        </w:trPr>
        <w:tc>
          <w:tcPr>
            <w:tcW w:w="3600" w:type="dxa"/>
            <w:vAlign w:val="bottom"/>
          </w:tcPr>
          <w:p>
            <w:pPr>
              <w:ind w:left="80"/>
              <w:spacing w:after="0"/>
              <w:rPr>
                <w:sz w:val="20"/>
                <w:szCs w:val="20"/>
                <w:color w:val="auto"/>
              </w:rPr>
            </w:pPr>
            <w:r>
              <w:rPr>
                <w:rFonts w:ascii="Arial" w:cs="Arial" w:eastAsia="Arial" w:hAnsi="Arial"/>
                <w:sz w:val="13"/>
                <w:szCs w:val="13"/>
                <w:b w:val="1"/>
                <w:bCs w:val="1"/>
                <w:color w:val="auto"/>
              </w:rPr>
              <w:t>Total</w:t>
            </w:r>
          </w:p>
        </w:tc>
        <w:tc>
          <w:tcPr>
            <w:tcW w:w="2760" w:type="dxa"/>
            <w:vAlign w:val="bottom"/>
          </w:tcPr>
          <w:p>
            <w:pPr>
              <w:spacing w:after="0"/>
              <w:rPr>
                <w:sz w:val="17"/>
                <w:szCs w:val="17"/>
                <w:color w:val="auto"/>
              </w:rPr>
            </w:pPr>
          </w:p>
        </w:tc>
        <w:tc>
          <w:tcPr>
            <w:tcW w:w="960" w:type="dxa"/>
            <w:vAlign w:val="bottom"/>
          </w:tcPr>
          <w:p>
            <w:pPr>
              <w:jc w:val="right"/>
              <w:ind w:right="53"/>
              <w:spacing w:after="0"/>
              <w:rPr>
                <w:sz w:val="20"/>
                <w:szCs w:val="20"/>
                <w:color w:val="auto"/>
              </w:rPr>
            </w:pPr>
            <w:r>
              <w:rPr>
                <w:rFonts w:ascii="Arial" w:cs="Arial" w:eastAsia="Arial" w:hAnsi="Arial"/>
                <w:sz w:val="13"/>
                <w:szCs w:val="13"/>
                <w:color w:val="auto"/>
              </w:rPr>
              <w:t>4,581,731</w:t>
            </w: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8,437,500</w:t>
            </w: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9,637,500</w:t>
            </w:r>
          </w:p>
        </w:tc>
        <w:tc>
          <w:tcPr>
            <w:tcW w:w="1100" w:type="dxa"/>
            <w:vAlign w:val="bottom"/>
          </w:tcPr>
          <w:p>
            <w:pPr>
              <w:jc w:val="right"/>
              <w:ind w:right="213"/>
              <w:spacing w:after="0"/>
              <w:rPr>
                <w:sz w:val="20"/>
                <w:szCs w:val="20"/>
                <w:color w:val="auto"/>
              </w:rPr>
            </w:pPr>
            <w:r>
              <w:rPr>
                <w:rFonts w:ascii="Arial" w:cs="Arial" w:eastAsia="Arial" w:hAnsi="Arial"/>
                <w:sz w:val="13"/>
                <w:szCs w:val="13"/>
                <w:color w:val="auto"/>
              </w:rPr>
              <w:t>26,337,500</w:t>
            </w:r>
          </w:p>
        </w:tc>
        <w:tc>
          <w:tcPr>
            <w:tcW w:w="900" w:type="dxa"/>
            <w:vAlign w:val="bottom"/>
          </w:tcPr>
          <w:p>
            <w:pPr>
              <w:jc w:val="right"/>
              <w:ind w:right="13"/>
              <w:spacing w:after="0"/>
              <w:rPr>
                <w:sz w:val="20"/>
                <w:szCs w:val="20"/>
                <w:color w:val="auto"/>
              </w:rPr>
            </w:pPr>
            <w:r>
              <w:rPr>
                <w:rFonts w:ascii="Arial" w:cs="Arial" w:eastAsia="Arial" w:hAnsi="Arial"/>
                <w:sz w:val="13"/>
                <w:szCs w:val="13"/>
                <w:color w:val="auto"/>
              </w:rPr>
              <w:t>14,237,500</w:t>
            </w:r>
          </w:p>
        </w:tc>
      </w:tr>
      <w:tr>
        <w:trPr>
          <w:trHeight w:val="41"/>
        </w:trPr>
        <w:tc>
          <w:tcPr>
            <w:tcW w:w="3600" w:type="dxa"/>
            <w:vAlign w:val="bottom"/>
            <w:tcBorders>
              <w:bottom w:val="single" w:sz="8" w:color="959595"/>
            </w:tcBorders>
          </w:tcPr>
          <w:p>
            <w:pPr>
              <w:spacing w:after="0"/>
              <w:rPr>
                <w:sz w:val="3"/>
                <w:szCs w:val="3"/>
                <w:color w:val="auto"/>
              </w:rPr>
            </w:pPr>
          </w:p>
        </w:tc>
        <w:tc>
          <w:tcPr>
            <w:tcW w:w="2760" w:type="dxa"/>
            <w:vAlign w:val="bottom"/>
            <w:tcBorders>
              <w:bottom w:val="single" w:sz="8" w:color="959595"/>
            </w:tcBorders>
          </w:tcPr>
          <w:p>
            <w:pPr>
              <w:spacing w:after="0"/>
              <w:rPr>
                <w:sz w:val="3"/>
                <w:szCs w:val="3"/>
                <w:color w:val="auto"/>
              </w:rPr>
            </w:pPr>
          </w:p>
        </w:tc>
        <w:tc>
          <w:tcPr>
            <w:tcW w:w="960" w:type="dxa"/>
            <w:vAlign w:val="bottom"/>
            <w:tcBorders>
              <w:bottom w:val="single" w:sz="8" w:color="959595"/>
            </w:tcBorders>
          </w:tcPr>
          <w:p>
            <w:pPr>
              <w:spacing w:after="0"/>
              <w:rPr>
                <w:sz w:val="3"/>
                <w:szCs w:val="3"/>
                <w:color w:val="auto"/>
              </w:rPr>
            </w:pPr>
          </w:p>
        </w:tc>
        <w:tc>
          <w:tcPr>
            <w:tcW w:w="960" w:type="dxa"/>
            <w:vAlign w:val="bottom"/>
            <w:tcBorders>
              <w:bottom w:val="single" w:sz="8" w:color="959595"/>
            </w:tcBorders>
          </w:tcPr>
          <w:p>
            <w:pPr>
              <w:spacing w:after="0"/>
              <w:rPr>
                <w:sz w:val="3"/>
                <w:szCs w:val="3"/>
                <w:color w:val="auto"/>
              </w:rPr>
            </w:pPr>
          </w:p>
        </w:tc>
        <w:tc>
          <w:tcPr>
            <w:tcW w:w="960" w:type="dxa"/>
            <w:vAlign w:val="bottom"/>
            <w:tcBorders>
              <w:bottom w:val="single" w:sz="8" w:color="959595"/>
            </w:tcBorders>
          </w:tcPr>
          <w:p>
            <w:pPr>
              <w:spacing w:after="0"/>
              <w:rPr>
                <w:sz w:val="3"/>
                <w:szCs w:val="3"/>
                <w:color w:val="auto"/>
              </w:rPr>
            </w:pPr>
          </w:p>
        </w:tc>
        <w:tc>
          <w:tcPr>
            <w:tcW w:w="1100" w:type="dxa"/>
            <w:vAlign w:val="bottom"/>
            <w:tcBorders>
              <w:bottom w:val="single" w:sz="8" w:color="959595"/>
            </w:tcBorders>
          </w:tcPr>
          <w:p>
            <w:pPr>
              <w:spacing w:after="0"/>
              <w:rPr>
                <w:sz w:val="3"/>
                <w:szCs w:val="3"/>
                <w:color w:val="auto"/>
              </w:rPr>
            </w:pPr>
          </w:p>
        </w:tc>
        <w:tc>
          <w:tcPr>
            <w:tcW w:w="900" w:type="dxa"/>
            <w:vAlign w:val="bottom"/>
            <w:tcBorders>
              <w:bottom w:val="single" w:sz="8" w:color="959595"/>
            </w:tcBorders>
          </w:tcPr>
          <w:p>
            <w:pPr>
              <w:spacing w:after="0"/>
              <w:rPr>
                <w:sz w:val="3"/>
                <w:szCs w:val="3"/>
                <w:color w:val="auto"/>
              </w:rPr>
            </w:pPr>
          </w:p>
        </w:tc>
      </w:tr>
    </w:tbl>
    <w:p>
      <w:pPr>
        <w:spacing w:after="0" w:line="107" w:lineRule="exact"/>
        <w:rPr>
          <w:sz w:val="20"/>
          <w:szCs w:val="20"/>
          <w:color w:val="auto"/>
        </w:rPr>
      </w:pPr>
    </w:p>
    <w:p>
      <w:pPr>
        <w:ind w:left="300" w:right="740" w:hanging="292"/>
        <w:spacing w:after="0" w:line="238" w:lineRule="auto"/>
        <w:tabs>
          <w:tab w:leader="none" w:pos="300" w:val="left"/>
        </w:tabs>
        <w:numPr>
          <w:ilvl w:val="0"/>
          <w:numId w:val="151"/>
        </w:numPr>
        <w:rPr>
          <w:rFonts w:ascii="Arial" w:cs="Arial" w:eastAsia="Arial" w:hAnsi="Arial"/>
          <w:sz w:val="11"/>
          <w:szCs w:val="11"/>
          <w:color w:val="auto"/>
        </w:rPr>
      </w:pPr>
      <w:r>
        <w:rPr>
          <w:rFonts w:ascii="Arial" w:cs="Arial" w:eastAsia="Arial" w:hAnsi="Arial"/>
          <w:sz w:val="13"/>
          <w:szCs w:val="13"/>
          <w:color w:val="auto"/>
        </w:rPr>
        <w:t>The fiscal 2020 annual compensation opportunity includes Mr. Goeckeler’s actual base salary and STI payout for fiscal 2020 as set forth in the “Fiscal 2018-2020 Summary Compensation Table.” Mr. Goeckeler received a pro rata target STI payout for fiscal 2020.</w:t>
      </w:r>
    </w:p>
    <w:p>
      <w:pPr>
        <w:ind w:left="300" w:right="400" w:hanging="292"/>
        <w:spacing w:after="0" w:line="238" w:lineRule="auto"/>
        <w:tabs>
          <w:tab w:leader="none" w:pos="300" w:val="left"/>
        </w:tabs>
        <w:numPr>
          <w:ilvl w:val="0"/>
          <w:numId w:val="151"/>
        </w:numPr>
        <w:rPr>
          <w:rFonts w:ascii="Arial" w:cs="Arial" w:eastAsia="Arial" w:hAnsi="Arial"/>
          <w:sz w:val="11"/>
          <w:szCs w:val="11"/>
          <w:color w:val="auto"/>
        </w:rPr>
      </w:pPr>
      <w:r>
        <w:rPr>
          <w:rFonts w:ascii="Arial" w:cs="Arial" w:eastAsia="Arial" w:hAnsi="Arial"/>
          <w:sz w:val="13"/>
          <w:szCs w:val="13"/>
          <w:color w:val="auto"/>
        </w:rPr>
        <w:t>Mr. Goeckeler’s base salary and target STI amounts for fiscal 2021 through fiscal 2024 are presented assuming that Mr. Goeckeler receives the same base salary and target STI amounts in each of those years.</w:t>
      </w:r>
    </w:p>
    <w:p>
      <w:pPr>
        <w:ind w:left="300" w:right="260" w:hanging="292"/>
        <w:spacing w:after="0" w:line="238" w:lineRule="auto"/>
        <w:tabs>
          <w:tab w:leader="none" w:pos="300" w:val="left"/>
        </w:tabs>
        <w:numPr>
          <w:ilvl w:val="0"/>
          <w:numId w:val="151"/>
        </w:numPr>
        <w:rPr>
          <w:rFonts w:ascii="Arial" w:cs="Arial" w:eastAsia="Arial" w:hAnsi="Arial"/>
          <w:sz w:val="11"/>
          <w:szCs w:val="11"/>
          <w:color w:val="auto"/>
        </w:rPr>
      </w:pPr>
      <w:r>
        <w:rPr>
          <w:rFonts w:ascii="Arial" w:cs="Arial" w:eastAsia="Arial" w:hAnsi="Arial"/>
          <w:sz w:val="13"/>
          <w:szCs w:val="13"/>
          <w:color w:val="auto"/>
        </w:rPr>
        <w:t>Amounts reflect the value of PSUs and RSUs at vesting assuming that Mr. Goeckeler receives the same target grant value, same award mix (PSUs and RSUs) and same award structure in each of those fiscal years as his fiscal 2021 annual LTI award. Equity vesting amounts assume that our stock price does not change following the applicable grant date.</w:t>
      </w:r>
    </w:p>
    <w:p>
      <w:pPr>
        <w:ind w:left="300" w:right="380" w:hanging="292"/>
        <w:spacing w:after="0" w:line="258" w:lineRule="auto"/>
        <w:tabs>
          <w:tab w:leader="none" w:pos="300" w:val="left"/>
        </w:tabs>
        <w:numPr>
          <w:ilvl w:val="0"/>
          <w:numId w:val="151"/>
        </w:numPr>
        <w:rPr>
          <w:rFonts w:ascii="Arial" w:cs="Arial" w:eastAsia="Arial" w:hAnsi="Arial"/>
          <w:sz w:val="11"/>
          <w:szCs w:val="11"/>
          <w:color w:val="auto"/>
        </w:rPr>
      </w:pPr>
      <w:r>
        <w:rPr>
          <w:rFonts w:ascii="Arial" w:cs="Arial" w:eastAsia="Arial" w:hAnsi="Arial"/>
          <w:sz w:val="13"/>
          <w:szCs w:val="13"/>
          <w:color w:val="auto"/>
        </w:rPr>
        <w:t>As of September 1, 2020, our TSR performance relative to the S&amp;P 500 constituent peer group for Mr. Goeckeler’s transition PSU award was tracking at the 5th percentile, which would have resulted in a payout of 0% of the award if the performance period had ended on that date.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23628F"/>
        </w:rPr>
        <w:t>MR. MILLIGAN’S ADVISORY ROLE AND RETIREMENT</w:t>
      </w:r>
    </w:p>
    <w:p>
      <w:pPr>
        <w:spacing w:after="0" w:line="230" w:lineRule="exact"/>
        <w:rPr>
          <w:sz w:val="20"/>
          <w:szCs w:val="20"/>
          <w:color w:val="auto"/>
        </w:rPr>
      </w:pPr>
    </w:p>
    <w:p>
      <w:pPr>
        <w:ind w:right="40"/>
        <w:spacing w:after="0" w:line="243" w:lineRule="auto"/>
        <w:rPr>
          <w:sz w:val="20"/>
          <w:szCs w:val="20"/>
          <w:color w:val="auto"/>
        </w:rPr>
      </w:pPr>
      <w:r>
        <w:rPr>
          <w:rFonts w:ascii="Arial" w:cs="Arial" w:eastAsia="Arial" w:hAnsi="Arial"/>
          <w:sz w:val="13"/>
          <w:szCs w:val="13"/>
          <w:color w:val="auto"/>
        </w:rPr>
        <w:t>During the term of Mr. Milligan’s role as an advisor from March 2020 through September 2020, he continued to receive his annual base salary and his fiscal 2020 STI and to vest in his outstanding LTI awards. Mr. Milligan did not receive an STI award or an LTI award for fiscal 2021. Upon his retirement in September 2020, Mr. Milligan received no severance benefits. As a long-serving executive, Mr. Milligan satisfied the age and service requirements to receive retirement benefits under his applicable RSU and PSU awards, which provide for prorated vesting based on service performed during the performance or vesting period. Please see the section entitled “Qualified Retirement” on page 88 below for a summary of retirement benefits in Mr. Milligan’s applicable equity awards.</w:t>
      </w:r>
    </w:p>
    <w:p>
      <w:pPr>
        <w:spacing w:after="0" w:line="184" w:lineRule="exact"/>
        <w:rPr>
          <w:sz w:val="20"/>
          <w:szCs w:val="20"/>
          <w:color w:val="auto"/>
        </w:rPr>
      </w:pPr>
    </w:p>
    <w:p>
      <w:pPr>
        <w:ind w:left="9160"/>
        <w:spacing w:after="0"/>
        <w:tabs>
          <w:tab w:leader="none" w:pos="11020" w:val="left"/>
        </w:tabs>
        <w:rPr>
          <w:sz w:val="20"/>
          <w:szCs w:val="20"/>
          <w:color w:val="auto"/>
        </w:rPr>
      </w:pPr>
      <w:r>
        <w:rPr>
          <w:rFonts w:ascii="Arial" w:cs="Arial" w:eastAsia="Arial" w:hAnsi="Arial"/>
          <w:sz w:val="13"/>
          <w:szCs w:val="13"/>
          <w:color w:val="23628F"/>
        </w:rPr>
        <w:t>2020 PROXY STATEMENT</w:t>
      </w:r>
      <w:r>
        <w:rPr>
          <w:sz w:val="20"/>
          <w:szCs w:val="20"/>
          <w:color w:val="auto"/>
        </w:rPr>
        <w:tab/>
      </w:r>
      <w:r>
        <w:rPr>
          <w:rFonts w:ascii="Arial" w:cs="Arial" w:eastAsia="Arial" w:hAnsi="Arial"/>
          <w:sz w:val="16"/>
          <w:szCs w:val="16"/>
          <w:b w:val="1"/>
          <w:bCs w:val="1"/>
          <w:color w:val="23628F"/>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153275"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23628F"/>
        </w:rPr>
        <w:t>COMPENSATION DISCUSSION AND ANALYSIS</w:t>
      </w:r>
    </w:p>
    <w:p>
      <w:pPr>
        <w:spacing w:after="0" w:line="215" w:lineRule="exact"/>
        <w:rPr>
          <w:sz w:val="20"/>
          <w:szCs w:val="20"/>
          <w:color w:val="auto"/>
        </w:rPr>
      </w:pPr>
    </w:p>
    <w:p>
      <w:pPr>
        <w:ind w:right="280"/>
        <w:spacing w:after="0" w:line="258" w:lineRule="auto"/>
        <w:rPr>
          <w:sz w:val="20"/>
          <w:szCs w:val="20"/>
          <w:color w:val="auto"/>
        </w:rPr>
      </w:pPr>
      <w:r>
        <w:rPr>
          <w:rFonts w:ascii="Arial" w:cs="Arial" w:eastAsia="Arial" w:hAnsi="Arial"/>
          <w:sz w:val="13"/>
          <w:szCs w:val="13"/>
          <w:color w:val="auto"/>
        </w:rPr>
        <w:t>As a result of Mr. Milligan’s retirement, he forfeited a majority of his fiscal 2020 annual LTI awards granted in September 2019 that are reported in the Summary Compensation Table on page 77. The grant date fair value of those awards was $14,405,144.</w:t>
      </w:r>
    </w:p>
    <w:p>
      <w:pPr>
        <w:spacing w:after="0" w:line="176" w:lineRule="exact"/>
        <w:rPr>
          <w:sz w:val="20"/>
          <w:szCs w:val="20"/>
          <w:color w:val="auto"/>
        </w:rPr>
      </w:pPr>
    </w:p>
    <w:p>
      <w:pPr>
        <w:ind w:left="240" w:hanging="232"/>
        <w:spacing w:after="0"/>
        <w:tabs>
          <w:tab w:leader="none" w:pos="240" w:val="left"/>
        </w:tabs>
        <w:numPr>
          <w:ilvl w:val="0"/>
          <w:numId w:val="152"/>
        </w:numPr>
        <w:rPr>
          <w:rFonts w:ascii="Arial" w:cs="Arial" w:eastAsia="Arial" w:hAnsi="Arial"/>
          <w:sz w:val="13"/>
          <w:szCs w:val="13"/>
          <w:color w:val="61C4AF"/>
        </w:rPr>
      </w:pPr>
      <w:r>
        <w:rPr>
          <w:rFonts w:ascii="Arial" w:cs="Arial" w:eastAsia="Arial" w:hAnsi="Arial"/>
          <w:sz w:val="13"/>
          <w:szCs w:val="13"/>
          <w:color w:val="auto"/>
        </w:rPr>
        <w:t xml:space="preserve">Upon his retirement, Mr. Milligan forfeited approximately </w:t>
      </w:r>
      <w:r>
        <w:rPr>
          <w:rFonts w:ascii="Arial" w:cs="Arial" w:eastAsia="Arial" w:hAnsi="Arial"/>
          <w:sz w:val="13"/>
          <w:szCs w:val="13"/>
          <w:b w:val="1"/>
          <w:bCs w:val="1"/>
          <w:color w:val="auto"/>
        </w:rPr>
        <w:t>63%</w:t>
      </w:r>
      <w:r>
        <w:rPr>
          <w:rFonts w:ascii="Arial" w:cs="Arial" w:eastAsia="Arial" w:hAnsi="Arial"/>
          <w:sz w:val="13"/>
          <w:szCs w:val="13"/>
          <w:color w:val="auto"/>
        </w:rPr>
        <w:t xml:space="preserve"> of the target stock units (RSUs and target PSUs) granted in September 2019</w:t>
      </w:r>
    </w:p>
    <w:p>
      <w:pPr>
        <w:spacing w:after="0" w:line="66" w:lineRule="exact"/>
        <w:rPr>
          <w:rFonts w:ascii="Arial" w:cs="Arial" w:eastAsia="Arial" w:hAnsi="Arial"/>
          <w:sz w:val="13"/>
          <w:szCs w:val="13"/>
          <w:color w:val="61C4AF"/>
        </w:rPr>
      </w:pPr>
    </w:p>
    <w:p>
      <w:pPr>
        <w:ind w:left="240" w:right="760" w:hanging="232"/>
        <w:spacing w:after="0" w:line="284" w:lineRule="auto"/>
        <w:tabs>
          <w:tab w:leader="none" w:pos="240" w:val="left"/>
        </w:tabs>
        <w:numPr>
          <w:ilvl w:val="0"/>
          <w:numId w:val="152"/>
        </w:numPr>
        <w:rPr>
          <w:rFonts w:ascii="Arial" w:cs="Arial" w:eastAsia="Arial" w:hAnsi="Arial"/>
          <w:sz w:val="13"/>
          <w:szCs w:val="13"/>
          <w:color w:val="61C4AF"/>
        </w:rPr>
      </w:pPr>
      <w:r>
        <w:rPr>
          <w:rFonts w:ascii="Arial" w:cs="Arial" w:eastAsia="Arial" w:hAnsi="Arial"/>
          <w:sz w:val="13"/>
          <w:szCs w:val="13"/>
          <w:b w:val="1"/>
          <w:bCs w:val="1"/>
          <w:color w:val="auto"/>
        </w:rPr>
        <w:t xml:space="preserve">10% </w:t>
      </w:r>
      <w:r>
        <w:rPr>
          <w:rFonts w:ascii="Arial" w:cs="Arial" w:eastAsia="Arial" w:hAnsi="Arial"/>
          <w:sz w:val="13"/>
          <w:szCs w:val="13"/>
          <w:color w:val="auto"/>
        </w:rPr>
        <w:t>of Mr. Milligan’s target stock units granted in September 2019 vested in September 2020 prior to his retirement (one vesting tranche of his September 2019 RSUs) and</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approximately </w:t>
      </w:r>
      <w:r>
        <w:rPr>
          <w:rFonts w:ascii="Arial" w:cs="Arial" w:eastAsia="Arial" w:hAnsi="Arial"/>
          <w:sz w:val="13"/>
          <w:szCs w:val="13"/>
          <w:b w:val="1"/>
          <w:bCs w:val="1"/>
          <w:color w:val="auto"/>
        </w:rPr>
        <w:t>27%</w:t>
      </w:r>
      <w:r>
        <w:rPr>
          <w:rFonts w:ascii="Arial" w:cs="Arial" w:eastAsia="Arial" w:hAnsi="Arial"/>
          <w:sz w:val="13"/>
          <w:szCs w:val="13"/>
          <w:color w:val="auto"/>
        </w:rPr>
        <w:t xml:space="preserve"> of Mr. Milligan’s target stock units granted in September 2019 remained outstanding as of his retirement date</w:t>
      </w:r>
    </w:p>
    <w:p>
      <w:pPr>
        <w:spacing w:after="0" w:line="10" w:lineRule="exact"/>
        <w:rPr>
          <w:rFonts w:ascii="Arial" w:cs="Arial" w:eastAsia="Arial" w:hAnsi="Arial"/>
          <w:sz w:val="13"/>
          <w:szCs w:val="13"/>
          <w:color w:val="61C4AF"/>
        </w:rPr>
      </w:pPr>
    </w:p>
    <w:p>
      <w:pPr>
        <w:ind w:left="240" w:right="20" w:hanging="232"/>
        <w:spacing w:after="0" w:line="261" w:lineRule="auto"/>
        <w:tabs>
          <w:tab w:leader="none" w:pos="240" w:val="left"/>
        </w:tabs>
        <w:numPr>
          <w:ilvl w:val="0"/>
          <w:numId w:val="152"/>
        </w:numPr>
        <w:rPr>
          <w:rFonts w:ascii="Arial" w:cs="Arial" w:eastAsia="Arial" w:hAnsi="Arial"/>
          <w:sz w:val="13"/>
          <w:szCs w:val="13"/>
          <w:color w:val="61C4AF"/>
        </w:rPr>
      </w:pPr>
      <w:r>
        <w:rPr>
          <w:rFonts w:ascii="Arial" w:cs="Arial" w:eastAsia="Arial" w:hAnsi="Arial"/>
          <w:sz w:val="13"/>
          <w:szCs w:val="13"/>
          <w:color w:val="auto"/>
        </w:rPr>
        <w:t xml:space="preserve">Of the approximately 27% of Mr. Milligan’s target stock units granted in September 2019 that remained outstanding as of his retirement date, approximately </w:t>
      </w:r>
      <w:r>
        <w:rPr>
          <w:rFonts w:ascii="Arial" w:cs="Arial" w:eastAsia="Arial" w:hAnsi="Arial"/>
          <w:sz w:val="13"/>
          <w:szCs w:val="13"/>
          <w:b w:val="1"/>
          <w:bCs w:val="1"/>
          <w:color w:val="auto"/>
        </w:rPr>
        <w:t>97%</w:t>
      </w:r>
      <w:r>
        <w:rPr>
          <w:rFonts w:ascii="Arial" w:cs="Arial" w:eastAsia="Arial" w:hAnsi="Arial"/>
          <w:sz w:val="13"/>
          <w:szCs w:val="13"/>
          <w:color w:val="auto"/>
        </w:rPr>
        <w:t xml:space="preserve"> of these stock units are subject to performance vesting conditions and the other 3% represent the pro rata portion of these stock units that are payable to Mr. Milligan in accordance with the retirement provisions of the awards</w:t>
      </w:r>
    </w:p>
    <w:p>
      <w:pPr>
        <w:sectPr>
          <w:pgSz w:w="11900" w:h="16838" w:orient="portrait"/>
          <w:cols w:equalWidth="0" w:num="1">
            <w:col w:w="11240"/>
          </w:cols>
          <w:pgMar w:left="320" w:top="121" w:right="339" w:bottom="1440" w:gutter="0" w:footer="0" w:header="0"/>
        </w:sectPr>
      </w:pPr>
    </w:p>
    <w:p>
      <w:pPr>
        <w:spacing w:after="0" w:line="183" w:lineRule="exact"/>
        <w:rPr>
          <w:sz w:val="20"/>
          <w:szCs w:val="20"/>
          <w:color w:val="auto"/>
        </w:rPr>
      </w:pPr>
    </w:p>
    <w:p>
      <w:pPr>
        <w:spacing w:after="0"/>
        <w:rPr>
          <w:sz w:val="20"/>
          <w:szCs w:val="20"/>
          <w:color w:val="auto"/>
        </w:rPr>
      </w:pPr>
      <w:r>
        <w:rPr>
          <w:sz w:val="1"/>
          <w:szCs w:val="1"/>
          <w:color w:val="auto"/>
        </w:rPr>
        <w:drawing>
          <wp:inline distT="0" distB="0" distL="0" distR="0">
            <wp:extent cx="34290" cy="154305"/>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4290" cy="154305"/>
                    </a:xfrm>
                    <a:prstGeom prst="rect">
                      <a:avLst/>
                    </a:prstGeom>
                    <a:noFill/>
                    <a:ln>
                      <a:noFill/>
                    </a:ln>
                  </pic:spPr>
                </pic:pic>
              </a:graphicData>
            </a:graphic>
          </wp:inline>
        </w:drawing>
      </w:r>
      <w:r>
        <w:rPr>
          <w:rFonts w:ascii="Arial" w:cs="Arial" w:eastAsia="Arial" w:hAnsi="Arial"/>
          <w:sz w:val="21"/>
          <w:szCs w:val="21"/>
          <w:b w:val="1"/>
          <w:bCs w:val="1"/>
          <w:color w:val="61C4AF"/>
        </w:rPr>
        <w:t xml:space="preserve"> Mr. Milligan's Fiscal 2020 LTI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2820035" cy="13798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820035" cy="13798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61C4AF"/>
        </w:rPr>
        <w:t>Mr. Milligan's Fiscal 2020 LTI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-139065</wp:posOffset>
            </wp:positionV>
            <wp:extent cx="34290" cy="30861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4290" cy="308610"/>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b w:val="1"/>
          <w:bCs w:val="1"/>
          <w:color w:val="61C4AF"/>
        </w:rPr>
        <w:t>Award Outstanding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159385</wp:posOffset>
            </wp:positionV>
            <wp:extent cx="1962785" cy="1045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962785" cy="1045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40" w:space="720"/>
            <w:col w:w="538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23628F"/>
        </w:rPr>
        <w:t>MR. CORDANO’S EXECUTIVE TRANSITION ARRANGEMENT AND SEVERANCE BENEFITS</w:t>
      </w:r>
    </w:p>
    <w:p>
      <w:pPr>
        <w:spacing w:after="0" w:line="230" w:lineRule="exact"/>
        <w:rPr>
          <w:sz w:val="20"/>
          <w:szCs w:val="20"/>
          <w:color w:val="auto"/>
        </w:rPr>
      </w:pPr>
    </w:p>
    <w:p>
      <w:pPr>
        <w:spacing w:after="0" w:line="243" w:lineRule="auto"/>
        <w:rPr>
          <w:sz w:val="20"/>
          <w:szCs w:val="20"/>
          <w:color w:val="auto"/>
        </w:rPr>
      </w:pPr>
      <w:r>
        <w:rPr>
          <w:rFonts w:ascii="Arial" w:cs="Arial" w:eastAsia="Arial" w:hAnsi="Arial"/>
          <w:sz w:val="13"/>
          <w:szCs w:val="13"/>
          <w:color w:val="auto"/>
        </w:rPr>
        <w:t>In April 2020, we reorganized our management structure to have all business, operations, engineering, sales and administrative functions report directly to Mr. Goeckeler. In connection with this change, Mr. Cordano ceased to serve as our President and Chief Operating Officer and transitioned to a new role as President, Western Digital Technologies, Inc., reporting to Mr. Goeckeler. To incentivize Mr. Cordano to remain with our company during a transition period to assist with Mr. Goeckeler’s onboarding, the Compensation and Talent Committee approved a cash retention payment of $75,000 if Mr. Cordano remained continuously employed through July 15, 2020 and a second cash retention payment of $150,000 if Mr. Cordano remained continuously employed through September 15, 2020.</w:t>
      </w:r>
    </w:p>
    <w:p>
      <w:pPr>
        <w:spacing w:after="0" w:line="202" w:lineRule="exact"/>
        <w:rPr>
          <w:sz w:val="20"/>
          <w:szCs w:val="20"/>
          <w:color w:val="auto"/>
        </w:rPr>
      </w:pPr>
    </w:p>
    <w:p>
      <w:pPr>
        <w:ind w:right="60"/>
        <w:spacing w:after="0" w:line="245" w:lineRule="auto"/>
        <w:rPr>
          <w:sz w:val="20"/>
          <w:szCs w:val="20"/>
          <w:color w:val="auto"/>
        </w:rPr>
      </w:pPr>
      <w:r>
        <w:rPr>
          <w:rFonts w:ascii="Arial" w:cs="Arial" w:eastAsia="Arial" w:hAnsi="Arial"/>
          <w:sz w:val="13"/>
          <w:szCs w:val="13"/>
          <w:color w:val="auto"/>
        </w:rPr>
        <w:t>We terminated Mr. Cordano’s employment in August 2020, prior to the payment date of his second cash retention payment, and Mr. Cordano forfeited that retention payment. Due to Mr. Cordano’s termination without cause within the meaning of our Executive Severance Plan, Mr. Cordano received severance benefits upon his qualifying termination. Please see the section entitled “Potential Payments Upon Termination or Change in Control” on page 86 below for additional details relating to such severance payments. Mr. Cordano did not receive any additional compensation outside of what he was entitled to receive under our Executive Severance Plan or the applicable equity award agreements.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23628F"/>
        </w:rPr>
        <w:t>MR. RAY’S RETENTION ARRANGEMENT</w:t>
      </w:r>
    </w:p>
    <w:p>
      <w:pPr>
        <w:spacing w:after="0" w:line="230" w:lineRule="exact"/>
        <w:rPr>
          <w:sz w:val="20"/>
          <w:szCs w:val="20"/>
          <w:color w:val="auto"/>
        </w:rPr>
      </w:pPr>
    </w:p>
    <w:p>
      <w:pPr>
        <w:ind w:right="20"/>
        <w:spacing w:after="0" w:line="242" w:lineRule="auto"/>
        <w:rPr>
          <w:sz w:val="20"/>
          <w:szCs w:val="20"/>
          <w:color w:val="auto"/>
        </w:rPr>
      </w:pPr>
      <w:r>
        <w:rPr>
          <w:rFonts w:ascii="Arial" w:cs="Arial" w:eastAsia="Arial" w:hAnsi="Arial"/>
          <w:sz w:val="13"/>
          <w:szCs w:val="13"/>
          <w:color w:val="auto"/>
        </w:rPr>
        <w:t>Mr. Ray received an offer to join another large public technology company as its Chief Legal Officer. Mr. Ray has been with our company since 2000 and is a key member of our management team. To induce Mr. Ray to remain with our company, the Compensation and Talent Committee approved the following compensation enhancements for Mr. Ray in August 2019: (i) a cash retention award in the amount of $2,000,000, payable with respect to $500,000 in fiscal 2020 (with a clawback if Mr. Ray voluntarily terminated employment within 12 months of payment), and payable with respect to an additional $500,000 in each of fiscal years 2021-2023, subject to Mr. Ray’s continuous employment; (ii) an LTI award for fiscal 2020 with a target value of $3,125,000, with the number of stock units under the award split evenly between RSUs and PSUs and subject to our standard RSU and PSU vesting requirements, as detailed in the section entitled “Long-Term Incentives” below; and (iii) an increase in Mr. Ray’s annual base salary from $575,000 to $625,000.</w:t>
      </w:r>
    </w:p>
    <w:p>
      <w:pPr>
        <w:spacing w:after="0" w:line="198" w:lineRule="exact"/>
        <w:rPr>
          <w:sz w:val="20"/>
          <w:szCs w:val="20"/>
          <w:color w:val="auto"/>
        </w:rPr>
      </w:pPr>
    </w:p>
    <w:p>
      <w:pPr>
        <w:ind w:left="440" w:hanging="432"/>
        <w:spacing w:after="0"/>
        <w:tabs>
          <w:tab w:leader="none" w:pos="440" w:val="left"/>
        </w:tabs>
        <w:numPr>
          <w:ilvl w:val="0"/>
          <w:numId w:val="153"/>
        </w:numPr>
        <w:rPr>
          <w:rFonts w:ascii="Arial" w:cs="Arial" w:eastAsia="Arial" w:hAnsi="Arial"/>
          <w:sz w:val="18"/>
          <w:szCs w:val="18"/>
          <w:b w:val="1"/>
          <w:bCs w:val="1"/>
          <w:color w:val="23628F"/>
        </w:rPr>
      </w:pPr>
      <w:r>
        <w:rPr>
          <w:rFonts w:ascii="Arial" w:cs="Arial" w:eastAsia="Arial" w:hAnsi="Arial"/>
          <w:sz w:val="13"/>
          <w:szCs w:val="13"/>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153275" cy="209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23628F"/>
        </w:rPr>
        <w:t>COMPENSATION DISCUSSION AND ANALYSIS</w:t>
      </w:r>
    </w:p>
    <w:p>
      <w:pPr>
        <w:spacing w:after="0" w:line="182"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Fiscal 2020 Program Overview</w:t>
      </w:r>
    </w:p>
    <w:p>
      <w:pPr>
        <w:spacing w:after="0" w:line="257" w:lineRule="exact"/>
        <w:rPr>
          <w:sz w:val="20"/>
          <w:szCs w:val="20"/>
          <w:color w:val="auto"/>
        </w:rPr>
      </w:pPr>
    </w:p>
    <w:p>
      <w:pPr>
        <w:ind w:right="240"/>
        <w:spacing w:after="0" w:line="243" w:lineRule="auto"/>
        <w:rPr>
          <w:sz w:val="20"/>
          <w:szCs w:val="20"/>
          <w:color w:val="auto"/>
        </w:rPr>
      </w:pPr>
      <w:r>
        <w:rPr>
          <w:rFonts w:ascii="Arial" w:cs="Arial" w:eastAsia="Arial" w:hAnsi="Arial"/>
          <w:sz w:val="13"/>
          <w:szCs w:val="13"/>
          <w:color w:val="auto"/>
        </w:rPr>
        <w:t>Each year, the Compensation and Talent Committee, advised by the independent compensation consultant, undertakes a rigorous process to review and determine executive compensation in the context of an overarching pay-for-performance philosophy. The Compensation and Talent Committee believes the majority of our executive compensation should be “incentive-based” and focused on long-term performance to help ensure that the interests of our executive officers are aligned with those of our stockholders. Our primary long-term objective is to drive sustainable value creation for our stockholders by attracting, retaining, developing and motivating a diverse group of executive talent through a comprehensive and market-competitive executive compensation program. The executive compensation program and the pay packages for our executive officers are reviewed 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92583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92583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p>
      <w:pPr>
        <w:spacing w:after="0" w:line="213"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FFFFFF"/>
        </w:rPr>
        <w:t>Base Salary</w:t>
      </w:r>
    </w:p>
    <w:p>
      <w:pPr>
        <w:spacing w:after="0" w:line="69" w:lineRule="exact"/>
        <w:rPr>
          <w:sz w:val="20"/>
          <w:szCs w:val="20"/>
          <w:color w:val="auto"/>
        </w:rPr>
      </w:pPr>
    </w:p>
    <w:p>
      <w:pPr>
        <w:ind w:left="80"/>
        <w:spacing w:after="0" w:line="241" w:lineRule="auto"/>
        <w:rPr>
          <w:sz w:val="20"/>
          <w:szCs w:val="20"/>
          <w:color w:val="auto"/>
        </w:rPr>
      </w:pPr>
      <w:r>
        <w:rPr>
          <w:rFonts w:ascii="Arial" w:cs="Arial" w:eastAsia="Arial" w:hAnsi="Arial"/>
          <w:sz w:val="13"/>
          <w:szCs w:val="13"/>
          <w:color w:val="23628F"/>
        </w:rPr>
        <w:t>We pay a competitive base level of compensation to attract, retain and motivate key talent. We determine salary based on scope of responsibility, performance and experience. We annually review our executive officers’ base salaries against our peers and the market to maintain competitive levels.</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b w:val="1"/>
          <w:bCs w:val="1"/>
          <w:color w:val="FFFFFF"/>
        </w:rPr>
        <w:t>Short-Term Cash Incentives</w:t>
      </w:r>
    </w:p>
    <w:p>
      <w:pPr>
        <w:spacing w:after="0" w:line="69" w:lineRule="exact"/>
        <w:rPr>
          <w:sz w:val="20"/>
          <w:szCs w:val="20"/>
          <w:color w:val="auto"/>
        </w:rPr>
      </w:pPr>
    </w:p>
    <w:p>
      <w:pPr>
        <w:spacing w:after="0" w:line="245" w:lineRule="auto"/>
        <w:rPr>
          <w:sz w:val="20"/>
          <w:szCs w:val="20"/>
          <w:color w:val="auto"/>
        </w:rPr>
      </w:pPr>
      <w:r>
        <w:rPr>
          <w:rFonts w:ascii="Arial" w:cs="Arial" w:eastAsia="Arial" w:hAnsi="Arial"/>
          <w:sz w:val="13"/>
          <w:szCs w:val="13"/>
          <w:color w:val="FBAF16"/>
        </w:rPr>
        <w:t>We incentivize our executive officers with cash incentive opportunities based on the achievement of annual financial performance objectives to reward executive officers for strong business performance.</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b w:val="1"/>
          <w:bCs w:val="1"/>
          <w:color w:val="FFFFFF"/>
        </w:rPr>
        <w:t>Long-Term Equity Incentives</w:t>
      </w:r>
    </w:p>
    <w:p>
      <w:pPr>
        <w:spacing w:after="0" w:line="69" w:lineRule="exact"/>
        <w:rPr>
          <w:sz w:val="20"/>
          <w:szCs w:val="20"/>
          <w:color w:val="auto"/>
        </w:rPr>
      </w:pPr>
    </w:p>
    <w:p>
      <w:pPr>
        <w:ind w:right="180"/>
        <w:spacing w:after="0" w:line="241" w:lineRule="auto"/>
        <w:rPr>
          <w:sz w:val="20"/>
          <w:szCs w:val="20"/>
          <w:color w:val="auto"/>
        </w:rPr>
      </w:pPr>
      <w:r>
        <w:rPr>
          <w:rFonts w:ascii="Arial" w:cs="Arial" w:eastAsia="Arial" w:hAnsi="Arial"/>
          <w:sz w:val="13"/>
          <w:szCs w:val="13"/>
          <w:color w:val="51A593"/>
        </w:rPr>
        <w:t>We grant long-term incentive opportunities to our executive officers through a combination of performance-based and time-based equity awards that align management interests with long-term stockholder value creation. PSUs are earned by achieving pre-established financial goals over a two- or three-year period and based on our relative TSR that compares our stock performance to our industry peers over a three-year period. Time-based RSUs provide balance and retention for our key executives by vesting evenly over four years.</w:t>
      </w:r>
    </w:p>
    <w:p>
      <w:pPr>
        <w:spacing w:after="0" w:line="200" w:lineRule="exact"/>
        <w:rPr>
          <w:sz w:val="20"/>
          <w:szCs w:val="20"/>
          <w:color w:val="auto"/>
        </w:rPr>
      </w:pPr>
    </w:p>
    <w:p>
      <w:pPr>
        <w:sectPr>
          <w:pgSz w:w="11900" w:h="16838" w:orient="portrait"/>
          <w:cols w:equalWidth="0" w:num="3">
            <w:col w:w="2700" w:space="440"/>
            <w:col w:w="3100" w:space="460"/>
            <w:col w:w="4560"/>
          </w:cols>
          <w:pgMar w:left="320" w:top="121" w:right="31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Paying for Performance: Fiscal 2020 Performance Results and Payouts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340" w:type="dxa"/>
            <w:vAlign w:val="bottom"/>
            <w:tcBorders>
              <w:right w:val="single" w:sz="8" w:color="auto"/>
            </w:tcBorders>
          </w:tcPr>
          <w:p>
            <w:pPr>
              <w:ind w:left="80"/>
              <w:spacing w:after="0"/>
              <w:rPr>
                <w:sz w:val="20"/>
                <w:szCs w:val="20"/>
                <w:color w:val="auto"/>
              </w:rPr>
            </w:pPr>
            <w:r>
              <w:rPr>
                <w:rFonts w:ascii="Arial" w:cs="Arial" w:eastAsia="Arial" w:hAnsi="Arial"/>
                <w:sz w:val="13"/>
                <w:szCs w:val="13"/>
                <w:b w:val="1"/>
                <w:bCs w:val="1"/>
                <w:color w:val="auto"/>
              </w:rPr>
              <w:t>Award</w:t>
            </w:r>
          </w:p>
        </w:tc>
        <w:tc>
          <w:tcPr>
            <w:tcW w:w="80" w:type="dxa"/>
            <w:vAlign w:val="bottom"/>
          </w:tcPr>
          <w:p>
            <w:pPr>
              <w:spacing w:after="0"/>
              <w:rPr>
                <w:sz w:val="17"/>
                <w:szCs w:val="17"/>
                <w:color w:val="auto"/>
              </w:rPr>
            </w:pPr>
          </w:p>
        </w:tc>
        <w:tc>
          <w:tcPr>
            <w:tcW w:w="1460" w:type="dxa"/>
            <w:vAlign w:val="bottom"/>
            <w:tcBorders>
              <w:right w:val="single" w:sz="8" w:color="auto"/>
            </w:tcBorders>
          </w:tcPr>
          <w:p>
            <w:pPr>
              <w:ind w:left="40"/>
              <w:spacing w:after="0"/>
              <w:rPr>
                <w:sz w:val="20"/>
                <w:szCs w:val="20"/>
                <w:color w:val="auto"/>
              </w:rPr>
            </w:pPr>
            <w:r>
              <w:rPr>
                <w:rFonts w:ascii="Arial" w:cs="Arial" w:eastAsia="Arial" w:hAnsi="Arial"/>
                <w:sz w:val="13"/>
                <w:szCs w:val="13"/>
                <w:b w:val="1"/>
                <w:bCs w:val="1"/>
                <w:color w:val="auto"/>
              </w:rPr>
              <w:t>Fiscal 2020 Payouts</w:t>
            </w:r>
          </w:p>
        </w:tc>
        <w:tc>
          <w:tcPr>
            <w:tcW w:w="5700" w:type="dxa"/>
            <w:vAlign w:val="bottom"/>
            <w:tcBorders>
              <w:right w:val="single" w:sz="8" w:color="auto"/>
            </w:tcBorders>
          </w:tcPr>
          <w:p>
            <w:pPr>
              <w:ind w:left="100"/>
              <w:spacing w:after="0"/>
              <w:rPr>
                <w:sz w:val="20"/>
                <w:szCs w:val="20"/>
                <w:color w:val="auto"/>
              </w:rPr>
            </w:pPr>
            <w:r>
              <w:rPr>
                <w:rFonts w:ascii="Arial" w:cs="Arial" w:eastAsia="Arial" w:hAnsi="Arial"/>
                <w:sz w:val="13"/>
                <w:szCs w:val="13"/>
                <w:b w:val="1"/>
                <w:bCs w:val="1"/>
                <w:color w:val="auto"/>
              </w:rPr>
              <w:t>Performance Link</w:t>
            </w:r>
          </w:p>
        </w:tc>
        <w:tc>
          <w:tcPr>
            <w:tcW w:w="660" w:type="dxa"/>
            <w:vAlign w:val="bottom"/>
          </w:tcPr>
          <w:p>
            <w:pPr>
              <w:jc w:val="right"/>
              <w:ind w:right="13"/>
              <w:spacing w:after="0"/>
              <w:rPr>
                <w:sz w:val="20"/>
                <w:szCs w:val="20"/>
                <w:color w:val="auto"/>
              </w:rPr>
            </w:pPr>
            <w:r>
              <w:rPr>
                <w:rFonts w:ascii="Arial" w:cs="Arial" w:eastAsia="Arial" w:hAnsi="Arial"/>
                <w:sz w:val="13"/>
                <w:szCs w:val="13"/>
                <w:b w:val="1"/>
                <w:bCs w:val="1"/>
                <w:color w:val="auto"/>
              </w:rPr>
              <w:t>Page(s)</w:t>
            </w:r>
          </w:p>
        </w:tc>
      </w:tr>
      <w:tr>
        <w:trPr>
          <w:trHeight w:val="41"/>
        </w:trPr>
        <w:tc>
          <w:tcPr>
            <w:tcW w:w="334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570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r>
        <w:trPr>
          <w:trHeight w:val="196"/>
        </w:trPr>
        <w:tc>
          <w:tcPr>
            <w:tcW w:w="3420" w:type="dxa"/>
            <w:vAlign w:val="bottom"/>
            <w:gridSpan w:val="2"/>
          </w:tcPr>
          <w:p>
            <w:pPr>
              <w:ind w:left="80"/>
              <w:spacing w:after="0"/>
              <w:rPr>
                <w:sz w:val="20"/>
                <w:szCs w:val="20"/>
                <w:color w:val="auto"/>
              </w:rPr>
            </w:pPr>
            <w:r>
              <w:rPr>
                <w:rFonts w:ascii="Arial" w:cs="Arial" w:eastAsia="Arial" w:hAnsi="Arial"/>
                <w:sz w:val="13"/>
                <w:szCs w:val="13"/>
                <w:b w:val="1"/>
                <w:bCs w:val="1"/>
                <w:color w:val="23628F"/>
              </w:rPr>
              <w:t>STI Performance Results and Payout for Fiscal 2020</w:t>
            </w:r>
          </w:p>
        </w:tc>
        <w:tc>
          <w:tcPr>
            <w:tcW w:w="146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41"/>
        </w:trPr>
        <w:tc>
          <w:tcPr>
            <w:tcW w:w="3340" w:type="dxa"/>
            <w:vAlign w:val="bottom"/>
            <w:tcBorders>
              <w:bottom w:val="single" w:sz="8" w:color="959595"/>
            </w:tcBorders>
          </w:tcPr>
          <w:p>
            <w:pPr>
              <w:spacing w:after="0"/>
              <w:rPr>
                <w:sz w:val="3"/>
                <w:szCs w:val="3"/>
                <w:color w:val="auto"/>
              </w:rPr>
            </w:pPr>
          </w:p>
        </w:tc>
        <w:tc>
          <w:tcPr>
            <w:tcW w:w="80" w:type="dxa"/>
            <w:vAlign w:val="bottom"/>
            <w:tcBorders>
              <w:bottom w:val="single" w:sz="8" w:color="959595"/>
            </w:tcBorders>
          </w:tcPr>
          <w:p>
            <w:pPr>
              <w:spacing w:after="0"/>
              <w:rPr>
                <w:sz w:val="3"/>
                <w:szCs w:val="3"/>
                <w:color w:val="auto"/>
              </w:rPr>
            </w:pPr>
          </w:p>
        </w:tc>
        <w:tc>
          <w:tcPr>
            <w:tcW w:w="1460" w:type="dxa"/>
            <w:vAlign w:val="bottom"/>
            <w:tcBorders>
              <w:bottom w:val="single" w:sz="8" w:color="959595"/>
            </w:tcBorders>
          </w:tcPr>
          <w:p>
            <w:pPr>
              <w:spacing w:after="0"/>
              <w:rPr>
                <w:sz w:val="3"/>
                <w:szCs w:val="3"/>
                <w:color w:val="auto"/>
              </w:rPr>
            </w:pPr>
          </w:p>
        </w:tc>
        <w:tc>
          <w:tcPr>
            <w:tcW w:w="5700" w:type="dxa"/>
            <w:vAlign w:val="bottom"/>
            <w:tcBorders>
              <w:bottom w:val="single" w:sz="8" w:color="959595"/>
            </w:tcBorders>
          </w:tcPr>
          <w:p>
            <w:pPr>
              <w:spacing w:after="0"/>
              <w:rPr>
                <w:sz w:val="3"/>
                <w:szCs w:val="3"/>
                <w:color w:val="auto"/>
              </w:rPr>
            </w:pPr>
          </w:p>
        </w:tc>
        <w:tc>
          <w:tcPr>
            <w:tcW w:w="660" w:type="dxa"/>
            <w:vAlign w:val="bottom"/>
            <w:tcBorders>
              <w:bottom w:val="single" w:sz="8" w:color="959595"/>
            </w:tcBorders>
          </w:tcPr>
          <w:p>
            <w:pPr>
              <w:spacing w:after="0"/>
              <w:rPr>
                <w:sz w:val="3"/>
                <w:szCs w:val="3"/>
                <w:color w:val="auto"/>
              </w:rPr>
            </w:pPr>
          </w:p>
        </w:tc>
      </w:tr>
      <w:tr>
        <w:trPr>
          <w:trHeight w:val="291"/>
        </w:trPr>
        <w:tc>
          <w:tcPr>
            <w:tcW w:w="3420" w:type="dxa"/>
            <w:vAlign w:val="bottom"/>
            <w:tcBorders>
              <w:bottom w:val="single" w:sz="8" w:color="959595"/>
            </w:tcBorders>
            <w:gridSpan w:val="2"/>
          </w:tcPr>
          <w:p>
            <w:pPr>
              <w:ind w:left="80"/>
              <w:spacing w:after="0"/>
              <w:rPr>
                <w:sz w:val="20"/>
                <w:szCs w:val="20"/>
                <w:color w:val="auto"/>
              </w:rPr>
            </w:pPr>
            <w:r>
              <w:rPr>
                <w:rFonts w:ascii="Arial" w:cs="Arial" w:eastAsia="Arial" w:hAnsi="Arial"/>
                <w:sz w:val="13"/>
                <w:szCs w:val="13"/>
                <w:color w:val="auto"/>
              </w:rPr>
              <w:t>Fiscal 2020 STI</w:t>
            </w:r>
            <w:r>
              <w:rPr>
                <w:rFonts w:ascii="Arial" w:cs="Arial" w:eastAsia="Arial" w:hAnsi="Arial"/>
                <w:sz w:val="22"/>
                <w:szCs w:val="22"/>
                <w:color w:val="auto"/>
                <w:vertAlign w:val="superscript"/>
              </w:rPr>
              <w:t>(1)</w:t>
            </w:r>
          </w:p>
        </w:tc>
        <w:tc>
          <w:tcPr>
            <w:tcW w:w="1460" w:type="dxa"/>
            <w:vAlign w:val="bottom"/>
            <w:tcBorders>
              <w:bottom w:val="single" w:sz="8" w:color="959595"/>
            </w:tcBorders>
          </w:tcPr>
          <w:p>
            <w:pPr>
              <w:ind w:left="20"/>
              <w:spacing w:after="0"/>
              <w:rPr>
                <w:sz w:val="20"/>
                <w:szCs w:val="20"/>
                <w:color w:val="auto"/>
              </w:rPr>
            </w:pPr>
            <w:r>
              <w:rPr>
                <w:rFonts w:ascii="Arial" w:cs="Arial" w:eastAsia="Arial" w:hAnsi="Arial"/>
                <w:sz w:val="13"/>
                <w:szCs w:val="13"/>
                <w:color w:val="auto"/>
              </w:rPr>
              <w:t>100%</w:t>
            </w:r>
          </w:p>
        </w:tc>
        <w:tc>
          <w:tcPr>
            <w:tcW w:w="5700" w:type="dxa"/>
            <w:vAlign w:val="bottom"/>
            <w:tcBorders>
              <w:bottom w:val="single" w:sz="8" w:color="959595"/>
            </w:tcBorders>
          </w:tcPr>
          <w:p>
            <w:pPr>
              <w:ind w:left="80"/>
              <w:spacing w:after="0"/>
              <w:rPr>
                <w:sz w:val="20"/>
                <w:szCs w:val="20"/>
                <w:color w:val="auto"/>
              </w:rPr>
            </w:pPr>
            <w:r>
              <w:rPr>
                <w:rFonts w:ascii="Arial" w:cs="Arial" w:eastAsia="Arial" w:hAnsi="Arial"/>
                <w:sz w:val="13"/>
                <w:szCs w:val="13"/>
                <w:color w:val="61C4AF"/>
              </w:rPr>
              <w:t xml:space="preserve">●   </w:t>
            </w:r>
            <w:r>
              <w:rPr>
                <w:rFonts w:ascii="Arial" w:cs="Arial" w:eastAsia="Arial" w:hAnsi="Arial"/>
                <w:sz w:val="13"/>
                <w:szCs w:val="13"/>
                <w:b w:val="1"/>
                <w:bCs w:val="1"/>
                <w:color w:val="000000"/>
              </w:rPr>
              <w:t>Non-GAAP Net Income:</w:t>
            </w:r>
            <w:r>
              <w:rPr>
                <w:rFonts w:ascii="Arial" w:cs="Arial" w:eastAsia="Arial" w:hAnsi="Arial"/>
                <w:sz w:val="13"/>
                <w:szCs w:val="13"/>
                <w:color w:val="61C4AF"/>
              </w:rPr>
              <w:t xml:space="preserve"> </w:t>
            </w:r>
            <w:r>
              <w:rPr>
                <w:rFonts w:ascii="Arial" w:cs="Arial" w:eastAsia="Arial" w:hAnsi="Arial"/>
                <w:sz w:val="13"/>
                <w:szCs w:val="13"/>
                <w:color w:val="000000"/>
              </w:rPr>
              <w:t>achievement at 147% of pre-established target</w:t>
            </w:r>
          </w:p>
        </w:tc>
        <w:tc>
          <w:tcPr>
            <w:tcW w:w="6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66</w:t>
            </w:r>
          </w:p>
        </w:tc>
      </w:tr>
      <w:tr>
        <w:trPr>
          <w:trHeight w:val="195"/>
        </w:trPr>
        <w:tc>
          <w:tcPr>
            <w:tcW w:w="3420" w:type="dxa"/>
            <w:vAlign w:val="bottom"/>
            <w:gridSpan w:val="2"/>
          </w:tcPr>
          <w:p>
            <w:pPr>
              <w:ind w:left="80"/>
              <w:spacing w:after="0"/>
              <w:rPr>
                <w:sz w:val="20"/>
                <w:szCs w:val="20"/>
                <w:color w:val="auto"/>
              </w:rPr>
            </w:pPr>
            <w:r>
              <w:rPr>
                <w:rFonts w:ascii="Arial" w:cs="Arial" w:eastAsia="Arial" w:hAnsi="Arial"/>
                <w:sz w:val="13"/>
                <w:szCs w:val="13"/>
                <w:b w:val="1"/>
                <w:bCs w:val="1"/>
                <w:color w:val="23628F"/>
              </w:rPr>
              <w:t>No LTI Payout in Fiscal 2020</w:t>
            </w:r>
          </w:p>
        </w:tc>
        <w:tc>
          <w:tcPr>
            <w:tcW w:w="146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41"/>
        </w:trPr>
        <w:tc>
          <w:tcPr>
            <w:tcW w:w="3340" w:type="dxa"/>
            <w:vAlign w:val="bottom"/>
            <w:tcBorders>
              <w:bottom w:val="single" w:sz="8" w:color="959595"/>
            </w:tcBorders>
          </w:tcPr>
          <w:p>
            <w:pPr>
              <w:spacing w:after="0"/>
              <w:rPr>
                <w:sz w:val="3"/>
                <w:szCs w:val="3"/>
                <w:color w:val="auto"/>
              </w:rPr>
            </w:pPr>
          </w:p>
        </w:tc>
        <w:tc>
          <w:tcPr>
            <w:tcW w:w="80" w:type="dxa"/>
            <w:vAlign w:val="bottom"/>
            <w:tcBorders>
              <w:bottom w:val="single" w:sz="8" w:color="959595"/>
            </w:tcBorders>
          </w:tcPr>
          <w:p>
            <w:pPr>
              <w:spacing w:after="0"/>
              <w:rPr>
                <w:sz w:val="3"/>
                <w:szCs w:val="3"/>
                <w:color w:val="auto"/>
              </w:rPr>
            </w:pPr>
          </w:p>
        </w:tc>
        <w:tc>
          <w:tcPr>
            <w:tcW w:w="1460" w:type="dxa"/>
            <w:vAlign w:val="bottom"/>
            <w:tcBorders>
              <w:bottom w:val="single" w:sz="8" w:color="959595"/>
            </w:tcBorders>
          </w:tcPr>
          <w:p>
            <w:pPr>
              <w:spacing w:after="0"/>
              <w:rPr>
                <w:sz w:val="3"/>
                <w:szCs w:val="3"/>
                <w:color w:val="auto"/>
              </w:rPr>
            </w:pPr>
          </w:p>
        </w:tc>
        <w:tc>
          <w:tcPr>
            <w:tcW w:w="5700" w:type="dxa"/>
            <w:vAlign w:val="bottom"/>
            <w:tcBorders>
              <w:bottom w:val="single" w:sz="8" w:color="959595"/>
            </w:tcBorders>
          </w:tcPr>
          <w:p>
            <w:pPr>
              <w:spacing w:after="0"/>
              <w:rPr>
                <w:sz w:val="3"/>
                <w:szCs w:val="3"/>
                <w:color w:val="auto"/>
              </w:rPr>
            </w:pPr>
          </w:p>
        </w:tc>
        <w:tc>
          <w:tcPr>
            <w:tcW w:w="660" w:type="dxa"/>
            <w:vAlign w:val="bottom"/>
            <w:tcBorders>
              <w:bottom w:val="single" w:sz="8" w:color="959595"/>
            </w:tcBorders>
          </w:tcPr>
          <w:p>
            <w:pPr>
              <w:spacing w:after="0"/>
              <w:rPr>
                <w:sz w:val="3"/>
                <w:szCs w:val="3"/>
                <w:color w:val="auto"/>
              </w:rPr>
            </w:pPr>
          </w:p>
        </w:tc>
      </w:tr>
      <w:tr>
        <w:trPr>
          <w:trHeight w:val="152"/>
        </w:trPr>
        <w:tc>
          <w:tcPr>
            <w:tcW w:w="3420" w:type="dxa"/>
            <w:vAlign w:val="bottom"/>
            <w:gridSpan w:val="2"/>
          </w:tcPr>
          <w:p>
            <w:pPr>
              <w:ind w:left="80"/>
              <w:spacing w:after="0"/>
              <w:rPr>
                <w:sz w:val="20"/>
                <w:szCs w:val="20"/>
                <w:color w:val="auto"/>
              </w:rPr>
            </w:pPr>
            <w:r>
              <w:rPr>
                <w:rFonts w:ascii="Arial" w:cs="Arial" w:eastAsia="Arial" w:hAnsi="Arial"/>
                <w:sz w:val="13"/>
                <w:szCs w:val="13"/>
                <w:color w:val="auto"/>
              </w:rPr>
              <w:t>Fiscal 2019-2020 performance period under PSU</w:t>
            </w:r>
          </w:p>
        </w:tc>
        <w:tc>
          <w:tcPr>
            <w:tcW w:w="1460" w:type="dxa"/>
            <w:vAlign w:val="bottom"/>
          </w:tcPr>
          <w:p>
            <w:pPr>
              <w:ind w:left="20"/>
              <w:spacing w:after="0"/>
              <w:rPr>
                <w:sz w:val="20"/>
                <w:szCs w:val="20"/>
                <w:color w:val="auto"/>
              </w:rPr>
            </w:pPr>
            <w:r>
              <w:rPr>
                <w:rFonts w:ascii="Arial" w:cs="Arial" w:eastAsia="Arial" w:hAnsi="Arial"/>
                <w:sz w:val="13"/>
                <w:szCs w:val="13"/>
                <w:color w:val="auto"/>
              </w:rPr>
              <w:t>N/A</w:t>
            </w:r>
          </w:p>
        </w:tc>
        <w:tc>
          <w:tcPr>
            <w:tcW w:w="5700" w:type="dxa"/>
            <w:vAlign w:val="bottom"/>
          </w:tcPr>
          <w:p>
            <w:pPr>
              <w:ind w:left="120"/>
              <w:spacing w:after="0"/>
              <w:rPr>
                <w:sz w:val="20"/>
                <w:szCs w:val="20"/>
                <w:color w:val="auto"/>
              </w:rPr>
            </w:pPr>
            <w:r>
              <w:rPr>
                <w:rFonts w:ascii="Arial" w:cs="Arial" w:eastAsia="Arial" w:hAnsi="Arial"/>
                <w:sz w:val="13"/>
                <w:szCs w:val="13"/>
                <w:color w:val="61C4AF"/>
              </w:rPr>
              <w:t xml:space="preserve">●   </w:t>
            </w:r>
            <w:r>
              <w:rPr>
                <w:rFonts w:ascii="Arial" w:cs="Arial" w:eastAsia="Arial" w:hAnsi="Arial"/>
                <w:sz w:val="13"/>
                <w:szCs w:val="13"/>
                <w:b w:val="1"/>
                <w:bCs w:val="1"/>
                <w:color w:val="000000"/>
              </w:rPr>
              <w:t>Two-Year Non-GAAP EPS:</w:t>
            </w:r>
            <w:r>
              <w:rPr>
                <w:rFonts w:ascii="Arial" w:cs="Arial" w:eastAsia="Arial" w:hAnsi="Arial"/>
                <w:sz w:val="13"/>
                <w:szCs w:val="13"/>
                <w:color w:val="61C4AF"/>
              </w:rPr>
              <w:t xml:space="preserve"> </w:t>
            </w:r>
            <w:r>
              <w:rPr>
                <w:rFonts w:ascii="Arial" w:cs="Arial" w:eastAsia="Arial" w:hAnsi="Arial"/>
                <w:sz w:val="13"/>
                <w:szCs w:val="13"/>
                <w:color w:val="000000"/>
              </w:rPr>
              <w:t>achievement at 92% of pre-established target</w:t>
            </w:r>
          </w:p>
        </w:tc>
        <w:tc>
          <w:tcPr>
            <w:tcW w:w="660" w:type="dxa"/>
            <w:vAlign w:val="bottom"/>
          </w:tcPr>
          <w:p>
            <w:pPr>
              <w:jc w:val="right"/>
              <w:ind w:right="13"/>
              <w:spacing w:after="0"/>
              <w:rPr>
                <w:sz w:val="20"/>
                <w:szCs w:val="20"/>
                <w:color w:val="auto"/>
              </w:rPr>
            </w:pPr>
            <w:r>
              <w:rPr>
                <w:rFonts w:ascii="Arial" w:cs="Arial" w:eastAsia="Arial" w:hAnsi="Arial"/>
                <w:sz w:val="13"/>
                <w:szCs w:val="13"/>
                <w:color w:val="auto"/>
              </w:rPr>
              <w:t>70</w:t>
            </w:r>
          </w:p>
        </w:tc>
      </w:tr>
      <w:tr>
        <w:trPr>
          <w:trHeight w:val="233"/>
        </w:trPr>
        <w:tc>
          <w:tcPr>
            <w:tcW w:w="3420" w:type="dxa"/>
            <w:vAlign w:val="bottom"/>
            <w:tcBorders>
              <w:bottom w:val="single" w:sz="8" w:color="959595"/>
            </w:tcBorders>
            <w:gridSpan w:val="2"/>
          </w:tcPr>
          <w:p>
            <w:pPr>
              <w:ind w:left="80"/>
              <w:spacing w:after="0" w:line="232" w:lineRule="exact"/>
              <w:rPr>
                <w:sz w:val="20"/>
                <w:szCs w:val="20"/>
                <w:color w:val="auto"/>
              </w:rPr>
            </w:pPr>
            <w:r>
              <w:rPr>
                <w:rFonts w:ascii="Arial" w:cs="Arial" w:eastAsia="Arial" w:hAnsi="Arial"/>
                <w:sz w:val="13"/>
                <w:szCs w:val="13"/>
                <w:color w:val="auto"/>
              </w:rPr>
              <w:t>Awards granted in fiscal 2019</w:t>
            </w:r>
            <w:r>
              <w:rPr>
                <w:rFonts w:ascii="Arial" w:cs="Arial" w:eastAsia="Arial" w:hAnsi="Arial"/>
                <w:sz w:val="22"/>
                <w:szCs w:val="22"/>
                <w:color w:val="auto"/>
                <w:vertAlign w:val="superscript"/>
              </w:rPr>
              <w:t>(2)</w:t>
            </w:r>
          </w:p>
        </w:tc>
        <w:tc>
          <w:tcPr>
            <w:tcW w:w="1460" w:type="dxa"/>
            <w:vAlign w:val="bottom"/>
            <w:tcBorders>
              <w:bottom w:val="single" w:sz="8" w:color="959595"/>
            </w:tcBorders>
          </w:tcPr>
          <w:p>
            <w:pPr>
              <w:spacing w:after="0"/>
              <w:rPr>
                <w:sz w:val="20"/>
                <w:szCs w:val="20"/>
                <w:color w:val="auto"/>
              </w:rPr>
            </w:pPr>
          </w:p>
        </w:tc>
        <w:tc>
          <w:tcPr>
            <w:tcW w:w="5700" w:type="dxa"/>
            <w:vAlign w:val="bottom"/>
            <w:tcBorders>
              <w:bottom w:val="single" w:sz="8" w:color="959595"/>
            </w:tcBorders>
          </w:tcPr>
          <w:p>
            <w:pPr>
              <w:ind w:left="120"/>
              <w:spacing w:after="0"/>
              <w:rPr>
                <w:sz w:val="20"/>
                <w:szCs w:val="20"/>
                <w:color w:val="auto"/>
              </w:rPr>
            </w:pPr>
            <w:r>
              <w:rPr>
                <w:rFonts w:ascii="Arial" w:cs="Arial" w:eastAsia="Arial" w:hAnsi="Arial"/>
                <w:sz w:val="13"/>
                <w:szCs w:val="13"/>
                <w:color w:val="61C4AF"/>
              </w:rPr>
              <w:t xml:space="preserve">●   </w:t>
            </w:r>
            <w:r>
              <w:rPr>
                <w:rFonts w:ascii="Arial" w:cs="Arial" w:eastAsia="Arial" w:hAnsi="Arial"/>
                <w:sz w:val="13"/>
                <w:szCs w:val="13"/>
                <w:b w:val="1"/>
                <w:bCs w:val="1"/>
                <w:color w:val="000000"/>
              </w:rPr>
              <w:t>Two-Year Revenue:</w:t>
            </w:r>
            <w:r>
              <w:rPr>
                <w:rFonts w:ascii="Arial" w:cs="Arial" w:eastAsia="Arial" w:hAnsi="Arial"/>
                <w:sz w:val="13"/>
                <w:szCs w:val="13"/>
                <w:color w:val="61C4AF"/>
              </w:rPr>
              <w:t xml:space="preserve"> </w:t>
            </w:r>
            <w:r>
              <w:rPr>
                <w:rFonts w:ascii="Arial" w:cs="Arial" w:eastAsia="Arial" w:hAnsi="Arial"/>
                <w:sz w:val="13"/>
                <w:szCs w:val="13"/>
                <w:color w:val="000000"/>
              </w:rPr>
              <w:t>achievement at 98% of pre-established target</w:t>
            </w:r>
          </w:p>
        </w:tc>
        <w:tc>
          <w:tcPr>
            <w:tcW w:w="660" w:type="dxa"/>
            <w:vAlign w:val="bottom"/>
            <w:tcBorders>
              <w:bottom w:val="single" w:sz="8" w:color="959595"/>
            </w:tcBorders>
          </w:tcPr>
          <w:p>
            <w:pPr>
              <w:spacing w:after="0"/>
              <w:rPr>
                <w:sz w:val="20"/>
                <w:szCs w:val="20"/>
                <w:color w:val="auto"/>
              </w:rPr>
            </w:pPr>
          </w:p>
        </w:tc>
      </w:tr>
    </w:tbl>
    <w:p>
      <w:pPr>
        <w:spacing w:after="0" w:line="107" w:lineRule="exact"/>
        <w:rPr>
          <w:sz w:val="20"/>
          <w:szCs w:val="20"/>
          <w:color w:val="auto"/>
        </w:rPr>
      </w:pPr>
    </w:p>
    <w:p>
      <w:pPr>
        <w:ind w:left="300" w:right="160" w:hanging="292"/>
        <w:spacing w:after="0" w:line="238" w:lineRule="auto"/>
        <w:tabs>
          <w:tab w:leader="none" w:pos="300" w:val="left"/>
        </w:tabs>
        <w:numPr>
          <w:ilvl w:val="0"/>
          <w:numId w:val="154"/>
        </w:numPr>
        <w:rPr>
          <w:rFonts w:ascii="Arial" w:cs="Arial" w:eastAsia="Arial" w:hAnsi="Arial"/>
          <w:sz w:val="11"/>
          <w:szCs w:val="11"/>
          <w:color w:val="auto"/>
        </w:rPr>
      </w:pPr>
      <w:r>
        <w:rPr>
          <w:rFonts w:ascii="Arial" w:cs="Arial" w:eastAsia="Arial" w:hAnsi="Arial"/>
          <w:sz w:val="13"/>
          <w:szCs w:val="13"/>
          <w:color w:val="auto"/>
        </w:rPr>
        <w:t>As discussed below on page 66, the calculated payout under the fiscal 2020 STI plan was 194% of target and the Compensation and Talent Committee exercised negative discretion to cap the STI payout at 100% of target.</w:t>
      </w:r>
    </w:p>
    <w:p>
      <w:pPr>
        <w:ind w:left="300" w:right="20" w:hanging="292"/>
        <w:spacing w:after="0" w:line="245" w:lineRule="auto"/>
        <w:tabs>
          <w:tab w:leader="none" w:pos="300" w:val="left"/>
        </w:tabs>
        <w:numPr>
          <w:ilvl w:val="0"/>
          <w:numId w:val="154"/>
        </w:numPr>
        <w:rPr>
          <w:rFonts w:ascii="Arial" w:cs="Arial" w:eastAsia="Arial" w:hAnsi="Arial"/>
          <w:sz w:val="11"/>
          <w:szCs w:val="11"/>
          <w:color w:val="auto"/>
        </w:rPr>
      </w:pPr>
      <w:r>
        <w:rPr>
          <w:rFonts w:ascii="Arial" w:cs="Arial" w:eastAsia="Arial" w:hAnsi="Arial"/>
          <w:sz w:val="13"/>
          <w:szCs w:val="13"/>
          <w:color w:val="auto"/>
        </w:rPr>
        <w:t>The two-year non-GAAP EPS metric and the two-year revenue metric each represent 6.25% of the target PSU awards. These portions of the PSU awards are subject to a one-year service period following the end of the performance period. As a result, none of the named executive officers received a PSU payout following fiscal 2020 and the portions of the awards eligible to vest based on the two-year performance period remain subject to time-based vesting until the end of the three-year vesting period. The remaining 87.5% of the target PSU awards is subject to a three-year performance period.</w:t>
      </w:r>
    </w:p>
    <w:p>
      <w:pPr>
        <w:spacing w:after="0" w:line="200" w:lineRule="exact"/>
        <w:rPr>
          <w:sz w:val="20"/>
          <w:szCs w:val="20"/>
          <w:color w:val="auto"/>
        </w:rPr>
      </w:pPr>
    </w:p>
    <w:p>
      <w:pPr>
        <w:ind w:right="180"/>
        <w:spacing w:after="0" w:line="245" w:lineRule="auto"/>
        <w:rPr>
          <w:sz w:val="20"/>
          <w:szCs w:val="20"/>
          <w:color w:val="auto"/>
        </w:rPr>
      </w:pPr>
      <w:r>
        <w:rPr>
          <w:rFonts w:ascii="Arial" w:cs="Arial" w:eastAsia="Arial" w:hAnsi="Arial"/>
          <w:sz w:val="13"/>
          <w:szCs w:val="13"/>
          <w:color w:val="auto"/>
        </w:rPr>
        <w:t>Due to the extension of the PSU vesting periods from two years to three years in our fiscal 2019 LTI awards, none of the named executive officers received a PSU award payout following fiscal 2020. The Compensation and Talent Committee considered granting “gap” RSU awards in fiscal 2019 in connection with the transition to a three-year vesting period to provide LTI payouts to our named executive officers with respect to fiscal 2020 but determined not to award any such grants to our executives. As a result of the transition to a three-year vesting program, the only incentive payouts that our named executive officers received with respect to fiscal 2020 was their fiscal 2020 STI payout.</w:t>
      </w:r>
    </w:p>
    <w:p>
      <w:pPr>
        <w:sectPr>
          <w:pgSz w:w="11900" w:h="16838" w:orient="portrait"/>
          <w:cols w:equalWidth="0" w:num="1">
            <w:col w:w="11260"/>
          </w:cols>
          <w:pgMar w:left="320" w:top="121" w:right="319" w:bottom="1440" w:gutter="0" w:footer="0" w:header="0"/>
          <w:type w:val="continuous"/>
        </w:sectPr>
      </w:pPr>
    </w:p>
    <w:p>
      <w:pPr>
        <w:spacing w:after="0" w:line="211" w:lineRule="exact"/>
        <w:rPr>
          <w:sz w:val="20"/>
          <w:szCs w:val="20"/>
          <w:color w:val="auto"/>
        </w:rPr>
      </w:pPr>
    </w:p>
    <w:p>
      <w:pPr>
        <w:ind w:left="7740"/>
        <w:spacing w:after="0"/>
        <w:rPr>
          <w:sz w:val="20"/>
          <w:szCs w:val="20"/>
          <w:color w:val="auto"/>
        </w:rPr>
      </w:pPr>
      <w:r>
        <w:rPr>
          <w:rFonts w:ascii="Arial" w:cs="Arial" w:eastAsia="Arial" w:hAnsi="Arial"/>
          <w:sz w:val="13"/>
          <w:szCs w:val="13"/>
          <w:b w:val="1"/>
          <w:bCs w:val="1"/>
          <w:color w:val="auto"/>
        </w:rPr>
        <w:t>PSU Payout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4225" cy="3365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4225" cy="336550"/>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680" w:type="dxa"/>
            <w:vAlign w:val="bottom"/>
            <w:tcBorders>
              <w:right w:val="single" w:sz="8" w:color="auto"/>
            </w:tcBorders>
          </w:tcPr>
          <w:p>
            <w:pPr>
              <w:spacing w:after="0"/>
              <w:rPr>
                <w:sz w:val="17"/>
                <w:szCs w:val="17"/>
                <w:color w:val="auto"/>
              </w:rPr>
            </w:pPr>
          </w:p>
        </w:tc>
        <w:tc>
          <w:tcPr>
            <w:tcW w:w="1360" w:type="dxa"/>
            <w:vAlign w:val="bottom"/>
            <w:tcBorders>
              <w:top w:val="single" w:sz="8" w:color="auto"/>
              <w:right w:val="single" w:sz="8" w:color="auto"/>
            </w:tcBorders>
          </w:tcPr>
          <w:p>
            <w:pPr>
              <w:ind w:left="300"/>
              <w:spacing w:after="0"/>
              <w:rPr>
                <w:sz w:val="20"/>
                <w:szCs w:val="20"/>
                <w:color w:val="auto"/>
              </w:rPr>
            </w:pPr>
            <w:r>
              <w:rPr>
                <w:rFonts w:ascii="Arial" w:cs="Arial" w:eastAsia="Arial" w:hAnsi="Arial"/>
                <w:sz w:val="13"/>
                <w:szCs w:val="13"/>
                <w:b w:val="1"/>
                <w:bCs w:val="1"/>
                <w:color w:val="auto"/>
              </w:rPr>
              <w:t>Fiscal 2018</w:t>
            </w:r>
          </w:p>
        </w:tc>
        <w:tc>
          <w:tcPr>
            <w:tcW w:w="1340" w:type="dxa"/>
            <w:vAlign w:val="bottom"/>
            <w:tcBorders>
              <w:top w:val="single" w:sz="8" w:color="auto"/>
              <w:right w:val="single" w:sz="8" w:color="auto"/>
            </w:tcBorders>
          </w:tcPr>
          <w:p>
            <w:pPr>
              <w:ind w:left="300"/>
              <w:spacing w:after="0"/>
              <w:rPr>
                <w:sz w:val="20"/>
                <w:szCs w:val="20"/>
                <w:color w:val="auto"/>
              </w:rPr>
            </w:pPr>
            <w:r>
              <w:rPr>
                <w:rFonts w:ascii="Arial" w:cs="Arial" w:eastAsia="Arial" w:hAnsi="Arial"/>
                <w:sz w:val="13"/>
                <w:szCs w:val="13"/>
                <w:b w:val="1"/>
                <w:bCs w:val="1"/>
                <w:color w:val="auto"/>
              </w:rPr>
              <w:t>Fiscal 2019</w:t>
            </w:r>
          </w:p>
        </w:tc>
        <w:tc>
          <w:tcPr>
            <w:tcW w:w="1360" w:type="dxa"/>
            <w:vAlign w:val="bottom"/>
            <w:tcBorders>
              <w:top w:val="single" w:sz="8" w:color="auto"/>
            </w:tcBorders>
          </w:tcPr>
          <w:p>
            <w:pPr>
              <w:ind w:left="300"/>
              <w:spacing w:after="0"/>
              <w:rPr>
                <w:sz w:val="20"/>
                <w:szCs w:val="20"/>
                <w:color w:val="auto"/>
              </w:rPr>
            </w:pPr>
            <w:r>
              <w:rPr>
                <w:rFonts w:ascii="Arial" w:cs="Arial" w:eastAsia="Arial" w:hAnsi="Arial"/>
                <w:sz w:val="13"/>
                <w:szCs w:val="13"/>
                <w:b w:val="1"/>
                <w:bCs w:val="1"/>
                <w:color w:val="auto"/>
              </w:rPr>
              <w:t>Fiscal 2020</w:t>
            </w:r>
          </w:p>
        </w:tc>
      </w:tr>
      <w:tr>
        <w:trPr>
          <w:trHeight w:val="28"/>
        </w:trPr>
        <w:tc>
          <w:tcPr>
            <w:tcW w:w="56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Fiscal 2021</w:t>
      </w:r>
    </w:p>
    <w:p>
      <w:pPr>
        <w:spacing w:after="0" w:line="163" w:lineRule="exact"/>
        <w:rPr>
          <w:sz w:val="20"/>
          <w:szCs w:val="20"/>
          <w:color w:val="auto"/>
        </w:rPr>
      </w:pPr>
    </w:p>
    <w:p>
      <w:pPr>
        <w:sectPr>
          <w:pgSz w:w="11900" w:h="16838" w:orient="portrait"/>
          <w:cols w:equalWidth="0" w:num="2">
            <w:col w:w="9740" w:space="380"/>
            <w:col w:w="1140"/>
          </w:cols>
          <w:pgMar w:left="320" w:top="121" w:right="319" w:bottom="1440" w:gutter="0" w:footer="0" w:header="0"/>
          <w:type w:val="continuous"/>
        </w:sectPr>
      </w:pPr>
    </w:p>
    <w:p>
      <w:pPr>
        <w:spacing w:after="0"/>
        <w:rPr>
          <w:sz w:val="20"/>
          <w:szCs w:val="20"/>
          <w:color w:val="auto"/>
        </w:rPr>
      </w:pPr>
      <w:r>
        <w:rPr>
          <w:rFonts w:ascii="Arial" w:cs="Arial" w:eastAsia="Arial" w:hAnsi="Arial"/>
          <w:sz w:val="13"/>
          <w:szCs w:val="13"/>
          <w:color w:val="auto"/>
        </w:rPr>
        <w:t>Fiscal 2018-2019 PSU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5486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Arial" w:cs="Arial" w:eastAsia="Arial" w:hAnsi="Arial"/>
          <w:sz w:val="13"/>
          <w:szCs w:val="13"/>
          <w:color w:val="auto"/>
        </w:rPr>
        <w:t>Fiscal 2019-2021 PSU</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140" w:type="dxa"/>
            <w:vAlign w:val="bottom"/>
            <w:gridSpan w:val="2"/>
          </w:tcPr>
          <w:p>
            <w:pPr>
              <w:ind w:left="8100"/>
              <w:spacing w:after="0"/>
              <w:rPr>
                <w:sz w:val="20"/>
                <w:szCs w:val="20"/>
                <w:color w:val="auto"/>
              </w:rPr>
            </w:pPr>
            <w:r>
              <w:rPr>
                <w:rFonts w:ascii="Arial" w:cs="Arial" w:eastAsia="Arial" w:hAnsi="Arial"/>
                <w:sz w:val="13"/>
                <w:szCs w:val="13"/>
                <w:color w:val="auto"/>
              </w:rPr>
              <w:t>Fiscal 2018-2019</w:t>
            </w:r>
          </w:p>
        </w:tc>
        <w:tc>
          <w:tcPr>
            <w:tcW w:w="2120" w:type="dxa"/>
            <w:vAlign w:val="bottom"/>
            <w:gridSpan w:val="2"/>
          </w:tcPr>
          <w:p>
            <w:pPr>
              <w:jc w:val="right"/>
              <w:spacing w:after="0"/>
              <w:rPr>
                <w:sz w:val="20"/>
                <w:szCs w:val="20"/>
                <w:color w:val="auto"/>
              </w:rPr>
            </w:pPr>
            <w:r>
              <w:rPr>
                <w:rFonts w:ascii="Arial" w:cs="Arial" w:eastAsia="Arial" w:hAnsi="Arial"/>
                <w:sz w:val="13"/>
                <w:szCs w:val="13"/>
                <w:color w:val="auto"/>
              </w:rPr>
              <w:t>Fiscal 2019-2021</w:t>
            </w:r>
          </w:p>
        </w:tc>
      </w:tr>
      <w:tr>
        <w:trPr>
          <w:trHeight w:val="149"/>
        </w:trPr>
        <w:tc>
          <w:tcPr>
            <w:tcW w:w="9140" w:type="dxa"/>
            <w:vAlign w:val="bottom"/>
            <w:gridSpan w:val="2"/>
          </w:tcPr>
          <w:p>
            <w:pPr>
              <w:ind w:left="8100"/>
              <w:spacing w:after="0"/>
              <w:rPr>
                <w:sz w:val="20"/>
                <w:szCs w:val="20"/>
                <w:color w:val="auto"/>
              </w:rPr>
            </w:pPr>
            <w:r>
              <w:rPr>
                <w:rFonts w:ascii="Arial" w:cs="Arial" w:eastAsia="Arial" w:hAnsi="Arial"/>
                <w:sz w:val="13"/>
                <w:szCs w:val="13"/>
                <w:color w:val="auto"/>
              </w:rPr>
              <w:t>PSU Payout</w:t>
            </w:r>
          </w:p>
        </w:tc>
        <w:tc>
          <w:tcPr>
            <w:tcW w:w="12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PSU Payout</w:t>
            </w:r>
          </w:p>
        </w:tc>
      </w:tr>
      <w:tr>
        <w:trPr>
          <w:trHeight w:val="216"/>
        </w:trPr>
        <w:tc>
          <w:tcPr>
            <w:tcW w:w="9060" w:type="dxa"/>
            <w:vAlign w:val="bottom"/>
          </w:tcPr>
          <w:p>
            <w:pPr>
              <w:spacing w:after="0"/>
              <w:rPr>
                <w:sz w:val="18"/>
                <w:szCs w:val="18"/>
                <w:color w:val="auto"/>
              </w:rPr>
            </w:pPr>
          </w:p>
        </w:tc>
        <w:tc>
          <w:tcPr>
            <w:tcW w:w="80" w:type="dxa"/>
            <w:vAlign w:val="bottom"/>
            <w:shd w:val="clear" w:color="auto" w:fill="D5DEE8"/>
          </w:tcPr>
          <w:p>
            <w:pPr>
              <w:spacing w:after="0"/>
              <w:rPr>
                <w:sz w:val="18"/>
                <w:szCs w:val="18"/>
                <w:color w:val="auto"/>
              </w:rPr>
            </w:pPr>
          </w:p>
        </w:tc>
        <w:tc>
          <w:tcPr>
            <w:tcW w:w="1280" w:type="dxa"/>
            <w:vAlign w:val="bottom"/>
            <w:shd w:val="clear" w:color="auto" w:fill="D5DEE8"/>
          </w:tcPr>
          <w:p>
            <w:pPr>
              <w:ind w:left="120"/>
              <w:spacing w:after="0"/>
              <w:rPr>
                <w:sz w:val="20"/>
                <w:szCs w:val="20"/>
                <w:color w:val="auto"/>
              </w:rPr>
            </w:pPr>
            <w:r>
              <w:rPr>
                <w:rFonts w:ascii="Arial" w:cs="Arial" w:eastAsia="Arial" w:hAnsi="Arial"/>
                <w:sz w:val="13"/>
                <w:szCs w:val="13"/>
                <w:b w:val="1"/>
                <w:bCs w:val="1"/>
                <w:color w:val="auto"/>
              </w:rPr>
              <w:t>No PSU Payout</w:t>
            </w:r>
          </w:p>
        </w:tc>
        <w:tc>
          <w:tcPr>
            <w:tcW w:w="840" w:type="dxa"/>
            <w:vAlign w:val="bottom"/>
          </w:tcPr>
          <w:p>
            <w:pPr>
              <w:spacing w:after="0"/>
              <w:rPr>
                <w:sz w:val="18"/>
                <w:szCs w:val="18"/>
                <w:color w:val="auto"/>
              </w:rPr>
            </w:pPr>
          </w:p>
        </w:tc>
      </w:tr>
      <w:tr>
        <w:trPr>
          <w:trHeight w:val="430"/>
        </w:trPr>
        <w:tc>
          <w:tcPr>
            <w:tcW w:w="9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gridSpan w:val="2"/>
          </w:tcPr>
          <w:p>
            <w:pPr>
              <w:jc w:val="right"/>
              <w:spacing w:after="0"/>
              <w:rPr>
                <w:sz w:val="20"/>
                <w:szCs w:val="20"/>
                <w:color w:val="auto"/>
              </w:rPr>
            </w:pPr>
            <w:r>
              <w:rPr>
                <w:rFonts w:ascii="Arial" w:cs="Arial" w:eastAsia="Arial" w:hAnsi="Arial"/>
                <w:sz w:val="13"/>
                <w:szCs w:val="13"/>
                <w:color w:val="23628F"/>
              </w:rPr>
              <w:t xml:space="preserve">2020 PROXY STATEMENT    </w:t>
            </w:r>
            <w:r>
              <w:rPr>
                <w:rFonts w:ascii="Arial" w:cs="Arial" w:eastAsia="Arial" w:hAnsi="Arial"/>
                <w:sz w:val="17"/>
                <w:szCs w:val="17"/>
                <w:b w:val="1"/>
                <w:bCs w:val="1"/>
                <w:color w:val="23628F"/>
              </w:rPr>
              <w:t>57</w:t>
            </w:r>
          </w:p>
        </w:tc>
      </w:tr>
      <w:tr>
        <w:trPr>
          <w:trHeight w:val="215"/>
        </w:trPr>
        <w:tc>
          <w:tcPr>
            <w:tcW w:w="906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280" w:type="dxa"/>
            <w:vAlign w:val="bottom"/>
            <w:tcBorders>
              <w:bottom w:val="single" w:sz="8" w:color="808080"/>
            </w:tcBorders>
          </w:tcPr>
          <w:p>
            <w:pPr>
              <w:spacing w:after="0"/>
              <w:rPr>
                <w:sz w:val="18"/>
                <w:szCs w:val="18"/>
                <w:color w:val="auto"/>
              </w:rPr>
            </w:pPr>
          </w:p>
        </w:tc>
        <w:tc>
          <w:tcPr>
            <w:tcW w:w="8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-14605</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23628F"/>
        </w:rPr>
        <w:t>COMPENSATION DISCUSSION AND ANALYSIS</w:t>
      </w:r>
    </w:p>
    <w:p>
      <w:pPr>
        <w:spacing w:after="0" w:line="182"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COVID-19 Considerations in Executive Compensation Programs</w:t>
      </w:r>
    </w:p>
    <w:p>
      <w:pPr>
        <w:spacing w:after="0" w:line="257" w:lineRule="exact"/>
        <w:rPr>
          <w:sz w:val="20"/>
          <w:szCs w:val="20"/>
          <w:color w:val="auto"/>
        </w:rPr>
      </w:pPr>
    </w:p>
    <w:p>
      <w:pPr>
        <w:ind w:right="20"/>
        <w:spacing w:after="0" w:line="245" w:lineRule="auto"/>
        <w:rPr>
          <w:sz w:val="20"/>
          <w:szCs w:val="20"/>
          <w:color w:val="auto"/>
        </w:rPr>
      </w:pPr>
      <w:r>
        <w:rPr>
          <w:rFonts w:ascii="Arial" w:cs="Arial" w:eastAsia="Arial" w:hAnsi="Arial"/>
          <w:sz w:val="13"/>
          <w:szCs w:val="13"/>
          <w:color w:val="auto"/>
        </w:rPr>
        <w:t>As with many companies, we experienced both supply chain and demand disruptions in the second half of fiscal 2020 as a result of COVID-19 market-related slowdowns. However, COVID-related market disruptions did not impact our business as much in fiscal 2020 as those in other industries. The Compensation and Talent Committee has not adjusted the targets for any of our incentive awards to reflect COVID-related disruptions. The fiscal 2021 targets and performance ranges for our executive compensation programs accounted for an assessment, as of the time the awards were granted, of the ongoing market uncertainty associated with COVID-19.</w:t>
      </w:r>
    </w:p>
    <w:p>
      <w:pPr>
        <w:spacing w:after="0" w:line="166"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Our Compensation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03466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303466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63C4AF"/>
        </w:rPr>
        <w:t>WHAT WE DO</w:t>
      </w:r>
    </w:p>
    <w:p>
      <w:pPr>
        <w:spacing w:after="0" w:line="157" w:lineRule="exact"/>
        <w:rPr>
          <w:sz w:val="20"/>
          <w:szCs w:val="20"/>
          <w:color w:val="auto"/>
        </w:rPr>
      </w:pPr>
    </w:p>
    <w:p>
      <w:pPr>
        <w:ind w:left="300"/>
        <w:spacing w:after="0" w:line="258" w:lineRule="auto"/>
        <w:rPr>
          <w:sz w:val="20"/>
          <w:szCs w:val="20"/>
          <w:color w:val="auto"/>
        </w:rPr>
      </w:pPr>
      <w:r>
        <w:rPr>
          <w:rFonts w:ascii="Arial" w:cs="Arial" w:eastAsia="Arial" w:hAnsi="Arial"/>
          <w:sz w:val="13"/>
          <w:szCs w:val="13"/>
          <w:color w:val="auto"/>
        </w:rPr>
        <w:t>Pay for performance by requiring that a substantial portion of our executives’ compensation be earned based on 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447484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4748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111125" cy="11176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clrChange>
                        <a:clrFrom>
                          <a:srgbClr val="000000"/>
                        </a:clrFrom>
                        <a:clrTo>
                          <a:srgbClr val="000000">
                            <a:alpha val="0"/>
                          </a:srgbClr>
                        </a:clrTo>
                      </a:clrChange>
                      <a:extLst>
                        <a:ext uri="{28A0092B-C50C-407E-A947-70E740481C1C}"/>
                      </a:extLst>
                    </a:blip>
                    <a:srcRect/>
                    <a:stretch>
                      <a:fillRect/>
                    </a:stretch>
                  </pic:blipFill>
                  <pic:spPr bwMode="auto">
                    <a:xfrm>
                      <a:off x="0" y="0"/>
                      <a:ext cx="111125" cy="1117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111125" cy="11176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clrChange>
                        <a:clrFrom>
                          <a:srgbClr val="FFFFFF"/>
                        </a:clrFrom>
                        <a:clrTo>
                          <a:srgbClr val="FFFFFF">
                            <a:alpha val="0"/>
                          </a:srgbClr>
                        </a:clrTo>
                      </a:clrChange>
                      <a:extLst>
                        <a:ext uri="{28A0092B-C50C-407E-A947-70E740481C1C}"/>
                      </a:extLst>
                    </a:blip>
                    <a:srcRect/>
                    <a:stretch>
                      <a:fillRect/>
                    </a:stretch>
                  </pic:blipFill>
                  <pic:spPr bwMode="auto">
                    <a:xfrm>
                      <a:off x="0" y="0"/>
                      <a:ext cx="111125" cy="111760"/>
                    </a:xfrm>
                    <a:prstGeom prst="rect">
                      <a:avLst/>
                    </a:prstGeom>
                    <a:noFill/>
                  </pic:spPr>
                </pic:pic>
              </a:graphicData>
            </a:graphic>
          </wp:anchor>
        </w:drawing>
      </w:r>
    </w:p>
    <w:p>
      <w:pPr>
        <w:spacing w:after="0" w:line="23" w:lineRule="exact"/>
        <w:rPr>
          <w:sz w:val="20"/>
          <w:szCs w:val="20"/>
          <w:color w:val="auto"/>
        </w:rPr>
      </w:pPr>
    </w:p>
    <w:p>
      <w:pPr>
        <w:ind w:left="300" w:right="220"/>
        <w:spacing w:after="0" w:line="258" w:lineRule="auto"/>
        <w:rPr>
          <w:sz w:val="20"/>
          <w:szCs w:val="20"/>
          <w:color w:val="auto"/>
        </w:rPr>
      </w:pPr>
      <w:r>
        <w:rPr>
          <w:rFonts w:ascii="Arial" w:cs="Arial" w:eastAsia="Arial" w:hAnsi="Arial"/>
          <w:sz w:val="13"/>
          <w:szCs w:val="13"/>
          <w:color w:val="auto"/>
        </w:rPr>
        <w:t>Actively engage with stockholders to obtain and consider their feedback in the future design of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447484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4748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111125" cy="11112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clrChange>
                        <a:clrFrom>
                          <a:srgbClr val="000000"/>
                        </a:clrFrom>
                        <a:clrTo>
                          <a:srgbClr val="000000">
                            <a:alpha val="0"/>
                          </a:srgbClr>
                        </a:clrTo>
                      </a:clrChange>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111125" cy="11112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clrChange>
                        <a:clrFrom>
                          <a:srgbClr val="FFFFFF"/>
                        </a:clrFrom>
                        <a:clrTo>
                          <a:srgbClr val="FFFFFF">
                            <a:alpha val="0"/>
                          </a:srgbClr>
                        </a:clrTo>
                      </a:clrChange>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p>
      <w:pPr>
        <w:spacing w:after="0" w:line="23" w:lineRule="exact"/>
        <w:rPr>
          <w:sz w:val="20"/>
          <w:szCs w:val="20"/>
          <w:color w:val="auto"/>
        </w:rPr>
      </w:pPr>
    </w:p>
    <w:p>
      <w:pPr>
        <w:ind w:left="300" w:right="500"/>
        <w:spacing w:after="0" w:line="258" w:lineRule="auto"/>
        <w:rPr>
          <w:sz w:val="20"/>
          <w:szCs w:val="20"/>
          <w:color w:val="auto"/>
        </w:rPr>
      </w:pPr>
      <w:r>
        <w:rPr>
          <w:rFonts w:ascii="Arial" w:cs="Arial" w:eastAsia="Arial" w:hAnsi="Arial"/>
          <w:sz w:val="13"/>
          <w:szCs w:val="13"/>
          <w:color w:val="auto"/>
        </w:rPr>
        <w:t>Link our executive compensation program to our long-term corporate growth strategy and key drivers of sustainable stockholder 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447484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4748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111125" cy="11176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clrChange>
                        <a:clrFrom>
                          <a:srgbClr val="000000"/>
                        </a:clrFrom>
                        <a:clrTo>
                          <a:srgbClr val="000000">
                            <a:alpha val="0"/>
                          </a:srgbClr>
                        </a:clrTo>
                      </a:clrChange>
                      <a:extLst>
                        <a:ext uri="{28A0092B-C50C-407E-A947-70E740481C1C}"/>
                      </a:extLst>
                    </a:blip>
                    <a:srcRect/>
                    <a:stretch>
                      <a:fillRect/>
                    </a:stretch>
                  </pic:blipFill>
                  <pic:spPr bwMode="auto">
                    <a:xfrm>
                      <a:off x="0" y="0"/>
                      <a:ext cx="111125" cy="1117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111125" cy="11176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clrChange>
                        <a:clrFrom>
                          <a:srgbClr val="FFFFFF"/>
                        </a:clrFrom>
                        <a:clrTo>
                          <a:srgbClr val="FFFFFF">
                            <a:alpha val="0"/>
                          </a:srgbClr>
                        </a:clrTo>
                      </a:clrChange>
                      <a:extLst>
                        <a:ext uri="{28A0092B-C50C-407E-A947-70E740481C1C}"/>
                      </a:extLst>
                    </a:blip>
                    <a:srcRect/>
                    <a:stretch>
                      <a:fillRect/>
                    </a:stretch>
                  </pic:blipFill>
                  <pic:spPr bwMode="auto">
                    <a:xfrm>
                      <a:off x="0" y="0"/>
                      <a:ext cx="111125" cy="111760"/>
                    </a:xfrm>
                    <a:prstGeom prst="rect">
                      <a:avLst/>
                    </a:prstGeom>
                    <a:noFill/>
                  </pic:spPr>
                </pic:pic>
              </a:graphicData>
            </a:graphic>
          </wp:anchor>
        </w:drawing>
      </w:r>
    </w:p>
    <w:p>
      <w:pPr>
        <w:spacing w:after="0" w:line="23" w:lineRule="exact"/>
        <w:rPr>
          <w:sz w:val="20"/>
          <w:szCs w:val="20"/>
          <w:color w:val="auto"/>
        </w:rPr>
      </w:pPr>
    </w:p>
    <w:p>
      <w:pPr>
        <w:jc w:val="both"/>
        <w:ind w:left="300" w:right="360"/>
        <w:spacing w:after="0" w:line="248" w:lineRule="auto"/>
        <w:rPr>
          <w:sz w:val="20"/>
          <w:szCs w:val="20"/>
          <w:color w:val="auto"/>
        </w:rPr>
      </w:pPr>
      <w:r>
        <w:rPr>
          <w:rFonts w:ascii="Arial" w:cs="Arial" w:eastAsia="Arial" w:hAnsi="Arial"/>
          <w:sz w:val="13"/>
          <w:szCs w:val="13"/>
          <w:color w:val="auto"/>
        </w:rPr>
        <w:t>Use a mix of performance measures, cash- and equity-based vehicles, and short- and long-term incentive opportunities that hold our executive officers accountable for executing on our long-term corporate growth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47484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44748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111125" cy="11176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clrChange>
                        <a:clrFrom>
                          <a:srgbClr val="000000"/>
                        </a:clrFrom>
                        <a:clrTo>
                          <a:srgbClr val="000000">
                            <a:alpha val="0"/>
                          </a:srgbClr>
                        </a:clrTo>
                      </a:clrChange>
                      <a:extLst>
                        <a:ext uri="{28A0092B-C50C-407E-A947-70E740481C1C}"/>
                      </a:extLst>
                    </a:blip>
                    <a:srcRect/>
                    <a:stretch>
                      <a:fillRect/>
                    </a:stretch>
                  </pic:blipFill>
                  <pic:spPr bwMode="auto">
                    <a:xfrm>
                      <a:off x="0" y="0"/>
                      <a:ext cx="111125" cy="1117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111125" cy="11176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clrChange>
                        <a:clrFrom>
                          <a:srgbClr val="FFFFFF"/>
                        </a:clrFrom>
                        <a:clrTo>
                          <a:srgbClr val="FFFFFF">
                            <a:alpha val="0"/>
                          </a:srgbClr>
                        </a:clrTo>
                      </a:clrChange>
                      <a:extLst>
                        <a:ext uri="{28A0092B-C50C-407E-A947-70E740481C1C}"/>
                      </a:extLst>
                    </a:blip>
                    <a:srcRect/>
                    <a:stretch>
                      <a:fillRect/>
                    </a:stretch>
                  </pic:blipFill>
                  <pic:spPr bwMode="auto">
                    <a:xfrm>
                      <a:off x="0" y="0"/>
                      <a:ext cx="111125" cy="111760"/>
                    </a:xfrm>
                    <a:prstGeom prst="rect">
                      <a:avLst/>
                    </a:prstGeom>
                    <a:noFill/>
                  </pic:spPr>
                </pic:pic>
              </a:graphicData>
            </a:graphic>
          </wp:anchor>
        </w:drawing>
      </w:r>
    </w:p>
    <w:p>
      <w:pPr>
        <w:spacing w:after="0" w:line="30" w:lineRule="exact"/>
        <w:rPr>
          <w:sz w:val="20"/>
          <w:szCs w:val="20"/>
          <w:color w:val="auto"/>
        </w:rPr>
      </w:pPr>
    </w:p>
    <w:p>
      <w:pPr>
        <w:ind w:left="300" w:right="120"/>
        <w:spacing w:after="0" w:line="258" w:lineRule="auto"/>
        <w:rPr>
          <w:sz w:val="20"/>
          <w:szCs w:val="20"/>
          <w:color w:val="auto"/>
        </w:rPr>
      </w:pPr>
      <w:r>
        <w:rPr>
          <w:rFonts w:ascii="Arial" w:cs="Arial" w:eastAsia="Arial" w:hAnsi="Arial"/>
          <w:sz w:val="13"/>
          <w:szCs w:val="13"/>
          <w:color w:val="auto"/>
        </w:rPr>
        <w:t>Cap maximum vesting or payout levels under our incentive awards, which are aligned with competitive market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447484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44748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111125" cy="11176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clrChange>
                        <a:clrFrom>
                          <a:srgbClr val="000000"/>
                        </a:clrFrom>
                        <a:clrTo>
                          <a:srgbClr val="000000">
                            <a:alpha val="0"/>
                          </a:srgbClr>
                        </a:clrTo>
                      </a:clrChange>
                      <a:extLst>
                        <a:ext uri="{28A0092B-C50C-407E-A947-70E740481C1C}"/>
                      </a:extLst>
                    </a:blip>
                    <a:srcRect/>
                    <a:stretch>
                      <a:fillRect/>
                    </a:stretch>
                  </pic:blipFill>
                  <pic:spPr bwMode="auto">
                    <a:xfrm>
                      <a:off x="0" y="0"/>
                      <a:ext cx="111125" cy="1117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111125" cy="11176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clrChange>
                        <a:clrFrom>
                          <a:srgbClr val="FFFFFF"/>
                        </a:clrFrom>
                        <a:clrTo>
                          <a:srgbClr val="FFFFFF">
                            <a:alpha val="0"/>
                          </a:srgbClr>
                        </a:clrTo>
                      </a:clrChange>
                      <a:extLst>
                        <a:ext uri="{28A0092B-C50C-407E-A947-70E740481C1C}"/>
                      </a:extLst>
                    </a:blip>
                    <a:srcRect/>
                    <a:stretch>
                      <a:fillRect/>
                    </a:stretch>
                  </pic:blipFill>
                  <pic:spPr bwMode="auto">
                    <a:xfrm>
                      <a:off x="0" y="0"/>
                      <a:ext cx="111125" cy="111760"/>
                    </a:xfrm>
                    <a:prstGeom prst="rect">
                      <a:avLst/>
                    </a:prstGeom>
                    <a:noFill/>
                  </pic:spPr>
                </pic:pic>
              </a:graphicData>
            </a:graphic>
          </wp:anchor>
        </w:drawing>
      </w:r>
    </w:p>
    <w:p>
      <w:pPr>
        <w:spacing w:after="0" w:line="23" w:lineRule="exact"/>
        <w:rPr>
          <w:sz w:val="20"/>
          <w:szCs w:val="20"/>
          <w:color w:val="auto"/>
        </w:rPr>
      </w:pPr>
    </w:p>
    <w:p>
      <w:pPr>
        <w:ind w:left="300" w:right="520"/>
        <w:spacing w:after="0" w:line="258" w:lineRule="auto"/>
        <w:rPr>
          <w:sz w:val="20"/>
          <w:szCs w:val="20"/>
          <w:color w:val="auto"/>
        </w:rPr>
      </w:pPr>
      <w:r>
        <w:rPr>
          <w:rFonts w:ascii="Arial" w:cs="Arial" w:eastAsia="Arial" w:hAnsi="Arial"/>
          <w:sz w:val="13"/>
          <w:szCs w:val="13"/>
          <w:color w:val="auto"/>
        </w:rPr>
        <w:t>Engage an independent compensation consultant to evaluate and advise the Compensation and Talent Committee on our executive compensation program design and pay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447484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4748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111125" cy="11176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clrChange>
                        <a:clrFrom>
                          <a:srgbClr val="000000"/>
                        </a:clrFrom>
                        <a:clrTo>
                          <a:srgbClr val="000000">
                            <a:alpha val="0"/>
                          </a:srgbClr>
                        </a:clrTo>
                      </a:clrChange>
                      <a:extLst>
                        <a:ext uri="{28A0092B-C50C-407E-A947-70E740481C1C}"/>
                      </a:extLst>
                    </a:blip>
                    <a:srcRect/>
                    <a:stretch>
                      <a:fillRect/>
                    </a:stretch>
                  </pic:blipFill>
                  <pic:spPr bwMode="auto">
                    <a:xfrm>
                      <a:off x="0" y="0"/>
                      <a:ext cx="111125" cy="1117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111125" cy="11176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clrChange>
                        <a:clrFrom>
                          <a:srgbClr val="FFFFFF"/>
                        </a:clrFrom>
                        <a:clrTo>
                          <a:srgbClr val="FFFFFF">
                            <a:alpha val="0"/>
                          </a:srgbClr>
                        </a:clrTo>
                      </a:clrChange>
                      <a:extLst>
                        <a:ext uri="{28A0092B-C50C-407E-A947-70E740481C1C}"/>
                      </a:extLst>
                    </a:blip>
                    <a:srcRect/>
                    <a:stretch>
                      <a:fillRect/>
                    </a:stretch>
                  </pic:blipFill>
                  <pic:spPr bwMode="auto">
                    <a:xfrm>
                      <a:off x="0" y="0"/>
                      <a:ext cx="111125" cy="111760"/>
                    </a:xfrm>
                    <a:prstGeom prst="rect">
                      <a:avLst/>
                    </a:prstGeom>
                    <a:noFill/>
                  </pic:spPr>
                </pic:pic>
              </a:graphicData>
            </a:graphic>
          </wp:anchor>
        </w:drawing>
      </w:r>
    </w:p>
    <w:p>
      <w:pPr>
        <w:spacing w:after="0" w:line="23" w:lineRule="exact"/>
        <w:rPr>
          <w:sz w:val="20"/>
          <w:szCs w:val="20"/>
          <w:color w:val="auto"/>
        </w:rPr>
      </w:pPr>
    </w:p>
    <w:p>
      <w:pPr>
        <w:ind w:left="300" w:right="80"/>
        <w:spacing w:after="0" w:line="248" w:lineRule="auto"/>
        <w:rPr>
          <w:sz w:val="20"/>
          <w:szCs w:val="20"/>
          <w:color w:val="auto"/>
        </w:rPr>
      </w:pPr>
      <w:r>
        <w:rPr>
          <w:rFonts w:ascii="Arial" w:cs="Arial" w:eastAsia="Arial" w:hAnsi="Arial"/>
          <w:sz w:val="13"/>
          <w:szCs w:val="13"/>
          <w:color w:val="auto"/>
        </w:rPr>
        <w:t>Evaluate executive compensation data and practices of our peer group companies as selected annually by the Compensation and Talent Committee in coordination with guidance from the 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47484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4748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111125" cy="11112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clrChange>
                        <a:clrFrom>
                          <a:srgbClr val="000000"/>
                        </a:clrFrom>
                        <a:clrTo>
                          <a:srgbClr val="000000">
                            <a:alpha val="0"/>
                          </a:srgbClr>
                        </a:clrTo>
                      </a:clrChange>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111125" cy="11112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clrChange>
                        <a:clrFrom>
                          <a:srgbClr val="FFFFFF"/>
                        </a:clrFrom>
                        <a:clrTo>
                          <a:srgbClr val="FFFFFF">
                            <a:alpha val="0"/>
                          </a:srgbClr>
                        </a:clrTo>
                      </a:clrChange>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p>
      <w:pPr>
        <w:spacing w:after="0" w:line="30" w:lineRule="exact"/>
        <w:rPr>
          <w:sz w:val="20"/>
          <w:szCs w:val="20"/>
          <w:color w:val="auto"/>
        </w:rPr>
      </w:pPr>
    </w:p>
    <w:p>
      <w:pPr>
        <w:ind w:left="300"/>
        <w:spacing w:after="0"/>
        <w:rPr>
          <w:sz w:val="20"/>
          <w:szCs w:val="20"/>
          <w:color w:val="auto"/>
        </w:rPr>
      </w:pPr>
      <w:r>
        <w:rPr>
          <w:rFonts w:ascii="Arial" w:cs="Arial" w:eastAsia="Arial" w:hAnsi="Arial"/>
          <w:sz w:val="13"/>
          <w:szCs w:val="13"/>
          <w:color w:val="auto"/>
        </w:rPr>
        <w:t>Maintain executive 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447484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4748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111125" cy="11176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clrChange>
                        <a:clrFrom>
                          <a:srgbClr val="000000"/>
                        </a:clrFrom>
                        <a:clrTo>
                          <a:srgbClr val="000000">
                            <a:alpha val="0"/>
                          </a:srgbClr>
                        </a:clrTo>
                      </a:clrChange>
                      <a:extLst>
                        <a:ext uri="{28A0092B-C50C-407E-A947-70E740481C1C}"/>
                      </a:extLst>
                    </a:blip>
                    <a:srcRect/>
                    <a:stretch>
                      <a:fillRect/>
                    </a:stretch>
                  </pic:blipFill>
                  <pic:spPr bwMode="auto">
                    <a:xfrm>
                      <a:off x="0" y="0"/>
                      <a:ext cx="111125" cy="1117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111125" cy="11176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clrChange>
                        <a:clrFrom>
                          <a:srgbClr val="FFFFFF"/>
                        </a:clrFrom>
                        <a:clrTo>
                          <a:srgbClr val="FFFFFF">
                            <a:alpha val="0"/>
                          </a:srgbClr>
                        </a:clrTo>
                      </a:clrChange>
                      <a:extLst>
                        <a:ext uri="{28A0092B-C50C-407E-A947-70E740481C1C}"/>
                      </a:extLst>
                    </a:blip>
                    <a:srcRect/>
                    <a:stretch>
                      <a:fillRect/>
                    </a:stretch>
                  </pic:blipFill>
                  <pic:spPr bwMode="auto">
                    <a:xfrm>
                      <a:off x="0" y="0"/>
                      <a:ext cx="111125" cy="111760"/>
                    </a:xfrm>
                    <a:prstGeom prst="rect">
                      <a:avLst/>
                    </a:prstGeom>
                    <a:noFill/>
                  </pic:spPr>
                </pic:pic>
              </a:graphicData>
            </a:graphic>
          </wp:anchor>
        </w:drawing>
      </w:r>
    </w:p>
    <w:p>
      <w:pPr>
        <w:spacing w:after="0" w:line="74" w:lineRule="exact"/>
        <w:rPr>
          <w:sz w:val="20"/>
          <w:szCs w:val="20"/>
          <w:color w:val="auto"/>
        </w:rPr>
      </w:pPr>
    </w:p>
    <w:p>
      <w:pPr>
        <w:ind w:left="300" w:right="60"/>
        <w:spacing w:after="0" w:line="248" w:lineRule="auto"/>
        <w:rPr>
          <w:sz w:val="20"/>
          <w:szCs w:val="20"/>
          <w:color w:val="auto"/>
        </w:rPr>
      </w:pPr>
      <w:r>
        <w:rPr>
          <w:rFonts w:ascii="Arial" w:cs="Arial" w:eastAsia="Arial" w:hAnsi="Arial"/>
          <w:sz w:val="13"/>
          <w:szCs w:val="13"/>
          <w:color w:val="auto"/>
        </w:rPr>
        <w:t>Maintain a compensation recovery (clawback) policy applicable in the event an officer’s misconduct leads to an accounting restatement and provide for forfeiture of incentives in the event of an officer’s termination of employment due to misconduct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447484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44748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111125" cy="11112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clrChange>
                        <a:clrFrom>
                          <a:srgbClr val="000000"/>
                        </a:clrFrom>
                        <a:clrTo>
                          <a:srgbClr val="000000">
                            <a:alpha val="0"/>
                          </a:srgbClr>
                        </a:clrTo>
                      </a:clrChange>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111125" cy="11112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clrChange>
                        <a:clrFrom>
                          <a:srgbClr val="FFFFFF"/>
                        </a:clrFrom>
                        <a:clrTo>
                          <a:srgbClr val="FFFFFF">
                            <a:alpha val="0"/>
                          </a:srgbClr>
                        </a:clrTo>
                      </a:clrChange>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p>
      <w:pPr>
        <w:spacing w:after="0" w:line="30" w:lineRule="exact"/>
        <w:rPr>
          <w:sz w:val="20"/>
          <w:szCs w:val="20"/>
          <w:color w:val="auto"/>
        </w:rPr>
      </w:pPr>
    </w:p>
    <w:p>
      <w:pPr>
        <w:ind w:left="300"/>
        <w:spacing w:after="0"/>
        <w:rPr>
          <w:sz w:val="20"/>
          <w:szCs w:val="20"/>
          <w:color w:val="auto"/>
        </w:rPr>
      </w:pPr>
      <w:r>
        <w:rPr>
          <w:rFonts w:ascii="Arial" w:cs="Arial" w:eastAsia="Arial" w:hAnsi="Arial"/>
          <w:sz w:val="13"/>
          <w:szCs w:val="13"/>
          <w:color w:val="auto"/>
        </w:rPr>
        <w:t>Provide limited executive 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11125" cy="11112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clrChange>
                        <a:clrFrom>
                          <a:srgbClr val="000000"/>
                        </a:clrFrom>
                        <a:clrTo>
                          <a:srgbClr val="000000">
                            <a:alpha val="0"/>
                          </a:srgbClr>
                        </a:clrTo>
                      </a:clrChange>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111125" cy="11112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clrChange>
                        <a:clrFrom>
                          <a:srgbClr val="FFFFFF"/>
                        </a:clrFrom>
                        <a:clrTo>
                          <a:srgbClr val="FFFFFF">
                            <a:alpha val="0"/>
                          </a:srgbClr>
                        </a:clrTo>
                      </a:clrChange>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p>
      <w:pPr>
        <w:spacing w:after="0" w:line="245" w:lineRule="exact"/>
        <w:rPr>
          <w:sz w:val="20"/>
          <w:szCs w:val="20"/>
          <w:color w:val="auto"/>
        </w:rPr>
      </w:pPr>
    </w:p>
    <w:p>
      <w:pPr>
        <w:ind w:left="440" w:hanging="432"/>
        <w:spacing w:after="0"/>
        <w:tabs>
          <w:tab w:leader="none" w:pos="440" w:val="left"/>
        </w:tabs>
        <w:numPr>
          <w:ilvl w:val="0"/>
          <w:numId w:val="155"/>
        </w:numPr>
        <w:rPr>
          <w:rFonts w:ascii="Arial" w:cs="Arial" w:eastAsia="Arial" w:hAnsi="Arial"/>
          <w:sz w:val="18"/>
          <w:szCs w:val="18"/>
          <w:b w:val="1"/>
          <w:bCs w:val="1"/>
          <w:color w:val="23628F"/>
        </w:rPr>
      </w:pPr>
      <w:r>
        <w:rPr>
          <w:rFonts w:ascii="Arial" w:cs="Arial" w:eastAsia="Arial" w:hAnsi="Arial"/>
          <w:sz w:val="13"/>
          <w:szCs w:val="13"/>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153275" cy="209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547EBF"/>
        </w:rPr>
        <w:t>WHAT WE DON’T DO</w:t>
      </w:r>
    </w:p>
    <w:p>
      <w:pPr>
        <w:spacing w:after="0" w:line="157" w:lineRule="exact"/>
        <w:rPr>
          <w:sz w:val="20"/>
          <w:szCs w:val="20"/>
          <w:color w:val="auto"/>
        </w:rPr>
      </w:pPr>
    </w:p>
    <w:p>
      <w:pPr>
        <w:ind w:left="320"/>
        <w:spacing w:after="0" w:line="258" w:lineRule="auto"/>
        <w:rPr>
          <w:sz w:val="20"/>
          <w:szCs w:val="20"/>
          <w:color w:val="auto"/>
        </w:rPr>
      </w:pPr>
      <w:r>
        <w:rPr>
          <w:rFonts w:ascii="Arial" w:cs="Arial" w:eastAsia="Arial" w:hAnsi="Arial"/>
          <w:sz w:val="13"/>
          <w:szCs w:val="13"/>
          <w:color w:val="auto"/>
        </w:rPr>
        <w:t>No tax gross-up payments in connection with severance or change in control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1905</wp:posOffset>
            </wp:positionV>
            <wp:extent cx="234886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34886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120015" cy="11112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clrChange>
                        <a:clrFrom>
                          <a:srgbClr val="000000"/>
                        </a:clrFrom>
                        <a:clrTo>
                          <a:srgbClr val="000000">
                            <a:alpha val="0"/>
                          </a:srgbClr>
                        </a:clrTo>
                      </a:clrChange>
                      <a:extLst>
                        <a:ext uri="{28A0092B-C50C-407E-A947-70E740481C1C}"/>
                      </a:extLst>
                    </a:blip>
                    <a:srcRect/>
                    <a:stretch>
                      <a:fillRect/>
                    </a:stretch>
                  </pic:blipFill>
                  <pic:spPr bwMode="auto">
                    <a:xfrm>
                      <a:off x="0" y="0"/>
                      <a:ext cx="120015"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120015" cy="11112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clrChange>
                        <a:clrFrom>
                          <a:srgbClr val="FFFFFF"/>
                        </a:clrFrom>
                        <a:clrTo>
                          <a:srgbClr val="FFFFFF">
                            <a:alpha val="0"/>
                          </a:srgbClr>
                        </a:clrTo>
                      </a:clrChange>
                      <a:extLst>
                        <a:ext uri="{28A0092B-C50C-407E-A947-70E740481C1C}"/>
                      </a:extLst>
                    </a:blip>
                    <a:srcRect/>
                    <a:stretch>
                      <a:fillRect/>
                    </a:stretch>
                  </pic:blipFill>
                  <pic:spPr bwMode="auto">
                    <a:xfrm>
                      <a:off x="0" y="0"/>
                      <a:ext cx="120015" cy="111125"/>
                    </a:xfrm>
                    <a:prstGeom prst="rect">
                      <a:avLst/>
                    </a:prstGeom>
                    <a:noFill/>
                  </pic:spPr>
                </pic:pic>
              </a:graphicData>
            </a:graphic>
          </wp:anchor>
        </w:drawing>
      </w:r>
    </w:p>
    <w:p>
      <w:pPr>
        <w:spacing w:after="0" w:line="23" w:lineRule="exact"/>
        <w:rPr>
          <w:sz w:val="20"/>
          <w:szCs w:val="20"/>
          <w:color w:val="auto"/>
        </w:rPr>
      </w:pPr>
    </w:p>
    <w:p>
      <w:pPr>
        <w:ind w:left="320"/>
        <w:spacing w:after="0" w:line="258" w:lineRule="auto"/>
        <w:rPr>
          <w:sz w:val="20"/>
          <w:szCs w:val="20"/>
          <w:color w:val="auto"/>
        </w:rPr>
      </w:pPr>
      <w:r>
        <w:rPr>
          <w:rFonts w:ascii="Arial" w:cs="Arial" w:eastAsia="Arial" w:hAnsi="Arial"/>
          <w:sz w:val="13"/>
          <w:szCs w:val="13"/>
          <w:color w:val="auto"/>
        </w:rPr>
        <w:t>No automatic vesting of equity awards upon a change in control (i.e., no single-trigger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1905</wp:posOffset>
            </wp:positionV>
            <wp:extent cx="234886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34886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120015" cy="11176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clrChange>
                        <a:clrFrom>
                          <a:srgbClr val="000000"/>
                        </a:clrFrom>
                        <a:clrTo>
                          <a:srgbClr val="000000">
                            <a:alpha val="0"/>
                          </a:srgbClr>
                        </a:clrTo>
                      </a:clrChange>
                      <a:extLst>
                        <a:ext uri="{28A0092B-C50C-407E-A947-70E740481C1C}"/>
                      </a:extLst>
                    </a:blip>
                    <a:srcRect/>
                    <a:stretch>
                      <a:fillRect/>
                    </a:stretch>
                  </pic:blipFill>
                  <pic:spPr bwMode="auto">
                    <a:xfrm>
                      <a:off x="0" y="0"/>
                      <a:ext cx="120015" cy="1117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120015" cy="11176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clrChange>
                        <a:clrFrom>
                          <a:srgbClr val="FFFFFF"/>
                        </a:clrFrom>
                        <a:clrTo>
                          <a:srgbClr val="FFFFFF">
                            <a:alpha val="0"/>
                          </a:srgbClr>
                        </a:clrTo>
                      </a:clrChange>
                      <a:extLst>
                        <a:ext uri="{28A0092B-C50C-407E-A947-70E740481C1C}"/>
                      </a:extLst>
                    </a:blip>
                    <a:srcRect/>
                    <a:stretch>
                      <a:fillRect/>
                    </a:stretch>
                  </pic:blipFill>
                  <pic:spPr bwMode="auto">
                    <a:xfrm>
                      <a:off x="0" y="0"/>
                      <a:ext cx="120015" cy="111760"/>
                    </a:xfrm>
                    <a:prstGeom prst="rect">
                      <a:avLst/>
                    </a:prstGeom>
                    <a:noFill/>
                  </pic:spPr>
                </pic:pic>
              </a:graphicData>
            </a:graphic>
          </wp:anchor>
        </w:drawing>
      </w:r>
    </w:p>
    <w:p>
      <w:pPr>
        <w:spacing w:after="0" w:line="23" w:lineRule="exact"/>
        <w:rPr>
          <w:sz w:val="20"/>
          <w:szCs w:val="20"/>
          <w:color w:val="auto"/>
        </w:rPr>
      </w:pPr>
    </w:p>
    <w:p>
      <w:pPr>
        <w:ind w:left="320" w:right="180"/>
        <w:spacing w:after="0" w:line="248" w:lineRule="auto"/>
        <w:rPr>
          <w:sz w:val="20"/>
          <w:szCs w:val="20"/>
          <w:color w:val="auto"/>
        </w:rPr>
      </w:pPr>
      <w:r>
        <w:rPr>
          <w:rFonts w:ascii="Arial" w:cs="Arial" w:eastAsia="Arial" w:hAnsi="Arial"/>
          <w:sz w:val="13"/>
          <w:szCs w:val="13"/>
          <w:color w:val="auto"/>
        </w:rPr>
        <w:t>No repricing of stock options without stockholder approval (other than equitable adjustments permitted under our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6350</wp:posOffset>
            </wp:positionV>
            <wp:extent cx="234886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3488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120015" cy="11176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clrChange>
                        <a:clrFrom>
                          <a:srgbClr val="000000"/>
                        </a:clrFrom>
                        <a:clrTo>
                          <a:srgbClr val="000000">
                            <a:alpha val="0"/>
                          </a:srgbClr>
                        </a:clrTo>
                      </a:clrChange>
                      <a:extLst>
                        <a:ext uri="{28A0092B-C50C-407E-A947-70E740481C1C}"/>
                      </a:extLst>
                    </a:blip>
                    <a:srcRect/>
                    <a:stretch>
                      <a:fillRect/>
                    </a:stretch>
                  </pic:blipFill>
                  <pic:spPr bwMode="auto">
                    <a:xfrm>
                      <a:off x="0" y="0"/>
                      <a:ext cx="120015" cy="1117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120015" cy="11176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clrChange>
                        <a:clrFrom>
                          <a:srgbClr val="FFFFFF"/>
                        </a:clrFrom>
                        <a:clrTo>
                          <a:srgbClr val="FFFFFF">
                            <a:alpha val="0"/>
                          </a:srgbClr>
                        </a:clrTo>
                      </a:clrChange>
                      <a:extLst>
                        <a:ext uri="{28A0092B-C50C-407E-A947-70E740481C1C}"/>
                      </a:extLst>
                    </a:blip>
                    <a:srcRect/>
                    <a:stretch>
                      <a:fillRect/>
                    </a:stretch>
                  </pic:blipFill>
                  <pic:spPr bwMode="auto">
                    <a:xfrm>
                      <a:off x="0" y="0"/>
                      <a:ext cx="120015" cy="111760"/>
                    </a:xfrm>
                    <a:prstGeom prst="rect">
                      <a:avLst/>
                    </a:prstGeom>
                    <a:noFill/>
                  </pic:spPr>
                </pic:pic>
              </a:graphicData>
            </a:graphic>
          </wp:anchor>
        </w:drawing>
      </w:r>
    </w:p>
    <w:p>
      <w:pPr>
        <w:spacing w:after="0" w:line="30" w:lineRule="exact"/>
        <w:rPr>
          <w:sz w:val="20"/>
          <w:szCs w:val="20"/>
          <w:color w:val="auto"/>
        </w:rPr>
      </w:pPr>
    </w:p>
    <w:p>
      <w:pPr>
        <w:ind w:left="320" w:right="520"/>
        <w:spacing w:after="0" w:line="258" w:lineRule="auto"/>
        <w:rPr>
          <w:sz w:val="20"/>
          <w:szCs w:val="20"/>
          <w:color w:val="auto"/>
        </w:rPr>
      </w:pPr>
      <w:r>
        <w:rPr>
          <w:rFonts w:ascii="Arial" w:cs="Arial" w:eastAsia="Arial" w:hAnsi="Arial"/>
          <w:sz w:val="13"/>
          <w:szCs w:val="13"/>
          <w:color w:val="auto"/>
        </w:rPr>
        <w:t>No hedging, pledging or short-sale or derivative transactions by executive officers 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1905</wp:posOffset>
            </wp:positionV>
            <wp:extent cx="234886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34886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120015" cy="11176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clrChange>
                        <a:clrFrom>
                          <a:srgbClr val="000000"/>
                        </a:clrFrom>
                        <a:clrTo>
                          <a:srgbClr val="000000">
                            <a:alpha val="0"/>
                          </a:srgbClr>
                        </a:clrTo>
                      </a:clrChange>
                      <a:extLst>
                        <a:ext uri="{28A0092B-C50C-407E-A947-70E740481C1C}"/>
                      </a:extLst>
                    </a:blip>
                    <a:srcRect/>
                    <a:stretch>
                      <a:fillRect/>
                    </a:stretch>
                  </pic:blipFill>
                  <pic:spPr bwMode="auto">
                    <a:xfrm>
                      <a:off x="0" y="0"/>
                      <a:ext cx="120015" cy="1117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120015" cy="11176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clrChange>
                        <a:clrFrom>
                          <a:srgbClr val="FFFFFF"/>
                        </a:clrFrom>
                        <a:clrTo>
                          <a:srgbClr val="FFFFFF">
                            <a:alpha val="0"/>
                          </a:srgbClr>
                        </a:clrTo>
                      </a:clrChange>
                      <a:extLst>
                        <a:ext uri="{28A0092B-C50C-407E-A947-70E740481C1C}"/>
                      </a:extLst>
                    </a:blip>
                    <a:srcRect/>
                    <a:stretch>
                      <a:fillRect/>
                    </a:stretch>
                  </pic:blipFill>
                  <pic:spPr bwMode="auto">
                    <a:xfrm>
                      <a:off x="0" y="0"/>
                      <a:ext cx="120015" cy="111760"/>
                    </a:xfrm>
                    <a:prstGeom prst="rect">
                      <a:avLst/>
                    </a:prstGeom>
                    <a:noFill/>
                  </pic:spPr>
                </pic:pic>
              </a:graphicData>
            </a:graphic>
          </wp:anchor>
        </w:drawing>
      </w:r>
    </w:p>
    <w:p>
      <w:pPr>
        <w:spacing w:after="0" w:line="23" w:lineRule="exact"/>
        <w:rPr>
          <w:sz w:val="20"/>
          <w:szCs w:val="20"/>
          <w:color w:val="auto"/>
        </w:rPr>
      </w:pPr>
    </w:p>
    <w:p>
      <w:pPr>
        <w:ind w:left="320" w:right="200"/>
        <w:spacing w:after="0" w:line="258" w:lineRule="auto"/>
        <w:rPr>
          <w:sz w:val="20"/>
          <w:szCs w:val="20"/>
          <w:color w:val="auto"/>
        </w:rPr>
      </w:pPr>
      <w:r>
        <w:rPr>
          <w:rFonts w:ascii="Arial" w:cs="Arial" w:eastAsia="Arial" w:hAnsi="Arial"/>
          <w:sz w:val="13"/>
          <w:szCs w:val="13"/>
          <w:color w:val="auto"/>
        </w:rPr>
        <w:t>No dividend equivalent payments on awards that are not vested until earned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120015" cy="11176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clrChange>
                        <a:clrFrom>
                          <a:srgbClr val="000000"/>
                        </a:clrFrom>
                        <a:clrTo>
                          <a:srgbClr val="000000">
                            <a:alpha val="0"/>
                          </a:srgbClr>
                        </a:clrTo>
                      </a:clrChange>
                      <a:extLst>
                        <a:ext uri="{28A0092B-C50C-407E-A947-70E740481C1C}"/>
                      </a:extLst>
                    </a:blip>
                    <a:srcRect/>
                    <a:stretch>
                      <a:fillRect/>
                    </a:stretch>
                  </pic:blipFill>
                  <pic:spPr bwMode="auto">
                    <a:xfrm>
                      <a:off x="0" y="0"/>
                      <a:ext cx="120015" cy="1117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120015" cy="11176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clrChange>
                        <a:clrFrom>
                          <a:srgbClr val="FFFFFF"/>
                        </a:clrFrom>
                        <a:clrTo>
                          <a:srgbClr val="FFFFFF">
                            <a:alpha val="0"/>
                          </a:srgbClr>
                        </a:clrTo>
                      </a:clrChange>
                      <a:extLst>
                        <a:ext uri="{28A0092B-C50C-407E-A947-70E740481C1C}"/>
                      </a:extLst>
                    </a:blip>
                    <a:srcRect/>
                    <a:stretch>
                      <a:fillRect/>
                    </a:stretch>
                  </pic:blipFill>
                  <pic:spPr bwMode="auto">
                    <a:xfrm>
                      <a:off x="0" y="0"/>
                      <a:ext cx="120015" cy="111760"/>
                    </a:xfrm>
                    <a:prstGeom prst="rect">
                      <a:avLst/>
                    </a:prstGeom>
                    <a:noFill/>
                  </pic:spPr>
                </pic:pic>
              </a:graphicData>
            </a:graphic>
          </wp:anchor>
        </w:drawing>
      </w:r>
    </w:p>
    <w:p>
      <w:pPr>
        <w:sectPr>
          <w:pgSz w:w="11900" w:h="16838" w:orient="portrait"/>
          <w:cols w:equalWidth="0" w:num="2">
            <w:col w:w="6960" w:space="600"/>
            <w:col w:w="3660"/>
          </w:cols>
          <w:pgMar w:left="320" w:top="121" w:right="35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right"/>
        <w:spacing w:after="0"/>
        <w:rPr>
          <w:sz w:val="20"/>
          <w:szCs w:val="20"/>
          <w:color w:val="auto"/>
        </w:rPr>
      </w:pPr>
      <w:r>
        <w:rPr>
          <w:rFonts w:ascii="Arial" w:cs="Arial" w:eastAsia="Arial" w:hAnsi="Arial"/>
          <w:sz w:val="13"/>
          <w:szCs w:val="13"/>
          <w:color w:val="23628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234440" cy="6858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34440" cy="68580"/>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FISCAL 2020 PHILOSOPHY, OBJECTIVES AND PROCESS</w:t>
      </w:r>
    </w:p>
    <w:p>
      <w:pPr>
        <w:spacing w:after="0" w:line="252" w:lineRule="exact"/>
        <w:rPr>
          <w:sz w:val="20"/>
          <w:szCs w:val="20"/>
          <w:color w:val="auto"/>
        </w:rPr>
      </w:pPr>
    </w:p>
    <w:p>
      <w:pPr>
        <w:ind w:right="320"/>
        <w:spacing w:after="0" w:line="248" w:lineRule="auto"/>
        <w:rPr>
          <w:sz w:val="20"/>
          <w:szCs w:val="20"/>
          <w:color w:val="auto"/>
        </w:rPr>
      </w:pPr>
      <w:r>
        <w:rPr>
          <w:rFonts w:ascii="Arial" w:cs="Arial" w:eastAsia="Arial" w:hAnsi="Arial"/>
          <w:sz w:val="13"/>
          <w:szCs w:val="13"/>
          <w:color w:val="auto"/>
        </w:rPr>
        <w:t>Our compensation philosophy for executive officers is based on the belief that the interests of our executives should be closely aligned with our long-term performance and sustainable value creation for our stockholders. To support this philosophy, a large portion of each executive officer’s compensation is placed “at risk” and linked to the accomplishment of specific financial and operational performance goals that we expect will lead to increased long-term value creation for our stockholders.</w:t>
      </w:r>
    </w:p>
    <w:p>
      <w:pPr>
        <w:sectPr>
          <w:pgSz w:w="11900" w:h="16838" w:orient="portrait"/>
          <w:cols w:equalWidth="0" w:num="1">
            <w:col w:w="11240"/>
          </w:cols>
          <w:pgMar w:left="320" w:top="121" w:right="339" w:bottom="1440" w:gutter="0" w:footer="0" w:header="0"/>
        </w:sectPr>
      </w:pPr>
    </w:p>
    <w:p>
      <w:pPr>
        <w:spacing w:after="0" w:line="198" w:lineRule="exact"/>
        <w:rPr>
          <w:sz w:val="20"/>
          <w:szCs w:val="20"/>
          <w:color w:val="auto"/>
        </w:rPr>
      </w:pPr>
    </w:p>
    <w:p>
      <w:pPr>
        <w:spacing w:after="0"/>
        <w:rPr>
          <w:sz w:val="20"/>
          <w:szCs w:val="20"/>
          <w:color w:val="auto"/>
        </w:rPr>
      </w:pPr>
      <w:r>
        <w:rPr>
          <w:rFonts w:ascii="Arial" w:cs="Arial" w:eastAsia="Arial" w:hAnsi="Arial"/>
          <w:sz w:val="13"/>
          <w:szCs w:val="13"/>
          <w:color w:val="auto"/>
        </w:rPr>
        <w:t>Our executive compensation program and policies are designed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137160</wp:posOffset>
            </wp:positionV>
            <wp:extent cx="8890" cy="8915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890" cy="891540"/>
                    </a:xfrm>
                    <a:prstGeom prst="rect">
                      <a:avLst/>
                    </a:prstGeom>
                    <a:noFill/>
                  </pic:spPr>
                </pic:pic>
              </a:graphicData>
            </a:graphic>
          </wp:anchor>
        </w:drawing>
      </w:r>
    </w:p>
    <w:p>
      <w:pPr>
        <w:spacing w:after="0" w:line="206" w:lineRule="exact"/>
        <w:rPr>
          <w:sz w:val="20"/>
          <w:szCs w:val="20"/>
          <w:color w:val="auto"/>
        </w:rPr>
      </w:pPr>
    </w:p>
    <w:p>
      <w:pPr>
        <w:ind w:left="520"/>
        <w:spacing w:after="0"/>
        <w:rPr>
          <w:sz w:val="20"/>
          <w:szCs w:val="20"/>
          <w:color w:val="auto"/>
        </w:rPr>
      </w:pPr>
      <w:r>
        <w:rPr>
          <w:rFonts w:ascii="Arial" w:cs="Arial" w:eastAsia="Arial" w:hAnsi="Arial"/>
          <w:sz w:val="13"/>
          <w:szCs w:val="13"/>
          <w:b w:val="1"/>
          <w:bCs w:val="1"/>
          <w:color w:val="23628F"/>
        </w:rPr>
        <w:t xml:space="preserve">Attract, retain, develop and motivate </w:t>
      </w:r>
      <w:r>
        <w:rPr>
          <w:rFonts w:ascii="Arial" w:cs="Arial" w:eastAsia="Arial" w:hAnsi="Arial"/>
          <w:sz w:val="13"/>
          <w:szCs w:val="13"/>
          <w:color w:val="000000"/>
        </w:rPr>
        <w:t>highly qualified and talented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3480435" cy="26606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480435" cy="266065"/>
                    </a:xfrm>
                    <a:prstGeom prst="rect">
                      <a:avLst/>
                    </a:prstGeom>
                    <a:noFill/>
                  </pic:spPr>
                </pic:pic>
              </a:graphicData>
            </a:graphic>
          </wp:anchor>
        </w:drawing>
      </w:r>
    </w:p>
    <w:p>
      <w:pPr>
        <w:spacing w:after="0" w:line="276" w:lineRule="exact"/>
        <w:rPr>
          <w:sz w:val="20"/>
          <w:szCs w:val="20"/>
          <w:color w:val="auto"/>
        </w:rPr>
      </w:pPr>
    </w:p>
    <w:p>
      <w:pPr>
        <w:ind w:left="520" w:right="180"/>
        <w:spacing w:after="0" w:line="284" w:lineRule="auto"/>
        <w:rPr>
          <w:sz w:val="20"/>
          <w:szCs w:val="20"/>
          <w:color w:val="auto"/>
        </w:rPr>
      </w:pPr>
      <w:r>
        <w:rPr>
          <w:rFonts w:ascii="Arial" w:cs="Arial" w:eastAsia="Arial" w:hAnsi="Arial"/>
          <w:sz w:val="13"/>
          <w:szCs w:val="13"/>
          <w:b w:val="1"/>
          <w:bCs w:val="1"/>
          <w:color w:val="23628F"/>
        </w:rPr>
        <w:t xml:space="preserve">Help ensure compensation levels </w:t>
      </w:r>
      <w:r>
        <w:rPr>
          <w:rFonts w:ascii="Arial" w:cs="Arial" w:eastAsia="Arial" w:hAnsi="Arial"/>
          <w:sz w:val="13"/>
          <w:szCs w:val="13"/>
          <w:color w:val="000000"/>
        </w:rPr>
        <w:t>are both externally competitive and internally</w:t>
      </w:r>
      <w:r>
        <w:rPr>
          <w:rFonts w:ascii="Arial" w:cs="Arial" w:eastAsia="Arial" w:hAnsi="Arial"/>
          <w:sz w:val="13"/>
          <w:szCs w:val="13"/>
          <w:b w:val="1"/>
          <w:bCs w:val="1"/>
          <w:color w:val="23628F"/>
        </w:rPr>
        <w:t xml:space="preserve"> </w:t>
      </w:r>
      <w:r>
        <w:rPr>
          <w:rFonts w:ascii="Arial" w:cs="Arial" w:eastAsia="Arial" w:hAnsi="Arial"/>
          <w:sz w:val="13"/>
          <w:szCs w:val="13"/>
          <w:color w:val="000000"/>
        </w:rPr>
        <w:t>equitable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3480435" cy="26606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480435" cy="266065"/>
                    </a:xfrm>
                    <a:prstGeom prst="rect">
                      <a:avLst/>
                    </a:prstGeom>
                    <a:noFill/>
                  </pic:spPr>
                </pic:pic>
              </a:graphicData>
            </a:graphic>
          </wp:anchor>
        </w:drawing>
      </w:r>
    </w:p>
    <w:p>
      <w:pPr>
        <w:spacing w:after="0" w:line="72" w:lineRule="exact"/>
        <w:rPr>
          <w:sz w:val="20"/>
          <w:szCs w:val="20"/>
          <w:color w:val="auto"/>
        </w:rPr>
      </w:pPr>
    </w:p>
    <w:p>
      <w:pPr>
        <w:ind w:left="520" w:right="240"/>
        <w:spacing w:after="0" w:line="261" w:lineRule="auto"/>
        <w:rPr>
          <w:sz w:val="20"/>
          <w:szCs w:val="20"/>
          <w:color w:val="auto"/>
        </w:rPr>
      </w:pPr>
      <w:r>
        <w:rPr>
          <w:rFonts w:ascii="Arial" w:cs="Arial" w:eastAsia="Arial" w:hAnsi="Arial"/>
          <w:sz w:val="13"/>
          <w:szCs w:val="13"/>
          <w:b w:val="1"/>
          <w:bCs w:val="1"/>
          <w:color w:val="23628F"/>
        </w:rPr>
        <w:t xml:space="preserve">Encourage accountability </w:t>
      </w:r>
      <w:r>
        <w:rPr>
          <w:rFonts w:ascii="Arial" w:cs="Arial" w:eastAsia="Arial" w:hAnsi="Arial"/>
          <w:sz w:val="13"/>
          <w:szCs w:val="13"/>
          <w:color w:val="000000"/>
        </w:rPr>
        <w:t>by giving the Compensation and Talent Committee</w:t>
      </w:r>
      <w:r>
        <w:rPr>
          <w:rFonts w:ascii="Arial" w:cs="Arial" w:eastAsia="Arial" w:hAnsi="Arial"/>
          <w:sz w:val="13"/>
          <w:szCs w:val="13"/>
          <w:b w:val="1"/>
          <w:bCs w:val="1"/>
          <w:color w:val="23628F"/>
        </w:rPr>
        <w:t xml:space="preserve"> </w:t>
      </w:r>
      <w:r>
        <w:rPr>
          <w:rFonts w:ascii="Arial" w:cs="Arial" w:eastAsia="Arial" w:hAnsi="Arial"/>
          <w:sz w:val="13"/>
          <w:szCs w:val="13"/>
          <w:color w:val="000000"/>
        </w:rPr>
        <w:t>flexibility to take each executive officer’s individual contribution and performance into account in determining salaries and incentive award opportunity/payout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348043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4804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-298450</wp:posOffset>
            </wp:positionV>
            <wp:extent cx="213995" cy="24003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13995" cy="2400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spacing w:after="0" w:line="261" w:lineRule="auto"/>
        <w:rPr>
          <w:sz w:val="20"/>
          <w:szCs w:val="20"/>
          <w:color w:val="auto"/>
        </w:rPr>
      </w:pPr>
      <w:r>
        <w:rPr>
          <w:rFonts w:ascii="Arial" w:cs="Arial" w:eastAsia="Arial" w:hAnsi="Arial"/>
          <w:sz w:val="13"/>
          <w:szCs w:val="13"/>
          <w:b w:val="1"/>
          <w:bCs w:val="1"/>
          <w:color w:val="23628F"/>
        </w:rPr>
        <w:t xml:space="preserve">Motivate executives </w:t>
      </w:r>
      <w:r>
        <w:rPr>
          <w:rFonts w:ascii="Arial" w:cs="Arial" w:eastAsia="Arial" w:hAnsi="Arial"/>
          <w:sz w:val="13"/>
          <w:szCs w:val="13"/>
          <w:color w:val="000000"/>
        </w:rPr>
        <w:t>to improve our overall performance and profitability, as well</w:t>
      </w:r>
      <w:r>
        <w:rPr>
          <w:rFonts w:ascii="Arial" w:cs="Arial" w:eastAsia="Arial" w:hAnsi="Arial"/>
          <w:sz w:val="13"/>
          <w:szCs w:val="13"/>
          <w:b w:val="1"/>
          <w:bCs w:val="1"/>
          <w:color w:val="23628F"/>
        </w:rPr>
        <w:t xml:space="preserve"> </w:t>
      </w:r>
      <w:r>
        <w:rPr>
          <w:rFonts w:ascii="Arial" w:cs="Arial" w:eastAsia="Arial" w:hAnsi="Arial"/>
          <w:sz w:val="13"/>
          <w:szCs w:val="13"/>
          <w:color w:val="000000"/>
        </w:rPr>
        <w:t>as for the business group for which each executive officer is responsible, and reward executives when specific measurable results have been achieved/exceeded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240665</wp:posOffset>
            </wp:positionV>
            <wp:extent cx="349758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497580" cy="8890"/>
                    </a:xfrm>
                    <a:prstGeom prst="rect">
                      <a:avLst/>
                    </a:prstGeom>
                    <a:noFill/>
                  </pic:spPr>
                </pic:pic>
              </a:graphicData>
            </a:graphic>
          </wp:anchor>
        </w:drawing>
        <w:drawing>
          <wp:anchor simplePos="0" relativeHeight="251657728" behindDoc="1" locked="0" layoutInCell="0" allowOverlap="1">
            <wp:simplePos x="0" y="0"/>
            <wp:positionH relativeFrom="column">
              <wp:posOffset>-334645</wp:posOffset>
            </wp:positionH>
            <wp:positionV relativeFrom="paragraph">
              <wp:posOffset>-298450</wp:posOffset>
            </wp:positionV>
            <wp:extent cx="240030" cy="23114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40030" cy="231140"/>
                    </a:xfrm>
                    <a:prstGeom prst="rect">
                      <a:avLst/>
                    </a:prstGeom>
                    <a:noFill/>
                  </pic:spPr>
                </pic:pic>
              </a:graphicData>
            </a:graphic>
          </wp:anchor>
        </w:drawing>
      </w:r>
    </w:p>
    <w:p>
      <w:pPr>
        <w:spacing w:after="0" w:line="383" w:lineRule="exact"/>
        <w:rPr>
          <w:sz w:val="20"/>
          <w:szCs w:val="20"/>
          <w:color w:val="auto"/>
        </w:rPr>
      </w:pPr>
    </w:p>
    <w:p>
      <w:pPr>
        <w:ind w:right="180"/>
        <w:spacing w:after="0" w:line="261" w:lineRule="auto"/>
        <w:rPr>
          <w:sz w:val="20"/>
          <w:szCs w:val="20"/>
          <w:color w:val="auto"/>
        </w:rPr>
      </w:pPr>
      <w:r>
        <w:rPr>
          <w:rFonts w:ascii="Arial" w:cs="Arial" w:eastAsia="Arial" w:hAnsi="Arial"/>
          <w:sz w:val="13"/>
          <w:szCs w:val="13"/>
          <w:b w:val="1"/>
          <w:bCs w:val="1"/>
          <w:color w:val="23628F"/>
        </w:rPr>
        <w:t xml:space="preserve">Tie incentive awards </w:t>
      </w:r>
      <w:r>
        <w:rPr>
          <w:rFonts w:ascii="Arial" w:cs="Arial" w:eastAsia="Arial" w:hAnsi="Arial"/>
          <w:sz w:val="13"/>
          <w:szCs w:val="13"/>
          <w:color w:val="000000"/>
        </w:rPr>
        <w:t>to financial and market metrics that drive our performance</w:t>
      </w:r>
      <w:r>
        <w:rPr>
          <w:rFonts w:ascii="Arial" w:cs="Arial" w:eastAsia="Arial" w:hAnsi="Arial"/>
          <w:sz w:val="13"/>
          <w:szCs w:val="13"/>
          <w:b w:val="1"/>
          <w:bCs w:val="1"/>
          <w:color w:val="23628F"/>
        </w:rPr>
        <w:t xml:space="preserve"> </w:t>
      </w:r>
      <w:r>
        <w:rPr>
          <w:rFonts w:ascii="Arial" w:cs="Arial" w:eastAsia="Arial" w:hAnsi="Arial"/>
          <w:sz w:val="13"/>
          <w:szCs w:val="13"/>
          <w:color w:val="000000"/>
        </w:rPr>
        <w:t>over the long term to further reinforce the linkage between the interests of our stockholders and our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635</wp:posOffset>
            </wp:positionV>
            <wp:extent cx="3497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497580" cy="8255"/>
                    </a:xfrm>
                    <a:prstGeom prst="rect">
                      <a:avLst/>
                    </a:prstGeom>
                    <a:noFill/>
                  </pic:spPr>
                </pic:pic>
              </a:graphicData>
            </a:graphic>
          </wp:anchor>
        </w:drawing>
        <w:drawing>
          <wp:anchor simplePos="0" relativeHeight="251657728" behindDoc="1" locked="0" layoutInCell="0" allowOverlap="1">
            <wp:simplePos x="0" y="0"/>
            <wp:positionH relativeFrom="column">
              <wp:posOffset>-334645</wp:posOffset>
            </wp:positionH>
            <wp:positionV relativeFrom="paragraph">
              <wp:posOffset>-298450</wp:posOffset>
            </wp:positionV>
            <wp:extent cx="205740" cy="2311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05740" cy="231140"/>
                    </a:xfrm>
                    <a:prstGeom prst="rect">
                      <a:avLst/>
                    </a:prstGeom>
                    <a:noFill/>
                  </pic:spPr>
                </pic:pic>
              </a:graphicData>
            </a:graphic>
          </wp:anchor>
        </w:drawing>
      </w:r>
    </w:p>
    <w:p>
      <w:pPr>
        <w:spacing w:after="0" w:line="197" w:lineRule="exact"/>
        <w:rPr>
          <w:sz w:val="20"/>
          <w:szCs w:val="20"/>
          <w:color w:val="auto"/>
        </w:rPr>
      </w:pPr>
    </w:p>
    <w:p>
      <w:pPr>
        <w:sectPr>
          <w:pgSz w:w="11900" w:h="16838" w:orient="portrait"/>
          <w:cols w:equalWidth="0" w:num="2">
            <w:col w:w="5540" w:space="720"/>
            <w:col w:w="4980"/>
          </w:cols>
          <w:pgMar w:left="320" w:top="121" w:right="339" w:bottom="1440" w:gutter="0" w:footer="0" w:header="0"/>
          <w:type w:val="continuous"/>
        </w:sectPr>
      </w:pPr>
    </w:p>
    <w:p>
      <w:pPr>
        <w:spacing w:after="0"/>
        <w:rPr>
          <w:sz w:val="20"/>
          <w:szCs w:val="20"/>
          <w:color w:val="auto"/>
        </w:rPr>
      </w:pPr>
      <w:r>
        <w:rPr>
          <w:rFonts w:ascii="Arial" w:cs="Arial" w:eastAsia="Arial" w:hAnsi="Arial"/>
          <w:sz w:val="24"/>
          <w:szCs w:val="24"/>
          <w:b w:val="1"/>
          <w:bCs w:val="1"/>
          <w:color w:val="D49312"/>
        </w:rPr>
        <w:t>Elements of Our Fiscal 2020 Executive Compensation Program</w:t>
      </w:r>
    </w:p>
    <w:p>
      <w:pPr>
        <w:spacing w:after="0" w:line="257" w:lineRule="exact"/>
        <w:rPr>
          <w:sz w:val="20"/>
          <w:szCs w:val="20"/>
          <w:color w:val="auto"/>
        </w:rPr>
      </w:pPr>
    </w:p>
    <w:p>
      <w:pPr>
        <w:ind w:right="340"/>
        <w:spacing w:after="0" w:line="258" w:lineRule="auto"/>
        <w:rPr>
          <w:sz w:val="20"/>
          <w:szCs w:val="20"/>
          <w:color w:val="auto"/>
        </w:rPr>
      </w:pPr>
      <w:r>
        <w:rPr>
          <w:rFonts w:ascii="Arial" w:cs="Arial" w:eastAsia="Arial" w:hAnsi="Arial"/>
          <w:sz w:val="13"/>
          <w:szCs w:val="13"/>
          <w:color w:val="auto"/>
        </w:rPr>
        <w:t>We believe our emphasis on variable compensation is aligned with our focus on operating excellence, allowing our executive compensation levels to flex up or down depending on our performance. We use several methods to examine the various elements of our executive compensation program to determine the competitive market position for each pay element.</w:t>
      </w:r>
    </w:p>
    <w:p>
      <w:pPr>
        <w:spacing w:after="0" w:line="192" w:lineRule="exact"/>
        <w:rPr>
          <w:sz w:val="20"/>
          <w:szCs w:val="20"/>
          <w:color w:val="auto"/>
        </w:rPr>
      </w:pPr>
    </w:p>
    <w:p>
      <w:pPr>
        <w:ind w:right="280"/>
        <w:spacing w:after="0" w:line="245" w:lineRule="auto"/>
        <w:rPr>
          <w:sz w:val="20"/>
          <w:szCs w:val="20"/>
          <w:color w:val="auto"/>
        </w:rPr>
      </w:pPr>
      <w:r>
        <w:rPr>
          <w:rFonts w:ascii="Arial" w:cs="Arial" w:eastAsia="Arial" w:hAnsi="Arial"/>
          <w:sz w:val="13"/>
          <w:szCs w:val="13"/>
          <w:color w:val="auto"/>
        </w:rPr>
        <w:t>In general, the Compensation and Talent Committee considers peer group and survey compensation data when establishing base salary, STI and LTI opportunities. Our actual pay positioning varies by executive, considering peer group and survey market data, competitive pay levels, each executive’s role, past performance, scope of responsibility and expected contributions. Each executive’s compensation level, as well as the appropriate mix and types of compensation, reflects the Compensation and Talent Committee’s business judgment in consideration of the market data, our executive compensation philosophy, guidance from the independent compensation consultant and the other factors noted above.</w:t>
      </w:r>
    </w:p>
    <w:p>
      <w:pPr>
        <w:spacing w:after="0" w:line="200" w:lineRule="exact"/>
        <w:rPr>
          <w:sz w:val="20"/>
          <w:szCs w:val="20"/>
          <w:color w:val="auto"/>
        </w:rPr>
      </w:pPr>
    </w:p>
    <w:p>
      <w:pPr>
        <w:jc w:val="both"/>
        <w:ind w:right="300"/>
        <w:spacing w:after="0" w:line="248" w:lineRule="auto"/>
        <w:rPr>
          <w:sz w:val="20"/>
          <w:szCs w:val="20"/>
          <w:color w:val="auto"/>
        </w:rPr>
      </w:pPr>
      <w:r>
        <w:rPr>
          <w:rFonts w:ascii="Arial" w:cs="Arial" w:eastAsia="Arial" w:hAnsi="Arial"/>
          <w:sz w:val="13"/>
          <w:szCs w:val="13"/>
          <w:color w:val="auto"/>
        </w:rPr>
        <w:t>We believe that our approach is necessary to provide the Compensation and Talent Committee with the flexibility it needs to attract, retain, develop and motivate a diverse and talented executive team. In addition to the elements reflected below, we also provide executives with relatively limited perquisites and certain other indirect benefits, as described in the section below entitled “Other Program Features and Policies.”</w:t>
      </w:r>
    </w:p>
    <w:p>
      <w:pPr>
        <w:spacing w:after="0" w:line="18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23628F"/>
        </w:rPr>
        <w:t>2020 PROXY STATEMENT</w:t>
      </w:r>
      <w:r>
        <w:rPr>
          <w:sz w:val="20"/>
          <w:szCs w:val="20"/>
          <w:color w:val="auto"/>
        </w:rPr>
        <w:tab/>
      </w:r>
      <w:r>
        <w:rPr>
          <w:rFonts w:ascii="Arial" w:cs="Arial" w:eastAsia="Arial" w:hAnsi="Arial"/>
          <w:sz w:val="16"/>
          <w:szCs w:val="16"/>
          <w:b w:val="1"/>
          <w:bCs w:val="1"/>
          <w:color w:val="23628F"/>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153275" cy="215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23628F"/>
        </w:rPr>
        <w:t>COMPENSATION DISCUSSION AND ANALYSIS</w:t>
      </w:r>
    </w:p>
    <w:p>
      <w:pPr>
        <w:spacing w:after="0" w:line="216" w:lineRule="exact"/>
        <w:rPr>
          <w:sz w:val="20"/>
          <w:szCs w:val="20"/>
          <w:color w:val="auto"/>
        </w:rPr>
      </w:pPr>
    </w:p>
    <w:tbl>
      <w:tblPr>
        <w:tblLayout w:type="fixed"/>
        <w:tblInd w:w="600" w:type="dxa"/>
        <w:tblCellMar>
          <w:top w:w="0" w:type="dxa"/>
          <w:left w:w="0" w:type="dxa"/>
          <w:bottom w:w="0" w:type="dxa"/>
          <w:right w:w="0" w:type="dxa"/>
        </w:tblCellMar>
      </w:tblPr>
      <w:tr>
        <w:trPr>
          <w:trHeight w:val="199"/>
        </w:trPr>
        <w:tc>
          <w:tcPr>
            <w:tcW w:w="220" w:type="dxa"/>
            <w:vAlign w:val="bottom"/>
          </w:tcPr>
          <w:p>
            <w:pPr>
              <w:spacing w:after="0"/>
              <w:rPr>
                <w:sz w:val="17"/>
                <w:szCs w:val="17"/>
                <w:color w:val="auto"/>
              </w:rPr>
            </w:pPr>
          </w:p>
        </w:tc>
        <w:tc>
          <w:tcPr>
            <w:tcW w:w="1500" w:type="dxa"/>
            <w:vAlign w:val="bottom"/>
            <w:tcBorders>
              <w:right w:val="single" w:sz="8" w:color="auto"/>
            </w:tcBorders>
          </w:tcPr>
          <w:p>
            <w:pPr>
              <w:spacing w:after="0"/>
              <w:rPr>
                <w:sz w:val="20"/>
                <w:szCs w:val="20"/>
                <w:color w:val="auto"/>
              </w:rPr>
            </w:pPr>
            <w:r>
              <w:rPr>
                <w:rFonts w:ascii="Arial" w:cs="Arial" w:eastAsia="Arial" w:hAnsi="Arial"/>
                <w:sz w:val="13"/>
                <w:szCs w:val="13"/>
                <w:b w:val="1"/>
                <w:bCs w:val="1"/>
                <w:color w:val="auto"/>
              </w:rPr>
              <w:t>Element of Fiscal</w:t>
            </w:r>
          </w:p>
        </w:tc>
        <w:tc>
          <w:tcPr>
            <w:tcW w:w="2980" w:type="dxa"/>
            <w:vAlign w:val="bottom"/>
            <w:tcBorders>
              <w:right w:val="single" w:sz="8" w:color="auto"/>
            </w:tcBorders>
          </w:tcPr>
          <w:p>
            <w:pPr>
              <w:spacing w:after="0"/>
              <w:rPr>
                <w:sz w:val="17"/>
                <w:szCs w:val="17"/>
                <w:color w:val="auto"/>
              </w:rPr>
            </w:pPr>
          </w:p>
        </w:tc>
        <w:tc>
          <w:tcPr>
            <w:tcW w:w="2980" w:type="dxa"/>
            <w:vAlign w:val="bottom"/>
            <w:tcBorders>
              <w:right w:val="single" w:sz="8" w:color="auto"/>
            </w:tcBorders>
          </w:tcPr>
          <w:p>
            <w:pPr>
              <w:spacing w:after="0"/>
              <w:rPr>
                <w:sz w:val="17"/>
                <w:szCs w:val="17"/>
                <w:color w:val="auto"/>
              </w:rPr>
            </w:pPr>
          </w:p>
        </w:tc>
        <w:tc>
          <w:tcPr>
            <w:tcW w:w="2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1500" w:type="dxa"/>
            <w:vAlign w:val="bottom"/>
            <w:tcBorders>
              <w:right w:val="single" w:sz="8" w:color="auto"/>
            </w:tcBorders>
          </w:tcPr>
          <w:p>
            <w:pPr>
              <w:spacing w:after="0"/>
              <w:rPr>
                <w:sz w:val="20"/>
                <w:szCs w:val="20"/>
                <w:color w:val="auto"/>
              </w:rPr>
            </w:pPr>
            <w:r>
              <w:rPr>
                <w:rFonts w:ascii="Arial" w:cs="Arial" w:eastAsia="Arial" w:hAnsi="Arial"/>
                <w:sz w:val="13"/>
                <w:szCs w:val="13"/>
                <w:b w:val="1"/>
                <w:bCs w:val="1"/>
                <w:color w:val="auto"/>
              </w:rPr>
              <w:t>2020 Target Total</w:t>
            </w:r>
          </w:p>
        </w:tc>
        <w:tc>
          <w:tcPr>
            <w:tcW w:w="2980" w:type="dxa"/>
            <w:vAlign w:val="bottom"/>
            <w:tcBorders>
              <w:right w:val="single" w:sz="8" w:color="auto"/>
            </w:tcBorders>
          </w:tcPr>
          <w:p>
            <w:pPr>
              <w:spacing w:after="0"/>
              <w:rPr>
                <w:sz w:val="12"/>
                <w:szCs w:val="12"/>
                <w:color w:val="auto"/>
              </w:rPr>
            </w:pPr>
          </w:p>
        </w:tc>
        <w:tc>
          <w:tcPr>
            <w:tcW w:w="2980" w:type="dxa"/>
            <w:vAlign w:val="bottom"/>
            <w:tcBorders>
              <w:right w:val="single" w:sz="8" w:color="auto"/>
            </w:tcBorders>
          </w:tcPr>
          <w:p>
            <w:pPr>
              <w:spacing w:after="0"/>
              <w:rPr>
                <w:sz w:val="12"/>
                <w:szCs w:val="12"/>
                <w:color w:val="auto"/>
              </w:rPr>
            </w:pPr>
          </w:p>
        </w:tc>
        <w:tc>
          <w:tcPr>
            <w:tcW w:w="2960" w:type="dxa"/>
            <w:vAlign w:val="bottom"/>
          </w:tcPr>
          <w:p>
            <w:pPr>
              <w:ind w:left="60"/>
              <w:spacing w:after="0"/>
              <w:rPr>
                <w:sz w:val="20"/>
                <w:szCs w:val="20"/>
                <w:color w:val="auto"/>
              </w:rPr>
            </w:pPr>
            <w:r>
              <w:rPr>
                <w:rFonts w:ascii="Arial" w:cs="Arial" w:eastAsia="Arial" w:hAnsi="Arial"/>
                <w:sz w:val="13"/>
                <w:szCs w:val="13"/>
                <w:b w:val="1"/>
                <w:bCs w:val="1"/>
                <w:color w:val="auto"/>
              </w:rPr>
              <w:t>Performance</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22"/>
                <w:szCs w:val="22"/>
                <w:b w:val="1"/>
                <w:bCs w:val="1"/>
                <w:color w:val="23628F"/>
              </w:rPr>
              <w:t>○</w:t>
            </w:r>
          </w:p>
        </w:tc>
        <w:tc>
          <w:tcPr>
            <w:tcW w:w="1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Direct Compensation*</w:t>
            </w:r>
          </w:p>
        </w:tc>
        <w:tc>
          <w:tcPr>
            <w:tcW w:w="29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rPr>
              <w:t>Characteristics</w:t>
            </w:r>
          </w:p>
        </w:tc>
        <w:tc>
          <w:tcPr>
            <w:tcW w:w="29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rPr>
              <w:t>Purpose</w:t>
            </w:r>
          </w:p>
        </w:tc>
        <w:tc>
          <w:tcPr>
            <w:tcW w:w="29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Link/Key Benchmark</w:t>
            </w:r>
          </w:p>
        </w:tc>
        <w:tc>
          <w:tcPr>
            <w:tcW w:w="0" w:type="dxa"/>
            <w:vAlign w:val="bottom"/>
          </w:tcPr>
          <w:p>
            <w:pPr>
              <w:spacing w:after="0"/>
              <w:rPr>
                <w:sz w:val="1"/>
                <w:szCs w:val="1"/>
                <w:color w:val="auto"/>
              </w:rPr>
            </w:pPr>
          </w:p>
        </w:tc>
      </w:tr>
      <w:tr>
        <w:trPr>
          <w:trHeight w:val="283"/>
        </w:trPr>
        <w:tc>
          <w:tcPr>
            <w:tcW w:w="220" w:type="dxa"/>
            <w:vAlign w:val="bottom"/>
            <w:vMerge w:val="continue"/>
          </w:tcPr>
          <w:p>
            <w:pPr>
              <w:spacing w:after="0"/>
              <w:rPr>
                <w:sz w:val="24"/>
                <w:szCs w:val="24"/>
                <w:color w:val="auto"/>
              </w:rPr>
            </w:pPr>
          </w:p>
        </w:tc>
        <w:tc>
          <w:tcPr>
            <w:tcW w:w="1500" w:type="dxa"/>
            <w:vAlign w:val="bottom"/>
          </w:tcPr>
          <w:p>
            <w:pPr>
              <w:spacing w:after="0"/>
              <w:rPr>
                <w:sz w:val="20"/>
                <w:szCs w:val="20"/>
                <w:color w:val="auto"/>
              </w:rPr>
            </w:pPr>
            <w:r>
              <w:rPr>
                <w:rFonts w:ascii="Arial" w:cs="Arial" w:eastAsia="Arial" w:hAnsi="Arial"/>
                <w:sz w:val="13"/>
                <w:szCs w:val="13"/>
                <w:b w:val="1"/>
                <w:bCs w:val="1"/>
                <w:color w:val="23628F"/>
              </w:rPr>
              <w:t>Base Salary</w:t>
            </w:r>
          </w:p>
        </w:tc>
        <w:tc>
          <w:tcPr>
            <w:tcW w:w="2980" w:type="dxa"/>
            <w:vAlign w:val="bottom"/>
          </w:tcPr>
          <w:p>
            <w:pPr>
              <w:ind w:left="80"/>
              <w:spacing w:after="0"/>
              <w:rPr>
                <w:sz w:val="20"/>
                <w:szCs w:val="20"/>
                <w:color w:val="auto"/>
              </w:rPr>
            </w:pPr>
            <w:r>
              <w:rPr>
                <w:rFonts w:ascii="Arial" w:cs="Arial" w:eastAsia="Arial" w:hAnsi="Arial"/>
                <w:sz w:val="13"/>
                <w:szCs w:val="13"/>
                <w:color w:val="23628F"/>
              </w:rPr>
              <w:t xml:space="preserve">●   </w:t>
            </w:r>
            <w:r>
              <w:rPr>
                <w:rFonts w:ascii="Arial" w:cs="Arial" w:eastAsia="Arial" w:hAnsi="Arial"/>
                <w:sz w:val="13"/>
                <w:szCs w:val="13"/>
                <w:color w:val="000000"/>
              </w:rPr>
              <w:t>Fixed compensation</w:t>
            </w:r>
          </w:p>
        </w:tc>
        <w:tc>
          <w:tcPr>
            <w:tcW w:w="2980" w:type="dxa"/>
            <w:vAlign w:val="bottom"/>
          </w:tcPr>
          <w:p>
            <w:pPr>
              <w:ind w:left="60"/>
              <w:spacing w:after="0"/>
              <w:rPr>
                <w:sz w:val="20"/>
                <w:szCs w:val="20"/>
                <w:color w:val="auto"/>
              </w:rPr>
            </w:pPr>
            <w:r>
              <w:rPr>
                <w:rFonts w:ascii="Arial" w:cs="Arial" w:eastAsia="Arial" w:hAnsi="Arial"/>
                <w:sz w:val="13"/>
                <w:szCs w:val="13"/>
                <w:color w:val="23628F"/>
              </w:rPr>
              <w:t xml:space="preserve">●   </w:t>
            </w:r>
            <w:r>
              <w:rPr>
                <w:rFonts w:ascii="Arial" w:cs="Arial" w:eastAsia="Arial" w:hAnsi="Arial"/>
                <w:sz w:val="13"/>
                <w:szCs w:val="13"/>
                <w:color w:val="000000"/>
              </w:rPr>
              <w:t>Attracts and retains highly qualified</w:t>
            </w:r>
          </w:p>
        </w:tc>
        <w:tc>
          <w:tcPr>
            <w:tcW w:w="2960" w:type="dxa"/>
            <w:vAlign w:val="bottom"/>
          </w:tcPr>
          <w:p>
            <w:pPr>
              <w:ind w:left="60"/>
              <w:spacing w:after="0"/>
              <w:rPr>
                <w:sz w:val="20"/>
                <w:szCs w:val="20"/>
                <w:color w:val="auto"/>
              </w:rPr>
            </w:pPr>
            <w:r>
              <w:rPr>
                <w:rFonts w:ascii="Arial" w:cs="Arial" w:eastAsia="Arial" w:hAnsi="Arial"/>
                <w:sz w:val="13"/>
                <w:szCs w:val="13"/>
                <w:color w:val="23628F"/>
              </w:rPr>
              <w:t xml:space="preserve">●   </w:t>
            </w:r>
            <w:r>
              <w:rPr>
                <w:rFonts w:ascii="Arial" w:cs="Arial" w:eastAsia="Arial" w:hAnsi="Arial"/>
                <w:sz w:val="13"/>
                <w:szCs w:val="13"/>
                <w:color w:val="000000"/>
              </w:rPr>
              <w:t>Competitive with market and industry</w:t>
            </w: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980" w:type="dxa"/>
            <w:vAlign w:val="bottom"/>
          </w:tcPr>
          <w:p>
            <w:pPr>
              <w:ind w:left="280"/>
              <w:spacing w:after="0" w:line="149" w:lineRule="exact"/>
              <w:rPr>
                <w:sz w:val="20"/>
                <w:szCs w:val="20"/>
                <w:color w:val="auto"/>
              </w:rPr>
            </w:pPr>
            <w:r>
              <w:rPr>
                <w:rFonts w:ascii="Arial" w:cs="Arial" w:eastAsia="Arial" w:hAnsi="Arial"/>
                <w:sz w:val="13"/>
                <w:szCs w:val="13"/>
                <w:color w:val="auto"/>
              </w:rPr>
              <w:t>executive talent</w:t>
            </w:r>
          </w:p>
        </w:tc>
        <w:tc>
          <w:tcPr>
            <w:tcW w:w="2960" w:type="dxa"/>
            <w:vAlign w:val="bottom"/>
          </w:tcPr>
          <w:p>
            <w:pPr>
              <w:ind w:left="280"/>
              <w:spacing w:after="0" w:line="149" w:lineRule="exact"/>
              <w:rPr>
                <w:sz w:val="20"/>
                <w:szCs w:val="20"/>
                <w:color w:val="auto"/>
              </w:rPr>
            </w:pPr>
            <w:r>
              <w:rPr>
                <w:rFonts w:ascii="Arial" w:cs="Arial" w:eastAsia="Arial" w:hAnsi="Arial"/>
                <w:sz w:val="13"/>
                <w:szCs w:val="13"/>
                <w:color w:val="auto"/>
              </w:rPr>
              <w:t>practices</w:t>
            </w: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980" w:type="dxa"/>
            <w:vAlign w:val="bottom"/>
          </w:tcPr>
          <w:p>
            <w:pPr>
              <w:ind w:left="60"/>
              <w:spacing w:after="0"/>
              <w:rPr>
                <w:sz w:val="20"/>
                <w:szCs w:val="20"/>
                <w:color w:val="auto"/>
              </w:rPr>
            </w:pPr>
            <w:r>
              <w:rPr>
                <w:rFonts w:ascii="Arial" w:cs="Arial" w:eastAsia="Arial" w:hAnsi="Arial"/>
                <w:sz w:val="13"/>
                <w:szCs w:val="13"/>
                <w:color w:val="23628F"/>
              </w:rPr>
              <w:t xml:space="preserve">●   </w:t>
            </w:r>
            <w:r>
              <w:rPr>
                <w:rFonts w:ascii="Arial" w:cs="Arial" w:eastAsia="Arial" w:hAnsi="Arial"/>
                <w:sz w:val="13"/>
                <w:szCs w:val="13"/>
                <w:color w:val="000000"/>
              </w:rPr>
              <w:t>Maintains stable management team</w:t>
            </w:r>
          </w:p>
        </w:tc>
        <w:tc>
          <w:tcPr>
            <w:tcW w:w="2960" w:type="dxa"/>
            <w:vAlign w:val="bottom"/>
          </w:tcPr>
          <w:p>
            <w:pPr>
              <w:ind w:left="60"/>
              <w:spacing w:after="0"/>
              <w:rPr>
                <w:sz w:val="20"/>
                <w:szCs w:val="20"/>
                <w:color w:val="auto"/>
              </w:rPr>
            </w:pPr>
            <w:r>
              <w:rPr>
                <w:rFonts w:ascii="Arial" w:cs="Arial" w:eastAsia="Arial" w:hAnsi="Arial"/>
                <w:sz w:val="13"/>
                <w:szCs w:val="13"/>
                <w:color w:val="23628F"/>
              </w:rPr>
              <w:t xml:space="preserve">●   </w:t>
            </w:r>
            <w:r>
              <w:rPr>
                <w:rFonts w:ascii="Arial" w:cs="Arial" w:eastAsia="Arial" w:hAnsi="Arial"/>
                <w:sz w:val="13"/>
                <w:szCs w:val="13"/>
                <w:color w:val="000000"/>
              </w:rPr>
              <w:t>Adjusted for experience, responsibility,</w:t>
            </w: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980" w:type="dxa"/>
            <w:vAlign w:val="bottom"/>
          </w:tcPr>
          <w:p>
            <w:pPr>
              <w:ind w:left="60"/>
              <w:spacing w:after="0"/>
              <w:rPr>
                <w:sz w:val="20"/>
                <w:szCs w:val="20"/>
                <w:color w:val="auto"/>
              </w:rPr>
            </w:pPr>
            <w:r>
              <w:rPr>
                <w:rFonts w:ascii="Arial" w:cs="Arial" w:eastAsia="Arial" w:hAnsi="Arial"/>
                <w:sz w:val="13"/>
                <w:szCs w:val="13"/>
                <w:color w:val="23628F"/>
              </w:rPr>
              <w:t xml:space="preserve">●   </w:t>
            </w:r>
            <w:r>
              <w:rPr>
                <w:rFonts w:ascii="Arial" w:cs="Arial" w:eastAsia="Arial" w:hAnsi="Arial"/>
                <w:sz w:val="13"/>
                <w:szCs w:val="13"/>
                <w:color w:val="000000"/>
              </w:rPr>
              <w:t>Compensates executives for sustained</w:t>
            </w:r>
          </w:p>
        </w:tc>
        <w:tc>
          <w:tcPr>
            <w:tcW w:w="2960" w:type="dxa"/>
            <w:vAlign w:val="bottom"/>
          </w:tcPr>
          <w:p>
            <w:pPr>
              <w:ind w:left="280"/>
              <w:spacing w:after="0"/>
              <w:rPr>
                <w:sz w:val="20"/>
                <w:szCs w:val="20"/>
                <w:color w:val="auto"/>
              </w:rPr>
            </w:pPr>
            <w:r>
              <w:rPr>
                <w:rFonts w:ascii="Arial" w:cs="Arial" w:eastAsia="Arial" w:hAnsi="Arial"/>
                <w:sz w:val="13"/>
                <w:szCs w:val="13"/>
                <w:color w:val="auto"/>
              </w:rPr>
              <w:t>potential and performance</w:t>
            </w: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980" w:type="dxa"/>
            <w:vAlign w:val="bottom"/>
          </w:tcPr>
          <w:p>
            <w:pPr>
              <w:ind w:left="280"/>
              <w:spacing w:after="0"/>
              <w:rPr>
                <w:sz w:val="20"/>
                <w:szCs w:val="20"/>
                <w:color w:val="auto"/>
              </w:rPr>
            </w:pPr>
            <w:r>
              <w:rPr>
                <w:rFonts w:ascii="Arial" w:cs="Arial" w:eastAsia="Arial" w:hAnsi="Arial"/>
                <w:sz w:val="13"/>
                <w:szCs w:val="13"/>
                <w:color w:val="auto"/>
              </w:rPr>
              <w:t>individual performance</w:t>
            </w:r>
          </w:p>
        </w:tc>
        <w:tc>
          <w:tcPr>
            <w:tcW w:w="2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5"/>
        </w:trPr>
        <w:tc>
          <w:tcPr>
            <w:tcW w:w="1720" w:type="dxa"/>
            <w:vAlign w:val="bottom"/>
            <w:gridSpan w:val="2"/>
          </w:tcPr>
          <w:p>
            <w:pPr>
              <w:spacing w:after="0"/>
              <w:rPr>
                <w:sz w:val="20"/>
                <w:szCs w:val="20"/>
                <w:color w:val="auto"/>
              </w:rPr>
            </w:pPr>
            <w:r>
              <w:rPr>
                <w:rFonts w:ascii="Arial" w:cs="Arial" w:eastAsia="Arial" w:hAnsi="Arial"/>
                <w:sz w:val="22"/>
                <w:szCs w:val="22"/>
                <w:b w:val="1"/>
                <w:bCs w:val="1"/>
                <w:color w:val="23628F"/>
              </w:rPr>
              <w:t>○</w:t>
            </w:r>
          </w:p>
        </w:tc>
        <w:tc>
          <w:tcPr>
            <w:tcW w:w="29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20" w:type="dxa"/>
            <w:vAlign w:val="bottom"/>
            <w:vMerge w:val="restart"/>
          </w:tcPr>
          <w:p>
            <w:pPr>
              <w:spacing w:after="0" w:line="189" w:lineRule="exact"/>
              <w:rPr>
                <w:sz w:val="20"/>
                <w:szCs w:val="20"/>
                <w:color w:val="auto"/>
              </w:rPr>
            </w:pPr>
            <w:r>
              <w:rPr>
                <w:rFonts w:ascii="Arial" w:cs="Arial" w:eastAsia="Arial" w:hAnsi="Arial"/>
                <w:sz w:val="21"/>
                <w:szCs w:val="21"/>
                <w:b w:val="1"/>
                <w:bCs w:val="1"/>
                <w:color w:val="FBAF16"/>
              </w:rPr>
              <w:t>○</w:t>
            </w:r>
          </w:p>
        </w:tc>
        <w:tc>
          <w:tcPr>
            <w:tcW w:w="1500" w:type="dxa"/>
            <w:vAlign w:val="bottom"/>
            <w:tcBorders>
              <w:bottom w:val="single" w:sz="8" w:color="939598"/>
            </w:tcBorders>
          </w:tcPr>
          <w:p>
            <w:pPr>
              <w:spacing w:after="0"/>
              <w:rPr>
                <w:sz w:val="9"/>
                <w:szCs w:val="9"/>
                <w:color w:val="auto"/>
              </w:rPr>
            </w:pPr>
          </w:p>
        </w:tc>
        <w:tc>
          <w:tcPr>
            <w:tcW w:w="2980" w:type="dxa"/>
            <w:vAlign w:val="bottom"/>
            <w:tcBorders>
              <w:bottom w:val="single" w:sz="8" w:color="939598"/>
            </w:tcBorders>
          </w:tcPr>
          <w:p>
            <w:pPr>
              <w:spacing w:after="0"/>
              <w:rPr>
                <w:sz w:val="9"/>
                <w:szCs w:val="9"/>
                <w:color w:val="auto"/>
              </w:rPr>
            </w:pPr>
          </w:p>
        </w:tc>
        <w:tc>
          <w:tcPr>
            <w:tcW w:w="2980" w:type="dxa"/>
            <w:vAlign w:val="bottom"/>
            <w:tcBorders>
              <w:bottom w:val="single" w:sz="8" w:color="939598"/>
            </w:tcBorders>
          </w:tcPr>
          <w:p>
            <w:pPr>
              <w:spacing w:after="0"/>
              <w:rPr>
                <w:sz w:val="9"/>
                <w:szCs w:val="9"/>
                <w:color w:val="auto"/>
              </w:rPr>
            </w:pPr>
          </w:p>
        </w:tc>
        <w:tc>
          <w:tcPr>
            <w:tcW w:w="2960" w:type="dxa"/>
            <w:vAlign w:val="bottom"/>
            <w:tcBorders>
              <w:bottom w:val="single" w:sz="8" w:color="939598"/>
            </w:tcBorders>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220" w:type="dxa"/>
            <w:vAlign w:val="bottom"/>
            <w:vMerge w:val="continue"/>
          </w:tcPr>
          <w:p>
            <w:pPr>
              <w:spacing w:after="0"/>
              <w:rPr>
                <w:sz w:val="5"/>
                <w:szCs w:val="5"/>
                <w:color w:val="auto"/>
              </w:rPr>
            </w:pPr>
          </w:p>
        </w:tc>
        <w:tc>
          <w:tcPr>
            <w:tcW w:w="1500" w:type="dxa"/>
            <w:vAlign w:val="bottom"/>
          </w:tcPr>
          <w:p>
            <w:pPr>
              <w:spacing w:after="0"/>
              <w:rPr>
                <w:sz w:val="5"/>
                <w:szCs w:val="5"/>
                <w:color w:val="auto"/>
              </w:rPr>
            </w:pPr>
          </w:p>
        </w:tc>
        <w:tc>
          <w:tcPr>
            <w:tcW w:w="2980" w:type="dxa"/>
            <w:vAlign w:val="bottom"/>
          </w:tcPr>
          <w:p>
            <w:pPr>
              <w:spacing w:after="0"/>
              <w:rPr>
                <w:sz w:val="5"/>
                <w:szCs w:val="5"/>
                <w:color w:val="auto"/>
              </w:rPr>
            </w:pPr>
          </w:p>
        </w:tc>
        <w:tc>
          <w:tcPr>
            <w:tcW w:w="2980" w:type="dxa"/>
            <w:vAlign w:val="bottom"/>
          </w:tcPr>
          <w:p>
            <w:pPr>
              <w:spacing w:after="0"/>
              <w:rPr>
                <w:sz w:val="5"/>
                <w:szCs w:val="5"/>
                <w:color w:val="auto"/>
              </w:rPr>
            </w:pPr>
          </w:p>
        </w:tc>
        <w:tc>
          <w:tcPr>
            <w:tcW w:w="29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-821690</wp:posOffset>
            </wp:positionV>
            <wp:extent cx="942975" cy="342011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942975" cy="34201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ind w:left="820"/>
        <w:spacing w:after="0"/>
        <w:tabs>
          <w:tab w:leader="none" w:pos="2380" w:val="left"/>
          <w:tab w:leader="none" w:pos="2580" w:val="left"/>
        </w:tabs>
        <w:rPr>
          <w:sz w:val="20"/>
          <w:szCs w:val="20"/>
          <w:color w:val="auto"/>
        </w:rPr>
      </w:pPr>
      <w:r>
        <w:rPr>
          <w:rFonts w:ascii="Arial" w:cs="Arial" w:eastAsia="Arial" w:hAnsi="Arial"/>
          <w:sz w:val="13"/>
          <w:szCs w:val="13"/>
          <w:b w:val="1"/>
          <w:bCs w:val="1"/>
          <w:color w:val="A2ACB3"/>
        </w:rPr>
        <w:t>STI</w:t>
      </w:r>
      <w:r>
        <w:rPr>
          <w:sz w:val="20"/>
          <w:szCs w:val="20"/>
          <w:color w:val="auto"/>
        </w:rPr>
        <w:tab/>
      </w:r>
      <w:r>
        <w:rPr>
          <w:rFonts w:ascii="Arial" w:cs="Arial" w:eastAsia="Arial" w:hAnsi="Arial"/>
          <w:sz w:val="13"/>
          <w:szCs w:val="13"/>
          <w:color w:val="A2ACB3"/>
        </w:rPr>
        <w:t>●</w:t>
      </w:r>
      <w:r>
        <w:rPr>
          <w:sz w:val="20"/>
          <w:szCs w:val="20"/>
          <w:color w:val="auto"/>
        </w:rPr>
        <w:tab/>
      </w:r>
      <w:r>
        <w:rPr>
          <w:rFonts w:ascii="Arial" w:cs="Arial" w:eastAsia="Arial" w:hAnsi="Arial"/>
          <w:sz w:val="13"/>
          <w:szCs w:val="13"/>
          <w:color w:val="auto"/>
        </w:rPr>
        <w:t>Annual performance-based cash incentive</w:t>
      </w:r>
    </w:p>
    <w:p>
      <w:pPr>
        <w:ind w:left="2600"/>
        <w:spacing w:after="0"/>
        <w:rPr>
          <w:sz w:val="20"/>
          <w:szCs w:val="20"/>
          <w:color w:val="auto"/>
        </w:rPr>
      </w:pPr>
      <w:r>
        <w:rPr>
          <w:rFonts w:ascii="Arial" w:cs="Arial" w:eastAsia="Arial" w:hAnsi="Arial"/>
          <w:sz w:val="13"/>
          <w:szCs w:val="13"/>
          <w:color w:val="auto"/>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-76835</wp:posOffset>
            </wp:positionV>
            <wp:extent cx="419735" cy="42862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clrChange>
                        <a:clrFrom>
                          <a:srgbClr val="000000"/>
                        </a:clrFrom>
                        <a:clrTo>
                          <a:srgbClr val="000000">
                            <a:alpha val="0"/>
                          </a:srgbClr>
                        </a:clrTo>
                      </a:clrChange>
                      <a:extLst>
                        <a:ext uri="{28A0092B-C50C-407E-A947-70E740481C1C}"/>
                      </a:extLst>
                    </a:blip>
                    <a:srcRect/>
                    <a:stretch>
                      <a:fillRect/>
                    </a:stretch>
                  </pic:blipFill>
                  <pic:spPr bwMode="auto">
                    <a:xfrm>
                      <a:off x="0" y="0"/>
                      <a:ext cx="419735" cy="42862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-76835</wp:posOffset>
            </wp:positionV>
            <wp:extent cx="419735" cy="42862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clrChange>
                        <a:clrFrom>
                          <a:srgbClr val="FFFFFF"/>
                        </a:clrFrom>
                        <a:clrTo>
                          <a:srgbClr val="FFFFFF">
                            <a:alpha val="0"/>
                          </a:srgbClr>
                        </a:clrTo>
                      </a:clrChange>
                      <a:extLst>
                        <a:ext uri="{28A0092B-C50C-407E-A947-70E740481C1C}"/>
                      </a:extLst>
                    </a:blip>
                    <a:srcRect/>
                    <a:stretch>
                      <a:fillRect/>
                    </a:stretch>
                  </pic:blipFill>
                  <pic:spPr bwMode="auto">
                    <a:xfrm>
                      <a:off x="0" y="0"/>
                      <a:ext cx="419735" cy="4286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556895</wp:posOffset>
            </wp:positionV>
            <wp:extent cx="205740" cy="185166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05740" cy="18516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556895</wp:posOffset>
            </wp:positionV>
            <wp:extent cx="205740" cy="185166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05740" cy="18516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200" w:val="left"/>
          <w:tab w:leader="none" w:pos="2960" w:val="left"/>
          <w:tab w:leader="none" w:pos="3180" w:val="left"/>
        </w:tabs>
        <w:rPr>
          <w:sz w:val="20"/>
          <w:szCs w:val="20"/>
          <w:color w:val="auto"/>
        </w:rPr>
      </w:pPr>
      <w:r>
        <w:rPr>
          <w:rFonts w:ascii="Arial" w:cs="Arial" w:eastAsia="Arial" w:hAnsi="Arial"/>
          <w:sz w:val="13"/>
          <w:szCs w:val="13"/>
          <w:color w:val="A2ACB3"/>
        </w:rPr>
        <w:t>●</w:t>
      </w:r>
      <w:r>
        <w:rPr>
          <w:sz w:val="20"/>
          <w:szCs w:val="20"/>
          <w:color w:val="auto"/>
        </w:rPr>
        <w:tab/>
      </w:r>
      <w:r>
        <w:rPr>
          <w:rFonts w:ascii="Arial" w:cs="Arial" w:eastAsia="Arial" w:hAnsi="Arial"/>
          <w:sz w:val="13"/>
          <w:szCs w:val="13"/>
          <w:color w:val="auto"/>
        </w:rPr>
        <w:t>Motivates executives to drive overall</w:t>
      </w:r>
      <w:r>
        <w:rPr>
          <w:sz w:val="20"/>
          <w:szCs w:val="20"/>
          <w:color w:val="auto"/>
        </w:rPr>
        <w:tab/>
      </w:r>
      <w:r>
        <w:rPr>
          <w:rFonts w:ascii="Arial" w:cs="Arial" w:eastAsia="Arial" w:hAnsi="Arial"/>
          <w:sz w:val="13"/>
          <w:szCs w:val="13"/>
          <w:color w:val="A2ACB3"/>
        </w:rPr>
        <w:t>●</w:t>
      </w:r>
      <w:r>
        <w:rPr>
          <w:sz w:val="20"/>
          <w:szCs w:val="20"/>
          <w:color w:val="auto"/>
        </w:rPr>
        <w:tab/>
      </w:r>
      <w:r>
        <w:rPr>
          <w:rFonts w:ascii="Arial" w:cs="Arial" w:eastAsia="Arial" w:hAnsi="Arial"/>
          <w:sz w:val="13"/>
          <w:szCs w:val="13"/>
          <w:color w:val="auto"/>
        </w:rPr>
        <w:t>Non-GAAP net income</w:t>
      </w:r>
    </w:p>
    <w:p>
      <w:pPr>
        <w:ind w:left="220"/>
        <w:spacing w:after="0"/>
        <w:rPr>
          <w:sz w:val="20"/>
          <w:szCs w:val="20"/>
          <w:color w:val="auto"/>
        </w:rPr>
      </w:pPr>
      <w:r>
        <w:rPr>
          <w:rFonts w:ascii="Arial" w:cs="Arial" w:eastAsia="Arial" w:hAnsi="Arial"/>
          <w:sz w:val="13"/>
          <w:szCs w:val="13"/>
          <w:color w:val="auto"/>
        </w:rPr>
        <w:t>performance</w:t>
      </w:r>
    </w:p>
    <w:p>
      <w:pPr>
        <w:ind w:left="220" w:right="3100" w:hanging="217"/>
        <w:spacing w:after="0" w:line="238" w:lineRule="auto"/>
        <w:tabs>
          <w:tab w:leader="none" w:pos="215" w:val="left"/>
        </w:tabs>
        <w:numPr>
          <w:ilvl w:val="0"/>
          <w:numId w:val="156"/>
        </w:numPr>
        <w:rPr>
          <w:rFonts w:ascii="Arial" w:cs="Arial" w:eastAsia="Arial" w:hAnsi="Arial"/>
          <w:sz w:val="13"/>
          <w:szCs w:val="13"/>
          <w:color w:val="A2ACB3"/>
        </w:rPr>
      </w:pPr>
      <w:r>
        <w:rPr>
          <w:rFonts w:ascii="Arial" w:cs="Arial" w:eastAsia="Arial" w:hAnsi="Arial"/>
          <w:sz w:val="13"/>
          <w:szCs w:val="13"/>
          <w:color w:val="auto"/>
        </w:rPr>
        <w:t>Encourages accountability by rewarding achievement of specific performance goals</w:t>
      </w:r>
    </w:p>
    <w:p>
      <w:pPr>
        <w:ind w:left="220" w:right="3280" w:hanging="217"/>
        <w:spacing w:after="0" w:line="258" w:lineRule="auto"/>
        <w:tabs>
          <w:tab w:leader="none" w:pos="215" w:val="left"/>
        </w:tabs>
        <w:numPr>
          <w:ilvl w:val="0"/>
          <w:numId w:val="156"/>
        </w:numPr>
        <w:rPr>
          <w:rFonts w:ascii="Arial" w:cs="Arial" w:eastAsia="Arial" w:hAnsi="Arial"/>
          <w:sz w:val="13"/>
          <w:szCs w:val="13"/>
          <w:color w:val="A2ACB3"/>
        </w:rPr>
      </w:pPr>
      <w:r>
        <w:rPr>
          <w:rFonts w:ascii="Arial" w:cs="Arial" w:eastAsia="Arial" w:hAnsi="Arial"/>
          <w:sz w:val="13"/>
          <w:szCs w:val="13"/>
          <w:color w:val="auto"/>
        </w:rPr>
        <w:t>Provides focus on achievement of near-term financial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156210</wp:posOffset>
            </wp:positionV>
            <wp:extent cx="661797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61797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20" w:space="240"/>
            <w:col w:w="5880"/>
          </w:cols>
          <w:pgMar w:left="320" w:top="121" w:right="339" w:bottom="1440" w:gutter="0" w:footer="0" w:header="0"/>
          <w:type w:val="continuous"/>
        </w:sectPr>
      </w:pPr>
    </w:p>
    <w:p>
      <w:pPr>
        <w:spacing w:after="0" w:line="111" w:lineRule="exact"/>
        <w:rPr>
          <w:sz w:val="20"/>
          <w:szCs w:val="20"/>
          <w:color w:val="auto"/>
        </w:rPr>
      </w:pPr>
    </w:p>
    <w:p>
      <w:pPr>
        <w:ind w:left="820"/>
        <w:spacing w:after="0"/>
        <w:rPr>
          <w:sz w:val="20"/>
          <w:szCs w:val="20"/>
          <w:color w:val="auto"/>
        </w:rPr>
      </w:pPr>
      <w:r>
        <w:rPr>
          <w:rFonts w:ascii="Arial" w:cs="Arial" w:eastAsia="Arial" w:hAnsi="Arial"/>
          <w:sz w:val="13"/>
          <w:szCs w:val="13"/>
          <w:b w:val="1"/>
          <w:bCs w:val="1"/>
          <w:color w:val="61C4AF"/>
        </w:rPr>
        <w:t>LTI</w:t>
      </w:r>
    </w:p>
    <w:p>
      <w:pPr>
        <w:sectPr>
          <w:pgSz w:w="11900" w:h="16838" w:orient="portrait"/>
          <w:cols w:equalWidth="0" w:num="1">
            <w:col w:w="11240"/>
          </w:cols>
          <w:pgMar w:left="320" w:top="121" w:right="339" w:bottom="1440" w:gutter="0" w:footer="0" w:header="0"/>
          <w:type w:val="continuous"/>
        </w:sectPr>
      </w:pPr>
    </w:p>
    <w:p>
      <w:pPr>
        <w:spacing w:after="0" w:line="134" w:lineRule="exact"/>
        <w:rPr>
          <w:sz w:val="20"/>
          <w:szCs w:val="20"/>
          <w:color w:val="auto"/>
        </w:rPr>
      </w:pPr>
    </w:p>
    <w:tbl>
      <w:tblPr>
        <w:tblLayout w:type="fixed"/>
        <w:tblInd w:w="1080" w:type="dxa"/>
        <w:tblCellMar>
          <w:top w:w="0" w:type="dxa"/>
          <w:left w:w="0" w:type="dxa"/>
          <w:bottom w:w="0" w:type="dxa"/>
          <w:right w:w="0" w:type="dxa"/>
        </w:tblCellMar>
      </w:tblPr>
      <w:tr>
        <w:trPr>
          <w:trHeight w:val="164"/>
        </w:trPr>
        <w:tc>
          <w:tcPr>
            <w:tcW w:w="840" w:type="dxa"/>
            <w:vAlign w:val="bottom"/>
          </w:tcPr>
          <w:p>
            <w:pPr>
              <w:spacing w:after="0"/>
              <w:rPr>
                <w:sz w:val="20"/>
                <w:szCs w:val="20"/>
                <w:color w:val="auto"/>
              </w:rPr>
            </w:pPr>
            <w:r>
              <w:rPr>
                <w:rFonts w:ascii="Arial" w:cs="Arial" w:eastAsia="Arial" w:hAnsi="Arial"/>
                <w:sz w:val="13"/>
                <w:szCs w:val="13"/>
                <w:b w:val="1"/>
                <w:bCs w:val="1"/>
                <w:color w:val="61C4AF"/>
              </w:rPr>
              <w:t>PSUs</w:t>
            </w:r>
          </w:p>
        </w:tc>
        <w:tc>
          <w:tcPr>
            <w:tcW w:w="620" w:type="dxa"/>
            <w:vAlign w:val="bottom"/>
          </w:tcPr>
          <w:p>
            <w:pPr>
              <w:ind w:left="480"/>
              <w:spacing w:after="0"/>
              <w:rPr>
                <w:sz w:val="20"/>
                <w:szCs w:val="20"/>
                <w:color w:val="auto"/>
              </w:rPr>
            </w:pPr>
            <w:r>
              <w:rPr>
                <w:rFonts w:ascii="Arial" w:cs="Arial" w:eastAsia="Arial" w:hAnsi="Arial"/>
                <w:sz w:val="13"/>
                <w:szCs w:val="13"/>
                <w:color w:val="61C4AF"/>
              </w:rPr>
              <w:t>●</w:t>
            </w:r>
          </w:p>
        </w:tc>
        <w:tc>
          <w:tcPr>
            <w:tcW w:w="2700" w:type="dxa"/>
            <w:vAlign w:val="bottom"/>
          </w:tcPr>
          <w:p>
            <w:pPr>
              <w:ind w:left="60"/>
              <w:spacing w:after="0"/>
              <w:rPr>
                <w:sz w:val="20"/>
                <w:szCs w:val="20"/>
                <w:color w:val="auto"/>
              </w:rPr>
            </w:pPr>
            <w:r>
              <w:rPr>
                <w:rFonts w:ascii="Arial" w:cs="Arial" w:eastAsia="Arial" w:hAnsi="Arial"/>
                <w:sz w:val="13"/>
                <w:szCs w:val="13"/>
                <w:color w:val="auto"/>
              </w:rPr>
              <w:t>Performance-based equity compensation</w:t>
            </w:r>
          </w:p>
        </w:tc>
        <w:tc>
          <w:tcPr>
            <w:tcW w:w="2840" w:type="dxa"/>
            <w:vAlign w:val="bottom"/>
          </w:tcPr>
          <w:p>
            <w:pPr>
              <w:ind w:left="120"/>
              <w:spacing w:after="0"/>
              <w:rPr>
                <w:sz w:val="20"/>
                <w:szCs w:val="20"/>
                <w:color w:val="auto"/>
              </w:rPr>
            </w:pPr>
            <w:r>
              <w:rPr>
                <w:rFonts w:ascii="Arial" w:cs="Arial" w:eastAsia="Arial" w:hAnsi="Arial"/>
                <w:sz w:val="13"/>
                <w:szCs w:val="13"/>
                <w:color w:val="61C4AF"/>
              </w:rPr>
              <w:t xml:space="preserve">●   </w:t>
            </w:r>
            <w:r>
              <w:rPr>
                <w:rFonts w:ascii="Arial" w:cs="Arial" w:eastAsia="Arial" w:hAnsi="Arial"/>
                <w:sz w:val="13"/>
                <w:szCs w:val="13"/>
                <w:color w:val="000000"/>
              </w:rPr>
              <w:t>Creates direct alignment with stockholder</w:t>
            </w:r>
          </w:p>
        </w:tc>
      </w:tr>
      <w:tr>
        <w:trPr>
          <w:trHeight w:val="148"/>
        </w:trPr>
        <w:tc>
          <w:tcPr>
            <w:tcW w:w="840" w:type="dxa"/>
            <w:vAlign w:val="bottom"/>
          </w:tcPr>
          <w:p>
            <w:pPr>
              <w:spacing w:after="0"/>
              <w:rPr>
                <w:sz w:val="12"/>
                <w:szCs w:val="12"/>
                <w:color w:val="auto"/>
              </w:rPr>
            </w:pPr>
          </w:p>
        </w:tc>
        <w:tc>
          <w:tcPr>
            <w:tcW w:w="3320" w:type="dxa"/>
            <w:vAlign w:val="bottom"/>
            <w:gridSpan w:val="2"/>
          </w:tcPr>
          <w:p>
            <w:pPr>
              <w:ind w:left="480"/>
              <w:spacing w:after="0"/>
              <w:rPr>
                <w:sz w:val="20"/>
                <w:szCs w:val="20"/>
                <w:color w:val="auto"/>
              </w:rPr>
            </w:pPr>
            <w:r>
              <w:rPr>
                <w:rFonts w:ascii="Arial" w:cs="Arial" w:eastAsia="Arial" w:hAnsi="Arial"/>
                <w:sz w:val="13"/>
                <w:szCs w:val="13"/>
                <w:color w:val="61C4AF"/>
              </w:rPr>
              <w:t xml:space="preserve">●   </w:t>
            </w:r>
            <w:r>
              <w:rPr>
                <w:rFonts w:ascii="Arial" w:cs="Arial" w:eastAsia="Arial" w:hAnsi="Arial"/>
                <w:sz w:val="13"/>
                <w:szCs w:val="13"/>
                <w:color w:val="000000"/>
              </w:rPr>
              <w:t>100% of award cliff vests after three years</w:t>
            </w:r>
          </w:p>
        </w:tc>
        <w:tc>
          <w:tcPr>
            <w:tcW w:w="2840" w:type="dxa"/>
            <w:vAlign w:val="bottom"/>
          </w:tcPr>
          <w:p>
            <w:pPr>
              <w:ind w:left="340"/>
              <w:spacing w:after="0"/>
              <w:rPr>
                <w:sz w:val="20"/>
                <w:szCs w:val="20"/>
                <w:color w:val="auto"/>
              </w:rPr>
            </w:pPr>
            <w:r>
              <w:rPr>
                <w:rFonts w:ascii="Arial" w:cs="Arial" w:eastAsia="Arial" w:hAnsi="Arial"/>
                <w:sz w:val="13"/>
                <w:szCs w:val="13"/>
                <w:color w:val="auto"/>
              </w:rPr>
              <w:t>interests by focusing executives on long-</w:t>
            </w:r>
          </w:p>
        </w:tc>
      </w:tr>
      <w:tr>
        <w:trPr>
          <w:trHeight w:val="149"/>
        </w:trPr>
        <w:tc>
          <w:tcPr>
            <w:tcW w:w="840" w:type="dxa"/>
            <w:vAlign w:val="bottom"/>
          </w:tcPr>
          <w:p>
            <w:pPr>
              <w:spacing w:after="0"/>
              <w:rPr>
                <w:sz w:val="12"/>
                <w:szCs w:val="12"/>
                <w:color w:val="auto"/>
              </w:rPr>
            </w:pPr>
          </w:p>
        </w:tc>
        <w:tc>
          <w:tcPr>
            <w:tcW w:w="620" w:type="dxa"/>
            <w:vAlign w:val="bottom"/>
          </w:tcPr>
          <w:p>
            <w:pPr>
              <w:ind w:left="480"/>
              <w:spacing w:after="0"/>
              <w:rPr>
                <w:sz w:val="20"/>
                <w:szCs w:val="20"/>
                <w:color w:val="auto"/>
              </w:rPr>
            </w:pPr>
            <w:r>
              <w:rPr>
                <w:rFonts w:ascii="Arial" w:cs="Arial" w:eastAsia="Arial" w:hAnsi="Arial"/>
                <w:sz w:val="13"/>
                <w:szCs w:val="13"/>
                <w:color w:val="61C4AF"/>
              </w:rPr>
              <w:t>●</w:t>
            </w:r>
          </w:p>
        </w:tc>
        <w:tc>
          <w:tcPr>
            <w:tcW w:w="2700" w:type="dxa"/>
            <w:vAlign w:val="bottom"/>
          </w:tcPr>
          <w:p>
            <w:pPr>
              <w:ind w:left="60"/>
              <w:spacing w:after="0"/>
              <w:rPr>
                <w:sz w:val="20"/>
                <w:szCs w:val="20"/>
                <w:color w:val="auto"/>
              </w:rPr>
            </w:pPr>
            <w:r>
              <w:rPr>
                <w:rFonts w:ascii="Arial" w:cs="Arial" w:eastAsia="Arial" w:hAnsi="Arial"/>
                <w:sz w:val="13"/>
                <w:szCs w:val="13"/>
                <w:color w:val="auto"/>
              </w:rPr>
              <w:t>At least 50% of our executive officers’ LTI</w:t>
            </w:r>
          </w:p>
        </w:tc>
        <w:tc>
          <w:tcPr>
            <w:tcW w:w="2840" w:type="dxa"/>
            <w:vAlign w:val="bottom"/>
          </w:tcPr>
          <w:p>
            <w:pPr>
              <w:ind w:left="340"/>
              <w:spacing w:after="0"/>
              <w:rPr>
                <w:sz w:val="20"/>
                <w:szCs w:val="20"/>
                <w:color w:val="auto"/>
              </w:rPr>
            </w:pPr>
            <w:r>
              <w:rPr>
                <w:rFonts w:ascii="Arial" w:cs="Arial" w:eastAsia="Arial" w:hAnsi="Arial"/>
                <w:sz w:val="13"/>
                <w:szCs w:val="13"/>
                <w:color w:val="auto"/>
              </w:rPr>
              <w:t>term value creation through specific multi-</w:t>
            </w:r>
          </w:p>
        </w:tc>
      </w:tr>
      <w:tr>
        <w:trPr>
          <w:trHeight w:val="149"/>
        </w:trPr>
        <w:tc>
          <w:tcPr>
            <w:tcW w:w="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700" w:type="dxa"/>
            <w:vAlign w:val="bottom"/>
          </w:tcPr>
          <w:p>
            <w:pPr>
              <w:ind w:left="60"/>
              <w:spacing w:after="0"/>
              <w:rPr>
                <w:sz w:val="20"/>
                <w:szCs w:val="20"/>
                <w:color w:val="auto"/>
              </w:rPr>
            </w:pPr>
            <w:r>
              <w:rPr>
                <w:rFonts w:ascii="Arial" w:cs="Arial" w:eastAsia="Arial" w:hAnsi="Arial"/>
                <w:sz w:val="13"/>
                <w:szCs w:val="13"/>
                <w:color w:val="auto"/>
              </w:rPr>
              <w:t>mix is in the form of PSUs (60% for our</w:t>
            </w:r>
          </w:p>
        </w:tc>
        <w:tc>
          <w:tcPr>
            <w:tcW w:w="2840" w:type="dxa"/>
            <w:vAlign w:val="bottom"/>
          </w:tcPr>
          <w:p>
            <w:pPr>
              <w:ind w:left="340"/>
              <w:spacing w:after="0"/>
              <w:rPr>
                <w:sz w:val="20"/>
                <w:szCs w:val="20"/>
                <w:color w:val="auto"/>
              </w:rPr>
            </w:pPr>
            <w:r>
              <w:rPr>
                <w:rFonts w:ascii="Arial" w:cs="Arial" w:eastAsia="Arial" w:hAnsi="Arial"/>
                <w:sz w:val="13"/>
                <w:szCs w:val="13"/>
                <w:color w:val="auto"/>
              </w:rPr>
              <w:t>year financial objectives</w:t>
            </w:r>
          </w:p>
        </w:tc>
      </w:tr>
      <w:tr>
        <w:trPr>
          <w:trHeight w:val="162"/>
        </w:trPr>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700" w:type="dxa"/>
            <w:vAlign w:val="bottom"/>
          </w:tcPr>
          <w:p>
            <w:pPr>
              <w:ind w:left="60"/>
              <w:spacing w:after="0"/>
              <w:rPr>
                <w:sz w:val="20"/>
                <w:szCs w:val="20"/>
                <w:color w:val="auto"/>
              </w:rPr>
            </w:pPr>
            <w:r>
              <w:rPr>
                <w:rFonts w:ascii="Arial" w:cs="Arial" w:eastAsia="Arial" w:hAnsi="Arial"/>
                <w:sz w:val="13"/>
                <w:szCs w:val="13"/>
                <w:color w:val="auto"/>
              </w:rPr>
              <w:t>Chief Executive Officer)</w:t>
            </w:r>
          </w:p>
        </w:tc>
        <w:tc>
          <w:tcPr>
            <w:tcW w:w="28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368935</wp:posOffset>
            </wp:positionV>
            <wp:extent cx="567499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674995" cy="889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-393700</wp:posOffset>
            </wp:positionV>
            <wp:extent cx="85725" cy="44577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clrChange>
                        <a:clrFrom>
                          <a:srgbClr val="000000"/>
                        </a:clrFrom>
                        <a:clrTo>
                          <a:srgbClr val="000000">
                            <a:alpha val="0"/>
                          </a:srgbClr>
                        </a:clrTo>
                      </a:clrChange>
                      <a:extLst>
                        <a:ext uri="{28A0092B-C50C-407E-A947-70E740481C1C}"/>
                      </a:extLst>
                    </a:blip>
                    <a:srcRect/>
                    <a:stretch>
                      <a:fillRect/>
                    </a:stretch>
                  </pic:blipFill>
                  <pic:spPr bwMode="auto">
                    <a:xfrm>
                      <a:off x="0" y="0"/>
                      <a:ext cx="85725" cy="44577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-393700</wp:posOffset>
            </wp:positionV>
            <wp:extent cx="85725" cy="44577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clrChange>
                        <a:clrFrom>
                          <a:srgbClr val="FFFFFF"/>
                        </a:clrFrom>
                        <a:clrTo>
                          <a:srgbClr val="FFFFFF">
                            <a:alpha val="0"/>
                          </a:srgbClr>
                        </a:clrTo>
                      </a:clrChange>
                      <a:extLst>
                        <a:ext uri="{28A0092B-C50C-407E-A947-70E740481C1C}"/>
                      </a:extLst>
                    </a:blip>
                    <a:srcRect/>
                    <a:stretch>
                      <a:fillRect/>
                    </a:stretch>
                  </pic:blipFill>
                  <pic:spPr bwMode="auto">
                    <a:xfrm>
                      <a:off x="0" y="0"/>
                      <a:ext cx="85725" cy="44577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-342265</wp:posOffset>
            </wp:positionV>
            <wp:extent cx="419735" cy="42862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clrChange>
                        <a:clrFrom>
                          <a:srgbClr val="000000"/>
                        </a:clrFrom>
                        <a:clrTo>
                          <a:srgbClr val="000000">
                            <a:alpha val="0"/>
                          </a:srgbClr>
                        </a:clrTo>
                      </a:clrChange>
                      <a:extLst>
                        <a:ext uri="{28A0092B-C50C-407E-A947-70E740481C1C}"/>
                      </a:extLst>
                    </a:blip>
                    <a:srcRect/>
                    <a:stretch>
                      <a:fillRect/>
                    </a:stretch>
                  </pic:blipFill>
                  <pic:spPr bwMode="auto">
                    <a:xfrm>
                      <a:off x="0" y="0"/>
                      <a:ext cx="419735" cy="42862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-342265</wp:posOffset>
            </wp:positionV>
            <wp:extent cx="419735" cy="42862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clrChange>
                        <a:clrFrom>
                          <a:srgbClr val="FFFFFF"/>
                        </a:clrFrom>
                        <a:clrTo>
                          <a:srgbClr val="FFFFFF">
                            <a:alpha val="0"/>
                          </a:srgbClr>
                        </a:clrTo>
                      </a:clrChange>
                      <a:extLst>
                        <a:ext uri="{28A0092B-C50C-407E-A947-70E740481C1C}"/>
                      </a:extLst>
                    </a:blip>
                    <a:srcRect/>
                    <a:stretch>
                      <a:fillRect/>
                    </a:stretch>
                  </pic:blipFill>
                  <pic:spPr bwMode="auto">
                    <a:xfrm>
                      <a:off x="0" y="0"/>
                      <a:ext cx="419735" cy="4286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ind w:left="214" w:right="60" w:hanging="214"/>
        <w:spacing w:after="0" w:line="238" w:lineRule="auto"/>
        <w:tabs>
          <w:tab w:leader="none" w:pos="208" w:val="left"/>
        </w:tabs>
        <w:numPr>
          <w:ilvl w:val="0"/>
          <w:numId w:val="157"/>
        </w:numPr>
        <w:rPr>
          <w:rFonts w:ascii="Arial" w:cs="Arial" w:eastAsia="Arial" w:hAnsi="Arial"/>
          <w:sz w:val="13"/>
          <w:szCs w:val="13"/>
          <w:color w:val="61C4AF"/>
        </w:rPr>
      </w:pPr>
      <w:r>
        <w:rPr>
          <w:rFonts w:ascii="Arial" w:cs="Arial" w:eastAsia="Arial" w:hAnsi="Arial"/>
          <w:sz w:val="13"/>
          <w:szCs w:val="13"/>
          <w:color w:val="auto"/>
        </w:rPr>
        <w:t>Revenue and non-GAAP EPS goals are each weighted at 25%; financial metrics are subject to automatic adjustment pursuant to a relative market performance adjustment (“MPA”) factor (as described on page 69 below)</w:t>
      </w:r>
    </w:p>
    <w:p>
      <w:pPr>
        <w:spacing w:after="0" w:line="1" w:lineRule="exact"/>
        <w:rPr>
          <w:rFonts w:ascii="Arial" w:cs="Arial" w:eastAsia="Arial" w:hAnsi="Arial"/>
          <w:sz w:val="13"/>
          <w:szCs w:val="13"/>
          <w:color w:val="61C4AF"/>
        </w:rPr>
      </w:pPr>
    </w:p>
    <w:p>
      <w:pPr>
        <w:ind w:left="214" w:right="60" w:hanging="214"/>
        <w:spacing w:after="0" w:line="248" w:lineRule="auto"/>
        <w:tabs>
          <w:tab w:leader="none" w:pos="208" w:val="left"/>
        </w:tabs>
        <w:numPr>
          <w:ilvl w:val="0"/>
          <w:numId w:val="157"/>
        </w:numPr>
        <w:rPr>
          <w:rFonts w:ascii="Arial" w:cs="Arial" w:eastAsia="Arial" w:hAnsi="Arial"/>
          <w:sz w:val="13"/>
          <w:szCs w:val="13"/>
          <w:color w:val="61C4AF"/>
        </w:rPr>
      </w:pPr>
      <w:r>
        <w:rPr>
          <w:rFonts w:ascii="Arial" w:cs="Arial" w:eastAsia="Arial" w:hAnsi="Arial"/>
          <w:sz w:val="13"/>
          <w:szCs w:val="13"/>
          <w:color w:val="auto"/>
        </w:rPr>
        <w:t>Relative TSR goal is weighted at 50%; for PSUs based on relative TSR, payout capped at 100% if absolute TSR is negative</w:t>
      </w:r>
    </w:p>
    <w:p>
      <w:pPr>
        <w:spacing w:after="0" w:line="46" w:lineRule="exact"/>
        <w:rPr>
          <w:sz w:val="20"/>
          <w:szCs w:val="20"/>
          <w:color w:val="auto"/>
        </w:rPr>
      </w:pPr>
    </w:p>
    <w:p>
      <w:pPr>
        <w:sectPr>
          <w:pgSz w:w="11900" w:h="16838" w:orient="portrait"/>
          <w:cols w:equalWidth="0" w:num="2">
            <w:col w:w="8080" w:space="266"/>
            <w:col w:w="2894"/>
          </w:cols>
          <w:pgMar w:left="320" w:top="121" w:right="339" w:bottom="1440" w:gutter="0" w:footer="0" w:header="0"/>
          <w:type w:val="continuous"/>
        </w:sectPr>
      </w:pPr>
    </w:p>
    <w:p>
      <w:pPr>
        <w:ind w:left="1080"/>
        <w:spacing w:after="0"/>
        <w:tabs>
          <w:tab w:leader="none" w:pos="2380" w:val="left"/>
          <w:tab w:leader="none" w:pos="2580" w:val="left"/>
        </w:tabs>
        <w:rPr>
          <w:sz w:val="20"/>
          <w:szCs w:val="20"/>
          <w:color w:val="auto"/>
        </w:rPr>
      </w:pPr>
      <w:r>
        <w:rPr>
          <w:rFonts w:ascii="Arial" w:cs="Arial" w:eastAsia="Arial" w:hAnsi="Arial"/>
          <w:sz w:val="13"/>
          <w:szCs w:val="13"/>
          <w:b w:val="1"/>
          <w:bCs w:val="1"/>
          <w:color w:val="61C4AF"/>
        </w:rPr>
        <w:t>RSUs</w:t>
      </w:r>
      <w:r>
        <w:rPr>
          <w:sz w:val="20"/>
          <w:szCs w:val="20"/>
          <w:color w:val="auto"/>
        </w:rPr>
        <w:tab/>
      </w:r>
      <w:r>
        <w:rPr>
          <w:rFonts w:ascii="Arial" w:cs="Arial" w:eastAsia="Arial" w:hAnsi="Arial"/>
          <w:sz w:val="13"/>
          <w:szCs w:val="13"/>
          <w:color w:val="61C4AF"/>
        </w:rPr>
        <w:t>●</w:t>
      </w:r>
      <w:r>
        <w:rPr>
          <w:sz w:val="20"/>
          <w:szCs w:val="20"/>
          <w:color w:val="auto"/>
        </w:rPr>
        <w:tab/>
      </w:r>
      <w:r>
        <w:rPr>
          <w:rFonts w:ascii="Arial" w:cs="Arial" w:eastAsia="Arial" w:hAnsi="Arial"/>
          <w:sz w:val="13"/>
          <w:szCs w:val="13"/>
          <w:color w:val="auto"/>
        </w:rPr>
        <w:t>Variable long-term equity compensation</w:t>
      </w:r>
    </w:p>
    <w:p>
      <w:pPr>
        <w:spacing w:after="0" w:line="16" w:lineRule="exact"/>
        <w:rPr>
          <w:sz w:val="20"/>
          <w:szCs w:val="20"/>
          <w:color w:val="auto"/>
        </w:rPr>
      </w:pPr>
    </w:p>
    <w:p>
      <w:pPr>
        <w:ind w:left="2600" w:hanging="207"/>
        <w:spacing w:after="0"/>
        <w:tabs>
          <w:tab w:leader="none" w:pos="2600" w:val="left"/>
        </w:tabs>
        <w:numPr>
          <w:ilvl w:val="0"/>
          <w:numId w:val="158"/>
        </w:numPr>
        <w:rPr>
          <w:rFonts w:ascii="Arial" w:cs="Arial" w:eastAsia="Arial" w:hAnsi="Arial"/>
          <w:sz w:val="13"/>
          <w:szCs w:val="13"/>
          <w:color w:val="61C4AF"/>
        </w:rPr>
      </w:pPr>
      <w:r>
        <w:rPr>
          <w:rFonts w:ascii="Arial" w:cs="Arial" w:eastAsia="Arial" w:hAnsi="Arial"/>
          <w:sz w:val="13"/>
          <w:szCs w:val="13"/>
          <w:color w:val="auto"/>
        </w:rPr>
        <w:t>Vest ratably over 4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-76835</wp:posOffset>
            </wp:positionV>
            <wp:extent cx="411480" cy="42862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clrChange>
                        <a:clrFrom>
                          <a:srgbClr val="000000"/>
                        </a:clrFrom>
                        <a:clrTo>
                          <a:srgbClr val="000000">
                            <a:alpha val="0"/>
                          </a:srgbClr>
                        </a:clrTo>
                      </a:clrChange>
                      <a:extLst>
                        <a:ext uri="{28A0092B-C50C-407E-A947-70E740481C1C}"/>
                      </a:extLst>
                    </a:blip>
                    <a:srcRect/>
                    <a:stretch>
                      <a:fillRect/>
                    </a:stretch>
                  </pic:blipFill>
                  <pic:spPr bwMode="auto">
                    <a:xfrm>
                      <a:off x="0" y="0"/>
                      <a:ext cx="411480" cy="42862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-76835</wp:posOffset>
            </wp:positionV>
            <wp:extent cx="411480" cy="42862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clrChange>
                        <a:clrFrom>
                          <a:srgbClr val="FFFFFF"/>
                        </a:clrFrom>
                        <a:clrTo>
                          <a:srgbClr val="FFFFFF">
                            <a:alpha val="0"/>
                          </a:srgbClr>
                        </a:clrTo>
                      </a:clrChange>
                      <a:extLst>
                        <a:ext uri="{28A0092B-C50C-407E-A947-70E740481C1C}"/>
                      </a:extLst>
                    </a:blip>
                    <a:srcRect/>
                    <a:stretch>
                      <a:fillRect/>
                    </a:stretch>
                  </pic:blipFill>
                  <pic:spPr bwMode="auto">
                    <a:xfrm>
                      <a:off x="0" y="0"/>
                      <a:ext cx="411480" cy="4286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40" w:type="dxa"/>
            <w:vAlign w:val="bottom"/>
          </w:tcPr>
          <w:p>
            <w:pPr>
              <w:spacing w:after="0"/>
              <w:rPr>
                <w:sz w:val="20"/>
                <w:szCs w:val="20"/>
                <w:color w:val="auto"/>
              </w:rPr>
            </w:pPr>
            <w:r>
              <w:rPr>
                <w:rFonts w:ascii="Arial" w:cs="Arial" w:eastAsia="Arial" w:hAnsi="Arial"/>
                <w:sz w:val="13"/>
                <w:szCs w:val="13"/>
                <w:color w:val="61C4AF"/>
              </w:rPr>
              <w:t>●</w:t>
            </w:r>
          </w:p>
        </w:tc>
        <w:tc>
          <w:tcPr>
            <w:tcW w:w="2680" w:type="dxa"/>
            <w:vAlign w:val="bottom"/>
          </w:tcPr>
          <w:p>
            <w:pPr>
              <w:ind w:left="80"/>
              <w:spacing w:after="0"/>
              <w:rPr>
                <w:sz w:val="20"/>
                <w:szCs w:val="20"/>
                <w:color w:val="auto"/>
              </w:rPr>
            </w:pPr>
            <w:r>
              <w:rPr>
                <w:rFonts w:ascii="Arial" w:cs="Arial" w:eastAsia="Arial" w:hAnsi="Arial"/>
                <w:sz w:val="13"/>
                <w:szCs w:val="13"/>
                <w:color w:val="auto"/>
              </w:rPr>
              <w:t>Provides alignment with stockholder</w:t>
            </w:r>
          </w:p>
        </w:tc>
        <w:tc>
          <w:tcPr>
            <w:tcW w:w="1980" w:type="dxa"/>
            <w:vAlign w:val="bottom"/>
          </w:tcPr>
          <w:p>
            <w:pPr>
              <w:ind w:left="160"/>
              <w:spacing w:after="0"/>
              <w:rPr>
                <w:sz w:val="20"/>
                <w:szCs w:val="20"/>
                <w:color w:val="auto"/>
              </w:rPr>
            </w:pPr>
            <w:r>
              <w:rPr>
                <w:rFonts w:ascii="Arial" w:cs="Arial" w:eastAsia="Arial" w:hAnsi="Arial"/>
                <w:sz w:val="13"/>
                <w:szCs w:val="13"/>
                <w:color w:val="61C4AF"/>
              </w:rPr>
              <w:t xml:space="preserve">●   </w:t>
            </w:r>
            <w:r>
              <w:rPr>
                <w:rFonts w:ascii="Arial" w:cs="Arial" w:eastAsia="Arial" w:hAnsi="Arial"/>
                <w:sz w:val="13"/>
                <w:szCs w:val="13"/>
                <w:color w:val="000000"/>
              </w:rPr>
              <w:t>Value based on stock price</w:t>
            </w: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2680" w:type="dxa"/>
            <w:vAlign w:val="bottom"/>
          </w:tcPr>
          <w:p>
            <w:pPr>
              <w:ind w:left="80"/>
              <w:spacing w:after="0"/>
              <w:rPr>
                <w:sz w:val="20"/>
                <w:szCs w:val="20"/>
                <w:color w:val="auto"/>
              </w:rPr>
            </w:pPr>
            <w:r>
              <w:rPr>
                <w:rFonts w:ascii="Arial" w:cs="Arial" w:eastAsia="Arial" w:hAnsi="Arial"/>
                <w:sz w:val="13"/>
                <w:szCs w:val="13"/>
                <w:color w:val="auto"/>
              </w:rPr>
              <w:t>interests by focusing executives on long-</w:t>
            </w:r>
          </w:p>
        </w:tc>
        <w:tc>
          <w:tcPr>
            <w:tcW w:w="1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 w:type="dxa"/>
            <w:vAlign w:val="bottom"/>
            <w:vMerge w:val="restart"/>
          </w:tcPr>
          <w:p>
            <w:pPr>
              <w:spacing w:after="0"/>
              <w:rPr>
                <w:sz w:val="20"/>
                <w:szCs w:val="20"/>
                <w:color w:val="auto"/>
              </w:rPr>
            </w:pPr>
            <w:r>
              <w:rPr>
                <w:rFonts w:ascii="Arial" w:cs="Arial" w:eastAsia="Arial" w:hAnsi="Arial"/>
                <w:sz w:val="13"/>
                <w:szCs w:val="13"/>
                <w:color w:val="61C4AF"/>
              </w:rPr>
              <w:t>●</w:t>
            </w:r>
          </w:p>
        </w:tc>
        <w:tc>
          <w:tcPr>
            <w:tcW w:w="2680" w:type="dxa"/>
            <w:vAlign w:val="bottom"/>
          </w:tcPr>
          <w:p>
            <w:pPr>
              <w:ind w:left="80"/>
              <w:spacing w:after="0"/>
              <w:rPr>
                <w:sz w:val="20"/>
                <w:szCs w:val="20"/>
                <w:color w:val="auto"/>
              </w:rPr>
            </w:pPr>
            <w:r>
              <w:rPr>
                <w:rFonts w:ascii="Arial" w:cs="Arial" w:eastAsia="Arial" w:hAnsi="Arial"/>
                <w:sz w:val="13"/>
                <w:szCs w:val="13"/>
                <w:color w:val="auto"/>
              </w:rPr>
              <w:t>term value creation</w:t>
            </w:r>
          </w:p>
        </w:tc>
        <w:tc>
          <w:tcPr>
            <w:tcW w:w="1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0" w:type="dxa"/>
            <w:vAlign w:val="bottom"/>
            <w:vMerge w:val="continue"/>
          </w:tcPr>
          <w:p>
            <w:pPr>
              <w:spacing w:after="0"/>
              <w:rPr>
                <w:sz w:val="14"/>
                <w:szCs w:val="14"/>
                <w:color w:val="auto"/>
              </w:rPr>
            </w:pPr>
          </w:p>
        </w:tc>
        <w:tc>
          <w:tcPr>
            <w:tcW w:w="2680" w:type="dxa"/>
            <w:vAlign w:val="bottom"/>
          </w:tcPr>
          <w:p>
            <w:pPr>
              <w:ind w:left="80"/>
              <w:spacing w:after="0"/>
              <w:rPr>
                <w:sz w:val="20"/>
                <w:szCs w:val="20"/>
                <w:color w:val="auto"/>
              </w:rPr>
            </w:pPr>
            <w:r>
              <w:rPr>
                <w:rFonts w:ascii="Arial" w:cs="Arial" w:eastAsia="Arial" w:hAnsi="Arial"/>
                <w:sz w:val="13"/>
                <w:szCs w:val="13"/>
                <w:color w:val="auto"/>
              </w:rPr>
              <w:t>Provides retention value</w:t>
            </w: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980" w:space="380"/>
            <w:col w:w="5880"/>
          </w:cols>
          <w:pgMar w:left="320" w:top="121" w:right="339" w:bottom="1440" w:gutter="0" w:footer="0" w:header="0"/>
          <w:type w:val="continuous"/>
        </w:sectPr>
      </w:pPr>
    </w:p>
    <w:p>
      <w:pPr>
        <w:spacing w:after="0" w:line="219" w:lineRule="exact"/>
        <w:rPr>
          <w:sz w:val="20"/>
          <w:szCs w:val="20"/>
          <w:color w:val="auto"/>
        </w:rPr>
      </w:pPr>
    </w:p>
    <w:p>
      <w:pPr>
        <w:ind w:left="600"/>
        <w:spacing w:after="0"/>
        <w:rPr>
          <w:sz w:val="20"/>
          <w:szCs w:val="20"/>
          <w:color w:val="auto"/>
        </w:rPr>
      </w:pPr>
      <w:r>
        <w:rPr>
          <w:rFonts w:ascii="Arial" w:cs="Arial" w:eastAsia="Arial" w:hAnsi="Arial"/>
          <w:sz w:val="22"/>
          <w:szCs w:val="22"/>
          <w:b w:val="1"/>
          <w:bCs w:val="1"/>
          <w:color w:val="FBAF16"/>
        </w:rPr>
        <w:t>○</w:t>
      </w:r>
    </w:p>
    <w:p>
      <w:pPr>
        <w:spacing w:after="0" w:line="111" w:lineRule="exact"/>
        <w:rPr>
          <w:sz w:val="20"/>
          <w:szCs w:val="20"/>
          <w:color w:val="auto"/>
        </w:rPr>
      </w:pPr>
    </w:p>
    <w:p>
      <w:pPr>
        <w:ind w:left="220" w:right="40" w:hanging="212"/>
        <w:spacing w:after="0" w:line="245" w:lineRule="auto"/>
        <w:tabs>
          <w:tab w:leader="none" w:pos="220" w:val="left"/>
        </w:tabs>
        <w:numPr>
          <w:ilvl w:val="0"/>
          <w:numId w:val="159"/>
        </w:numPr>
        <w:rPr>
          <w:rFonts w:ascii="Arial" w:cs="Arial" w:eastAsia="Arial" w:hAnsi="Arial"/>
          <w:sz w:val="13"/>
          <w:szCs w:val="13"/>
          <w:color w:val="auto"/>
        </w:rPr>
      </w:pPr>
      <w:r>
        <w:rPr>
          <w:rFonts w:ascii="Arial" w:cs="Arial" w:eastAsia="Arial" w:hAnsi="Arial"/>
          <w:sz w:val="13"/>
          <w:szCs w:val="13"/>
          <w:color w:val="auto"/>
        </w:rPr>
        <w:t>The percentages shown for the elements of target total direct compensation in the table above are presented based on annualized base salary, target annual STI award and the target annual LTI award for our former Chief Executive Officer, Mr. Milligan, in fiscal 2020. Our current Chief Executive Officer, Mr. Goeckeler, was appointed in March 2020 and did not receive an annual LTI award like those granted to our named executive officers in September 2019. Mr. Goeckeler’s fiscal 2021 compensation elements are comparable to Mr. Milligan’s fiscal 2020 compensation elements.</w:t>
      </w:r>
    </w:p>
    <w:p>
      <w:pPr>
        <w:spacing w:after="0" w:line="195" w:lineRule="exact"/>
        <w:rPr>
          <w:sz w:val="20"/>
          <w:szCs w:val="20"/>
          <w:color w:val="auto"/>
        </w:rPr>
      </w:pPr>
    </w:p>
    <w:p>
      <w:pPr>
        <w:ind w:left="440" w:hanging="432"/>
        <w:spacing w:after="0"/>
        <w:tabs>
          <w:tab w:leader="none" w:pos="440" w:val="left"/>
        </w:tabs>
        <w:numPr>
          <w:ilvl w:val="0"/>
          <w:numId w:val="160"/>
        </w:numPr>
        <w:rPr>
          <w:rFonts w:ascii="Arial" w:cs="Arial" w:eastAsia="Arial" w:hAnsi="Arial"/>
          <w:sz w:val="18"/>
          <w:szCs w:val="18"/>
          <w:b w:val="1"/>
          <w:bCs w:val="1"/>
          <w:color w:val="23628F"/>
        </w:rPr>
      </w:pPr>
      <w:r>
        <w:rPr>
          <w:rFonts w:ascii="Arial" w:cs="Arial" w:eastAsia="Arial" w:hAnsi="Arial"/>
          <w:sz w:val="13"/>
          <w:szCs w:val="13"/>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153275" cy="209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right"/>
        <w:spacing w:after="0"/>
        <w:rPr>
          <w:sz w:val="20"/>
          <w:szCs w:val="20"/>
          <w:color w:val="auto"/>
        </w:rPr>
      </w:pPr>
      <w:r>
        <w:rPr>
          <w:rFonts w:ascii="Arial" w:cs="Arial" w:eastAsia="Arial" w:hAnsi="Arial"/>
          <w:sz w:val="13"/>
          <w:szCs w:val="13"/>
          <w:color w:val="23628F"/>
        </w:rPr>
        <w:t>COMPENSATION DISCUSSION AND ANALYSIS</w:t>
      </w:r>
    </w:p>
    <w:p>
      <w:pPr>
        <w:spacing w:after="0" w:line="182"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Allocation of Target Total Direct Compensation</w:t>
      </w:r>
    </w:p>
    <w:p>
      <w:pPr>
        <w:spacing w:after="0" w:line="257" w:lineRule="exact"/>
        <w:rPr>
          <w:sz w:val="20"/>
          <w:szCs w:val="20"/>
          <w:color w:val="auto"/>
        </w:rPr>
      </w:pPr>
    </w:p>
    <w:p>
      <w:pPr>
        <w:ind w:right="100"/>
        <w:spacing w:after="0" w:line="245" w:lineRule="auto"/>
        <w:rPr>
          <w:sz w:val="20"/>
          <w:szCs w:val="20"/>
          <w:color w:val="auto"/>
        </w:rPr>
      </w:pPr>
      <w:r>
        <w:rPr>
          <w:rFonts w:ascii="Arial" w:cs="Arial" w:eastAsia="Arial" w:hAnsi="Arial"/>
          <w:sz w:val="13"/>
          <w:szCs w:val="13"/>
          <w:color w:val="auto"/>
        </w:rPr>
        <w:t>The Compensation and Talent Committee believes that a substantial portion of target total direct compensation should be performance-based compensation, with the percentage of the executive’s compensation that is performance-based to increase as the executive’s responsibility increases. This philosophy motivates executives to improve our overall performance over the long term, encourages accountability and links the interests of our stockholders with those of our executives. Performance-based pay is based on our stock price performance and achievement of other specified financial performance goals.</w:t>
      </w:r>
    </w:p>
    <w:p>
      <w:pPr>
        <w:spacing w:after="0" w:line="200" w:lineRule="exact"/>
        <w:rPr>
          <w:sz w:val="20"/>
          <w:szCs w:val="20"/>
          <w:color w:val="auto"/>
        </w:rPr>
      </w:pPr>
    </w:p>
    <w:p>
      <w:pPr>
        <w:ind w:right="160"/>
        <w:spacing w:after="0" w:line="245" w:lineRule="auto"/>
        <w:rPr>
          <w:sz w:val="20"/>
          <w:szCs w:val="20"/>
          <w:color w:val="auto"/>
        </w:rPr>
      </w:pPr>
      <w:r>
        <w:rPr>
          <w:rFonts w:ascii="Arial" w:cs="Arial" w:eastAsia="Arial" w:hAnsi="Arial"/>
          <w:sz w:val="13"/>
          <w:szCs w:val="13"/>
          <w:color w:val="auto"/>
        </w:rPr>
        <w:t>The charts below illustrate the mix of fiscal 2020 fixed pay (annualized base salary as of the end of the fiscal year) and variable or performance-based pay (annual STI target and annual LTI awards based on the target award value) for our prior Chief Executive Officer, Mr. Milligan, and our other named executive officers (on average). Because Mr. Goeckeler, who was appointed as our Chief Executive Officer in March 2020, was not subject to the same compensation arrangements as our remaining named executive officers, the chart below reflects Mr. Milligan’s target compensation for fiscal 2020. Mr. Goeckeler’s compensation elements for fiscal 2021 are comparable to Mr. Milligan’s fiscal 2020 compensation elements.</w:t>
      </w:r>
    </w:p>
    <w:p>
      <w:pPr>
        <w:sectPr>
          <w:pgSz w:w="11900" w:h="16838" w:orient="portrait"/>
          <w:cols w:equalWidth="0" w:num="1">
            <w:col w:w="11240"/>
          </w:cols>
          <w:pgMar w:left="320" w:top="121" w:right="339" w:bottom="1440" w:gutter="0" w:footer="0" w:header="0"/>
        </w:sectPr>
      </w:pPr>
    </w:p>
    <w:p>
      <w:pPr>
        <w:spacing w:after="0" w:line="168" w:lineRule="exact"/>
        <w:rPr>
          <w:sz w:val="20"/>
          <w:szCs w:val="20"/>
          <w:color w:val="auto"/>
        </w:rPr>
      </w:pPr>
    </w:p>
    <w:p>
      <w:pPr>
        <w:ind w:left="1680"/>
        <w:spacing w:after="0"/>
        <w:rPr>
          <w:sz w:val="20"/>
          <w:szCs w:val="20"/>
          <w:color w:val="auto"/>
        </w:rPr>
      </w:pPr>
      <w:r>
        <w:rPr>
          <w:rFonts w:ascii="Arial" w:cs="Arial" w:eastAsia="Arial" w:hAnsi="Arial"/>
          <w:sz w:val="21"/>
          <w:szCs w:val="21"/>
          <w:b w:val="1"/>
          <w:bCs w:val="1"/>
          <w:color w:val="61C4AF"/>
        </w:rPr>
        <w:t>Chief Executive Officer Pay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-132080</wp:posOffset>
            </wp:positionV>
            <wp:extent cx="34290" cy="46291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4290" cy="4629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right="1400"/>
        <w:spacing w:after="0" w:line="245" w:lineRule="auto"/>
        <w:rPr>
          <w:sz w:val="20"/>
          <w:szCs w:val="20"/>
          <w:color w:val="auto"/>
        </w:rPr>
      </w:pPr>
      <w:r>
        <w:rPr>
          <w:rFonts w:ascii="Arial" w:cs="Arial" w:eastAsia="Arial" w:hAnsi="Arial"/>
          <w:sz w:val="22"/>
          <w:szCs w:val="22"/>
          <w:b w:val="1"/>
          <w:bCs w:val="1"/>
          <w:color w:val="61C4AF"/>
        </w:rPr>
        <w:t>Named Executive Officer Average Pay Mix (other than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-2521585</wp:posOffset>
            </wp:positionH>
            <wp:positionV relativeFrom="paragraph">
              <wp:posOffset>-470535</wp:posOffset>
            </wp:positionV>
            <wp:extent cx="4345940" cy="155130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4345940" cy="1551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60" w:space="720"/>
            <w:col w:w="506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Process for Determining Executive Compensation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23628F"/>
        </w:rPr>
        <w:t>ROLE OF THE COMPENSATION AND TALENT COMMITTEE</w:t>
      </w:r>
    </w:p>
    <w:p>
      <w:pPr>
        <w:spacing w:after="0" w:line="230" w:lineRule="exact"/>
        <w:rPr>
          <w:sz w:val="20"/>
          <w:szCs w:val="20"/>
          <w:color w:val="auto"/>
        </w:rPr>
      </w:pPr>
    </w:p>
    <w:p>
      <w:pPr>
        <w:jc w:val="both"/>
        <w:ind w:right="220"/>
        <w:spacing w:after="0" w:line="248" w:lineRule="auto"/>
        <w:rPr>
          <w:sz w:val="20"/>
          <w:szCs w:val="20"/>
          <w:color w:val="auto"/>
        </w:rPr>
      </w:pPr>
      <w:r>
        <w:rPr>
          <w:rFonts w:ascii="Arial" w:cs="Arial" w:eastAsia="Arial" w:hAnsi="Arial"/>
          <w:sz w:val="13"/>
          <w:szCs w:val="13"/>
          <w:color w:val="auto"/>
        </w:rPr>
        <w:t>The Compensation and Talent Committee reviews and determines compensation for our executive officers. The Compensation and Talent Committee generally reviews the performance and compensation of our executive officers on an annual basis and at the time of hiring, promotion or other change in responsibilities. The Compensation and Talent Committee’s annual review typically occurs near the end of the prior fiscal year and beginning of the new fiscal year.</w:t>
      </w:r>
    </w:p>
    <w:p>
      <w:pPr>
        <w:spacing w:after="0" w:line="198" w:lineRule="exact"/>
        <w:rPr>
          <w:sz w:val="20"/>
          <w:szCs w:val="20"/>
          <w:color w:val="auto"/>
        </w:rPr>
      </w:pPr>
    </w:p>
    <w:p>
      <w:pPr>
        <w:spacing w:after="0"/>
        <w:rPr>
          <w:sz w:val="20"/>
          <w:szCs w:val="20"/>
          <w:color w:val="auto"/>
        </w:rPr>
      </w:pPr>
      <w:r>
        <w:rPr>
          <w:rFonts w:ascii="Arial" w:cs="Arial" w:eastAsia="Arial" w:hAnsi="Arial"/>
          <w:sz w:val="13"/>
          <w:szCs w:val="13"/>
          <w:color w:val="auto"/>
        </w:rPr>
        <w:t>The Compensation and Talent Committee’s executive compensation decisions are informed by several factors,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22555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32320" cy="12255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Arial" w:cs="Arial" w:eastAsia="Arial" w:hAnsi="Arial"/>
          <w:sz w:val="13"/>
          <w:szCs w:val="13"/>
          <w:b w:val="1"/>
          <w:bCs w:val="1"/>
          <w:color w:val="61C4AF"/>
        </w:rPr>
        <w:t>External and Internal Factors</w:t>
      </w:r>
    </w:p>
    <w:p>
      <w:pPr>
        <w:spacing w:after="0" w:line="83" w:lineRule="exact"/>
        <w:rPr>
          <w:sz w:val="20"/>
          <w:szCs w:val="20"/>
          <w:color w:val="auto"/>
        </w:rPr>
      </w:pPr>
    </w:p>
    <w:p>
      <w:pPr>
        <w:ind w:left="220" w:hanging="212"/>
        <w:spacing w:after="0"/>
        <w:tabs>
          <w:tab w:leader="none" w:pos="220" w:val="left"/>
        </w:tabs>
        <w:numPr>
          <w:ilvl w:val="0"/>
          <w:numId w:val="161"/>
        </w:numPr>
        <w:rPr>
          <w:rFonts w:ascii="Arial" w:cs="Arial" w:eastAsia="Arial" w:hAnsi="Arial"/>
          <w:sz w:val="13"/>
          <w:szCs w:val="13"/>
          <w:color w:val="63C4AF"/>
        </w:rPr>
      </w:pPr>
      <w:r>
        <w:rPr>
          <w:rFonts w:ascii="Arial" w:cs="Arial" w:eastAsia="Arial" w:hAnsi="Arial"/>
          <w:sz w:val="13"/>
          <w:szCs w:val="13"/>
          <w:color w:val="auto"/>
        </w:rPr>
        <w:t>Our compensation philosophy and objectives</w:t>
      </w:r>
    </w:p>
    <w:p>
      <w:pPr>
        <w:spacing w:after="0" w:line="39" w:lineRule="exact"/>
        <w:rPr>
          <w:rFonts w:ascii="Arial" w:cs="Arial" w:eastAsia="Arial" w:hAnsi="Arial"/>
          <w:sz w:val="13"/>
          <w:szCs w:val="13"/>
          <w:color w:val="63C4AF"/>
        </w:rPr>
      </w:pPr>
    </w:p>
    <w:p>
      <w:pPr>
        <w:ind w:left="220" w:hanging="212"/>
        <w:spacing w:after="0"/>
        <w:tabs>
          <w:tab w:leader="none" w:pos="220" w:val="left"/>
        </w:tabs>
        <w:numPr>
          <w:ilvl w:val="0"/>
          <w:numId w:val="161"/>
        </w:numPr>
        <w:rPr>
          <w:rFonts w:ascii="Arial" w:cs="Arial" w:eastAsia="Arial" w:hAnsi="Arial"/>
          <w:sz w:val="13"/>
          <w:szCs w:val="13"/>
          <w:color w:val="63C4AF"/>
        </w:rPr>
      </w:pPr>
      <w:r>
        <w:rPr>
          <w:rFonts w:ascii="Arial" w:cs="Arial" w:eastAsia="Arial" w:hAnsi="Arial"/>
          <w:sz w:val="13"/>
          <w:szCs w:val="13"/>
          <w:color w:val="auto"/>
        </w:rPr>
        <w:t>Our pay positioning relative to our peer group</w:t>
      </w:r>
    </w:p>
    <w:p>
      <w:pPr>
        <w:spacing w:after="0" w:line="39" w:lineRule="exact"/>
        <w:rPr>
          <w:rFonts w:ascii="Arial" w:cs="Arial" w:eastAsia="Arial" w:hAnsi="Arial"/>
          <w:sz w:val="13"/>
          <w:szCs w:val="13"/>
          <w:color w:val="63C4AF"/>
        </w:rPr>
      </w:pPr>
    </w:p>
    <w:p>
      <w:pPr>
        <w:ind w:left="220" w:hanging="212"/>
        <w:spacing w:after="0"/>
        <w:tabs>
          <w:tab w:leader="none" w:pos="220" w:val="left"/>
        </w:tabs>
        <w:numPr>
          <w:ilvl w:val="0"/>
          <w:numId w:val="161"/>
        </w:numPr>
        <w:rPr>
          <w:rFonts w:ascii="Arial" w:cs="Arial" w:eastAsia="Arial" w:hAnsi="Arial"/>
          <w:sz w:val="13"/>
          <w:szCs w:val="13"/>
          <w:color w:val="63C4AF"/>
        </w:rPr>
      </w:pPr>
      <w:r>
        <w:rPr>
          <w:rFonts w:ascii="Arial" w:cs="Arial" w:eastAsia="Arial" w:hAnsi="Arial"/>
          <w:sz w:val="13"/>
          <w:szCs w:val="13"/>
          <w:color w:val="auto"/>
        </w:rPr>
        <w:t>The executive’s role, experience, performance and contributions</w:t>
      </w:r>
    </w:p>
    <w:p>
      <w:pPr>
        <w:spacing w:after="0" w:line="26" w:lineRule="exact"/>
        <w:rPr>
          <w:rFonts w:ascii="Arial" w:cs="Arial" w:eastAsia="Arial" w:hAnsi="Arial"/>
          <w:sz w:val="13"/>
          <w:szCs w:val="13"/>
          <w:color w:val="63C4AF"/>
        </w:rPr>
      </w:pPr>
    </w:p>
    <w:p>
      <w:pPr>
        <w:ind w:left="220" w:hanging="212"/>
        <w:spacing w:after="0"/>
        <w:tabs>
          <w:tab w:leader="none" w:pos="220" w:val="left"/>
        </w:tabs>
        <w:numPr>
          <w:ilvl w:val="0"/>
          <w:numId w:val="161"/>
        </w:numPr>
        <w:rPr>
          <w:rFonts w:ascii="Arial" w:cs="Arial" w:eastAsia="Arial" w:hAnsi="Arial"/>
          <w:sz w:val="13"/>
          <w:szCs w:val="13"/>
          <w:color w:val="63C4AF"/>
        </w:rPr>
      </w:pPr>
      <w:r>
        <w:rPr>
          <w:rFonts w:ascii="Arial" w:cs="Arial" w:eastAsia="Arial" w:hAnsi="Arial"/>
          <w:sz w:val="13"/>
          <w:szCs w:val="13"/>
          <w:color w:val="auto"/>
        </w:rPr>
        <w:t>Internal pay equity</w:t>
      </w:r>
    </w:p>
    <w:p>
      <w:pPr>
        <w:spacing w:after="0" w:line="39" w:lineRule="exact"/>
        <w:rPr>
          <w:rFonts w:ascii="Arial" w:cs="Arial" w:eastAsia="Arial" w:hAnsi="Arial"/>
          <w:sz w:val="13"/>
          <w:szCs w:val="13"/>
          <w:color w:val="63C4AF"/>
        </w:rPr>
      </w:pPr>
    </w:p>
    <w:p>
      <w:pPr>
        <w:ind w:left="220" w:hanging="212"/>
        <w:spacing w:after="0"/>
        <w:tabs>
          <w:tab w:leader="none" w:pos="220" w:val="left"/>
        </w:tabs>
        <w:numPr>
          <w:ilvl w:val="0"/>
          <w:numId w:val="161"/>
        </w:numPr>
        <w:rPr>
          <w:rFonts w:ascii="Arial" w:cs="Arial" w:eastAsia="Arial" w:hAnsi="Arial"/>
          <w:sz w:val="13"/>
          <w:szCs w:val="13"/>
          <w:color w:val="63C4AF"/>
        </w:rPr>
      </w:pPr>
      <w:r>
        <w:rPr>
          <w:rFonts w:ascii="Arial" w:cs="Arial" w:eastAsia="Arial" w:hAnsi="Arial"/>
          <w:sz w:val="13"/>
          <w:szCs w:val="13"/>
          <w:color w:val="auto"/>
        </w:rPr>
        <w:t>Succession planning and retention objectives</w:t>
      </w:r>
    </w:p>
    <w:p>
      <w:pPr>
        <w:spacing w:after="0" w:line="39" w:lineRule="exact"/>
        <w:rPr>
          <w:rFonts w:ascii="Arial" w:cs="Arial" w:eastAsia="Arial" w:hAnsi="Arial"/>
          <w:sz w:val="13"/>
          <w:szCs w:val="13"/>
          <w:color w:val="63C4AF"/>
        </w:rPr>
      </w:pPr>
    </w:p>
    <w:p>
      <w:pPr>
        <w:ind w:left="220" w:hanging="212"/>
        <w:spacing w:after="0"/>
        <w:tabs>
          <w:tab w:leader="none" w:pos="220" w:val="left"/>
        </w:tabs>
        <w:numPr>
          <w:ilvl w:val="0"/>
          <w:numId w:val="161"/>
        </w:numPr>
        <w:rPr>
          <w:rFonts w:ascii="Arial" w:cs="Arial" w:eastAsia="Arial" w:hAnsi="Arial"/>
          <w:sz w:val="13"/>
          <w:szCs w:val="13"/>
          <w:color w:val="63C4AF"/>
        </w:rPr>
      </w:pPr>
      <w:r>
        <w:rPr>
          <w:rFonts w:ascii="Arial" w:cs="Arial" w:eastAsia="Arial" w:hAnsi="Arial"/>
          <w:sz w:val="13"/>
          <w:szCs w:val="13"/>
          <w:color w:val="auto"/>
        </w:rPr>
        <w:t>Current and historical company performance and strategic and financial goals</w:t>
      </w:r>
    </w:p>
    <w:p>
      <w:pPr>
        <w:spacing w:after="0" w:line="26" w:lineRule="exact"/>
        <w:rPr>
          <w:rFonts w:ascii="Arial" w:cs="Arial" w:eastAsia="Arial" w:hAnsi="Arial"/>
          <w:sz w:val="13"/>
          <w:szCs w:val="13"/>
          <w:color w:val="63C4AF"/>
        </w:rPr>
      </w:pPr>
    </w:p>
    <w:p>
      <w:pPr>
        <w:ind w:left="220" w:hanging="212"/>
        <w:spacing w:after="0"/>
        <w:tabs>
          <w:tab w:leader="none" w:pos="220" w:val="left"/>
        </w:tabs>
        <w:numPr>
          <w:ilvl w:val="0"/>
          <w:numId w:val="161"/>
        </w:numPr>
        <w:rPr>
          <w:rFonts w:ascii="Arial" w:cs="Arial" w:eastAsia="Arial" w:hAnsi="Arial"/>
          <w:sz w:val="13"/>
          <w:szCs w:val="13"/>
          <w:color w:val="63C4AF"/>
        </w:rPr>
      </w:pPr>
      <w:r>
        <w:rPr>
          <w:rFonts w:ascii="Arial" w:cs="Arial" w:eastAsia="Arial" w:hAnsi="Arial"/>
          <w:sz w:val="13"/>
          <w:szCs w:val="13"/>
          <w:color w:val="auto"/>
        </w:rPr>
        <w:t>Market performance and general economic conditions</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b w:val="1"/>
          <w:bCs w:val="1"/>
          <w:color w:val="61C4AF"/>
        </w:rPr>
        <w:t>Compensation Consultant</w:t>
      </w:r>
    </w:p>
    <w:p>
      <w:pPr>
        <w:spacing w:after="0" w:line="83" w:lineRule="exact"/>
        <w:rPr>
          <w:sz w:val="20"/>
          <w:szCs w:val="20"/>
          <w:color w:val="auto"/>
        </w:rPr>
      </w:pPr>
    </w:p>
    <w:p>
      <w:pPr>
        <w:ind w:left="240" w:right="340" w:hanging="235"/>
        <w:spacing w:after="0" w:line="258" w:lineRule="auto"/>
        <w:tabs>
          <w:tab w:leader="none" w:pos="217" w:val="left"/>
        </w:tabs>
        <w:numPr>
          <w:ilvl w:val="0"/>
          <w:numId w:val="162"/>
        </w:numPr>
        <w:rPr>
          <w:rFonts w:ascii="Arial" w:cs="Arial" w:eastAsia="Arial" w:hAnsi="Arial"/>
          <w:sz w:val="13"/>
          <w:szCs w:val="13"/>
          <w:color w:val="63C4AF"/>
        </w:rPr>
      </w:pPr>
      <w:r>
        <w:rPr>
          <w:rFonts w:ascii="Arial" w:cs="Arial" w:eastAsia="Arial" w:hAnsi="Arial"/>
          <w:sz w:val="13"/>
          <w:szCs w:val="13"/>
          <w:color w:val="auto"/>
        </w:rPr>
        <w:t>Advice from the Compensation and Talent Committee’s independent compensation consultant</w:t>
      </w:r>
    </w:p>
    <w:p>
      <w:pPr>
        <w:spacing w:after="0" w:line="16" w:lineRule="exact"/>
        <w:rPr>
          <w:rFonts w:ascii="Arial" w:cs="Arial" w:eastAsia="Arial" w:hAnsi="Arial"/>
          <w:sz w:val="13"/>
          <w:szCs w:val="13"/>
          <w:color w:val="63C4AF"/>
        </w:rPr>
      </w:pPr>
    </w:p>
    <w:p>
      <w:pPr>
        <w:ind w:left="240" w:right="820" w:hanging="235"/>
        <w:spacing w:after="0" w:line="258" w:lineRule="auto"/>
        <w:tabs>
          <w:tab w:leader="none" w:pos="217" w:val="left"/>
        </w:tabs>
        <w:numPr>
          <w:ilvl w:val="0"/>
          <w:numId w:val="162"/>
        </w:numPr>
        <w:rPr>
          <w:rFonts w:ascii="Arial" w:cs="Arial" w:eastAsia="Arial" w:hAnsi="Arial"/>
          <w:sz w:val="13"/>
          <w:szCs w:val="13"/>
          <w:color w:val="63C4AF"/>
        </w:rPr>
      </w:pPr>
      <w:r>
        <w:rPr>
          <w:rFonts w:ascii="Arial" w:cs="Arial" w:eastAsia="Arial" w:hAnsi="Arial"/>
          <w:sz w:val="13"/>
          <w:szCs w:val="13"/>
          <w:color w:val="auto"/>
        </w:rPr>
        <w:t>Survey and peer group company market data prepared by the independent compensation consultant</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b w:val="1"/>
          <w:bCs w:val="1"/>
          <w:color w:val="61C4AF"/>
        </w:rPr>
        <w:t>Management</w:t>
      </w:r>
    </w:p>
    <w:p>
      <w:pPr>
        <w:spacing w:after="0" w:line="83" w:lineRule="exact"/>
        <w:rPr>
          <w:sz w:val="20"/>
          <w:szCs w:val="20"/>
          <w:color w:val="auto"/>
        </w:rPr>
      </w:pPr>
    </w:p>
    <w:p>
      <w:pPr>
        <w:ind w:left="240" w:right="560" w:hanging="235"/>
        <w:spacing w:after="0" w:line="258" w:lineRule="auto"/>
        <w:tabs>
          <w:tab w:leader="none" w:pos="217" w:val="left"/>
        </w:tabs>
        <w:numPr>
          <w:ilvl w:val="0"/>
          <w:numId w:val="163"/>
        </w:numPr>
        <w:rPr>
          <w:rFonts w:ascii="Arial" w:cs="Arial" w:eastAsia="Arial" w:hAnsi="Arial"/>
          <w:sz w:val="13"/>
          <w:szCs w:val="13"/>
          <w:color w:val="63C4AF"/>
        </w:rPr>
      </w:pPr>
      <w:r>
        <w:rPr>
          <w:rFonts w:ascii="Arial" w:cs="Arial" w:eastAsia="Arial" w:hAnsi="Arial"/>
          <w:sz w:val="13"/>
          <w:szCs w:val="13"/>
          <w:color w:val="auto"/>
        </w:rPr>
        <w:t>Our Chief Executive Officer’s recommendations for other executive officers (not including our Chief Executive Officer)</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b w:val="1"/>
          <w:bCs w:val="1"/>
          <w:color w:val="61C4AF"/>
        </w:rPr>
        <w:t>Stockholders</w:t>
      </w:r>
    </w:p>
    <w:p>
      <w:pPr>
        <w:spacing w:after="0" w:line="83" w:lineRule="exact"/>
        <w:rPr>
          <w:sz w:val="20"/>
          <w:szCs w:val="20"/>
          <w:color w:val="auto"/>
        </w:rPr>
      </w:pPr>
    </w:p>
    <w:p>
      <w:pPr>
        <w:ind w:left="220" w:hanging="215"/>
        <w:spacing w:after="0"/>
        <w:tabs>
          <w:tab w:leader="none" w:pos="220" w:val="left"/>
        </w:tabs>
        <w:numPr>
          <w:ilvl w:val="0"/>
          <w:numId w:val="164"/>
        </w:numPr>
        <w:rPr>
          <w:rFonts w:ascii="Arial" w:cs="Arial" w:eastAsia="Arial" w:hAnsi="Arial"/>
          <w:sz w:val="13"/>
          <w:szCs w:val="13"/>
          <w:color w:val="63C4AF"/>
        </w:rPr>
      </w:pPr>
      <w:r>
        <w:rPr>
          <w:rFonts w:ascii="Arial" w:cs="Arial" w:eastAsia="Arial" w:hAnsi="Arial"/>
          <w:sz w:val="13"/>
          <w:szCs w:val="13"/>
          <w:color w:val="auto"/>
        </w:rPr>
        <w:t>Feedback received during stockholder engagement</w:t>
      </w:r>
    </w:p>
    <w:p>
      <w:pPr>
        <w:spacing w:after="0" w:line="200" w:lineRule="exact"/>
        <w:rPr>
          <w:sz w:val="20"/>
          <w:szCs w:val="20"/>
          <w:color w:val="auto"/>
        </w:rPr>
      </w:pPr>
    </w:p>
    <w:p>
      <w:pPr>
        <w:sectPr>
          <w:pgSz w:w="11900" w:h="16838" w:orient="portrait"/>
          <w:cols w:equalWidth="0" w:num="2">
            <w:col w:w="5020" w:space="720"/>
            <w:col w:w="5500"/>
          </w:cols>
          <w:pgMar w:left="320" w:top="121" w:right="339" w:bottom="1440" w:gutter="0" w:footer="0" w:header="0"/>
          <w:type w:val="continuous"/>
        </w:sectPr>
      </w:pPr>
    </w:p>
    <w:p>
      <w:pPr>
        <w:spacing w:after="0" w:line="37" w:lineRule="exact"/>
        <w:rPr>
          <w:sz w:val="20"/>
          <w:szCs w:val="20"/>
          <w:color w:val="auto"/>
        </w:rPr>
      </w:pPr>
    </w:p>
    <w:p>
      <w:pPr>
        <w:ind w:left="9160"/>
        <w:spacing w:after="0"/>
        <w:tabs>
          <w:tab w:leader="none" w:pos="11020" w:val="left"/>
        </w:tabs>
        <w:rPr>
          <w:sz w:val="20"/>
          <w:szCs w:val="20"/>
          <w:color w:val="auto"/>
        </w:rPr>
      </w:pPr>
      <w:r>
        <w:rPr>
          <w:rFonts w:ascii="Arial" w:cs="Arial" w:eastAsia="Arial" w:hAnsi="Arial"/>
          <w:sz w:val="13"/>
          <w:szCs w:val="13"/>
          <w:color w:val="23628F"/>
        </w:rPr>
        <w:t>2020 PROXY STATEMENT</w:t>
      </w:r>
      <w:r>
        <w:rPr>
          <w:sz w:val="20"/>
          <w:szCs w:val="20"/>
          <w:color w:val="auto"/>
        </w:rPr>
        <w:tab/>
      </w:r>
      <w:r>
        <w:rPr>
          <w:rFonts w:ascii="Arial" w:cs="Arial" w:eastAsia="Arial" w:hAnsi="Arial"/>
          <w:sz w:val="16"/>
          <w:szCs w:val="16"/>
          <w:b w:val="1"/>
          <w:bCs w:val="1"/>
          <w:color w:val="23628F"/>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153275" cy="209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23628F"/>
        </w:rPr>
        <w:t>COMPENSATION DISCUSSION AND ANALYSIS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23628F"/>
        </w:rPr>
        <w:t>ROLE OF MANAGEMENT</w:t>
      </w:r>
    </w:p>
    <w:p>
      <w:pPr>
        <w:spacing w:after="0" w:line="230" w:lineRule="exact"/>
        <w:rPr>
          <w:sz w:val="20"/>
          <w:szCs w:val="20"/>
          <w:color w:val="auto"/>
        </w:rPr>
      </w:pPr>
    </w:p>
    <w:p>
      <w:pPr>
        <w:ind w:right="40"/>
        <w:spacing w:after="0" w:line="258" w:lineRule="auto"/>
        <w:rPr>
          <w:sz w:val="20"/>
          <w:szCs w:val="20"/>
          <w:color w:val="auto"/>
        </w:rPr>
      </w:pPr>
      <w:r>
        <w:rPr>
          <w:rFonts w:ascii="Arial" w:cs="Arial" w:eastAsia="Arial" w:hAnsi="Arial"/>
          <w:sz w:val="13"/>
          <w:szCs w:val="13"/>
          <w:color w:val="auto"/>
        </w:rPr>
        <w:t>Management assists the Compensation and Talent Committee in the administration of our executive compensation process. No executive participates in decisions regarding his or her own compensation.</w:t>
      </w:r>
    </w:p>
    <w:p>
      <w:pPr>
        <w:spacing w:after="0" w:line="176" w:lineRule="exact"/>
        <w:rPr>
          <w:sz w:val="20"/>
          <w:szCs w:val="20"/>
          <w:color w:val="auto"/>
        </w:rPr>
      </w:pPr>
    </w:p>
    <w:p>
      <w:pPr>
        <w:ind w:right="160"/>
        <w:spacing w:after="0" w:line="261" w:lineRule="auto"/>
        <w:rPr>
          <w:sz w:val="20"/>
          <w:szCs w:val="20"/>
          <w:color w:val="auto"/>
        </w:rPr>
      </w:pPr>
      <w:r>
        <w:rPr>
          <w:rFonts w:ascii="Arial" w:cs="Arial" w:eastAsia="Arial" w:hAnsi="Arial"/>
          <w:sz w:val="13"/>
          <w:szCs w:val="13"/>
          <w:color w:val="auto"/>
        </w:rPr>
        <w:t xml:space="preserve">Our </w:t>
      </w:r>
      <w:r>
        <w:rPr>
          <w:rFonts w:ascii="Arial" w:cs="Arial" w:eastAsia="Arial" w:hAnsi="Arial"/>
          <w:sz w:val="13"/>
          <w:szCs w:val="13"/>
          <w:b w:val="1"/>
          <w:bCs w:val="1"/>
          <w:color w:val="23628F"/>
        </w:rPr>
        <w:t>Chief Executive Officer</w:t>
      </w:r>
      <w:r>
        <w:rPr>
          <w:rFonts w:ascii="Arial" w:cs="Arial" w:eastAsia="Arial" w:hAnsi="Arial"/>
          <w:sz w:val="13"/>
          <w:szCs w:val="13"/>
          <w:color w:val="auto"/>
        </w:rPr>
        <w:t xml:space="preserve"> provides recommendations regarding compensation for his executive officer direct reports for consideration by the Compensation and Talent Committee during its annual review. While the Compensation and Talent Committee considers these recommendations, the Compensation and Talent Committee is solely responsible for making the final decision regarding the compensation of our executive officers.</w:t>
      </w:r>
    </w:p>
    <w:p>
      <w:pPr>
        <w:spacing w:after="0" w:line="174" w:lineRule="exact"/>
        <w:rPr>
          <w:sz w:val="20"/>
          <w:szCs w:val="20"/>
          <w:color w:val="auto"/>
        </w:rPr>
      </w:pPr>
    </w:p>
    <w:p>
      <w:pPr>
        <w:ind w:right="760"/>
        <w:spacing w:after="0" w:line="284" w:lineRule="auto"/>
        <w:rPr>
          <w:sz w:val="20"/>
          <w:szCs w:val="20"/>
          <w:color w:val="auto"/>
        </w:rPr>
      </w:pPr>
      <w:r>
        <w:rPr>
          <w:rFonts w:ascii="Arial" w:cs="Arial" w:eastAsia="Arial" w:hAnsi="Arial"/>
          <w:sz w:val="13"/>
          <w:szCs w:val="13"/>
          <w:color w:val="auto"/>
        </w:rPr>
        <w:t xml:space="preserve">Our </w:t>
      </w:r>
      <w:r>
        <w:rPr>
          <w:rFonts w:ascii="Arial" w:cs="Arial" w:eastAsia="Arial" w:hAnsi="Arial"/>
          <w:sz w:val="13"/>
          <w:szCs w:val="13"/>
          <w:b w:val="1"/>
          <w:bCs w:val="1"/>
          <w:color w:val="23628F"/>
        </w:rPr>
        <w:t>Chief Human Resources Officer</w:t>
      </w:r>
      <w:r>
        <w:rPr>
          <w:rFonts w:ascii="Arial" w:cs="Arial" w:eastAsia="Arial" w:hAnsi="Arial"/>
          <w:sz w:val="13"/>
          <w:szCs w:val="13"/>
          <w:color w:val="auto"/>
        </w:rPr>
        <w:t xml:space="preserve"> or her designee also provides internal and external compensation data to the Compensation and Talent Committee and the independent compensation consultant.</w:t>
      </w:r>
    </w:p>
    <w:p>
      <w:pPr>
        <w:spacing w:after="0" w:line="159" w:lineRule="exact"/>
        <w:rPr>
          <w:sz w:val="20"/>
          <w:szCs w:val="20"/>
          <w:color w:val="auto"/>
        </w:rPr>
      </w:pPr>
    </w:p>
    <w:p>
      <w:pPr>
        <w:spacing w:after="0" w:line="284" w:lineRule="auto"/>
        <w:rPr>
          <w:sz w:val="20"/>
          <w:szCs w:val="20"/>
          <w:color w:val="auto"/>
        </w:rPr>
      </w:pPr>
      <w:r>
        <w:rPr>
          <w:rFonts w:ascii="Arial" w:cs="Arial" w:eastAsia="Arial" w:hAnsi="Arial"/>
          <w:sz w:val="13"/>
          <w:szCs w:val="13"/>
          <w:color w:val="auto"/>
        </w:rPr>
        <w:t xml:space="preserve">Our </w:t>
      </w:r>
      <w:r>
        <w:rPr>
          <w:rFonts w:ascii="Arial" w:cs="Arial" w:eastAsia="Arial" w:hAnsi="Arial"/>
          <w:sz w:val="13"/>
          <w:szCs w:val="13"/>
          <w:b w:val="1"/>
          <w:bCs w:val="1"/>
          <w:color w:val="23628F"/>
        </w:rPr>
        <w:t>Chief Financial Officer</w:t>
      </w:r>
      <w:r>
        <w:rPr>
          <w:rFonts w:ascii="Arial" w:cs="Arial" w:eastAsia="Arial" w:hAnsi="Arial"/>
          <w:sz w:val="13"/>
          <w:szCs w:val="13"/>
          <w:color w:val="auto"/>
        </w:rPr>
        <w:t xml:space="preserve"> or his designee provides input to the Compensation and Talent Committee on the financial targets for our performance-based executive compensation program and presents data regarding the impact of the program on our financial results.</w:t>
      </w:r>
    </w:p>
    <w:p>
      <w:pPr>
        <w:spacing w:after="0" w:line="159" w:lineRule="exact"/>
        <w:rPr>
          <w:sz w:val="20"/>
          <w:szCs w:val="20"/>
          <w:color w:val="auto"/>
        </w:rPr>
      </w:pPr>
    </w:p>
    <w:p>
      <w:pPr>
        <w:ind w:right="220"/>
        <w:spacing w:after="0" w:line="284" w:lineRule="auto"/>
        <w:rPr>
          <w:sz w:val="20"/>
          <w:szCs w:val="20"/>
          <w:color w:val="auto"/>
        </w:rPr>
      </w:pPr>
      <w:r>
        <w:rPr>
          <w:rFonts w:ascii="Arial" w:cs="Arial" w:eastAsia="Arial" w:hAnsi="Arial"/>
          <w:sz w:val="13"/>
          <w:szCs w:val="13"/>
          <w:color w:val="auto"/>
        </w:rPr>
        <w:t xml:space="preserve">Our </w:t>
      </w:r>
      <w:r>
        <w:rPr>
          <w:rFonts w:ascii="Arial" w:cs="Arial" w:eastAsia="Arial" w:hAnsi="Arial"/>
          <w:sz w:val="13"/>
          <w:szCs w:val="13"/>
          <w:b w:val="1"/>
          <w:bCs w:val="1"/>
          <w:color w:val="23628F"/>
        </w:rPr>
        <w:t>Chief Legal Officer</w:t>
      </w:r>
      <w:r>
        <w:rPr>
          <w:rFonts w:ascii="Arial" w:cs="Arial" w:eastAsia="Arial" w:hAnsi="Arial"/>
          <w:sz w:val="13"/>
          <w:szCs w:val="13"/>
          <w:color w:val="auto"/>
        </w:rPr>
        <w:t xml:space="preserve"> or his designee generally assesses and advises the Compensation and Talent Committee regarding legal implications or considerations involving our executive compensation program.</w:t>
      </w:r>
    </w:p>
    <w:p>
      <w:pPr>
        <w:spacing w:after="0" w:line="175" w:lineRule="exact"/>
        <w:rPr>
          <w:sz w:val="20"/>
          <w:szCs w:val="20"/>
          <w:color w:val="auto"/>
        </w:rPr>
      </w:pPr>
    </w:p>
    <w:p>
      <w:pPr>
        <w:ind w:right="80"/>
        <w:spacing w:after="0" w:line="245" w:lineRule="auto"/>
        <w:rPr>
          <w:sz w:val="20"/>
          <w:szCs w:val="20"/>
          <w:color w:val="auto"/>
        </w:rPr>
      </w:pPr>
      <w:r>
        <w:rPr>
          <w:rFonts w:ascii="Arial" w:cs="Arial" w:eastAsia="Arial" w:hAnsi="Arial"/>
          <w:sz w:val="13"/>
          <w:szCs w:val="13"/>
          <w:color w:val="auto"/>
        </w:rPr>
        <w:t>The Compensation and Talent Committee alone is charged with approving the compensation of our Chief Executive Officer, although in determining our Chief Executive Officer’s compensation, the Compensation and Talent Committee confers with other members of our Board of Directors, led by our Chairman of the Board and Lead Independent Director, who also evaluate our Chief Executive Officer’s performance. For a discussion of the process relating to the annual performance evaluation of our Chief Executive Officer, please see the section entitled “Corporate Governance Matters—Board’s Role and Responsibilities—Chief Executive Officer Evaluation and Succession Planning.”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23628F"/>
        </w:rPr>
        <w:t>ROLE OF THE INDEPENDENT COMPENSATION CONSULTANT</w:t>
      </w:r>
    </w:p>
    <w:p>
      <w:pPr>
        <w:spacing w:after="0" w:line="230" w:lineRule="exact"/>
        <w:rPr>
          <w:sz w:val="20"/>
          <w:szCs w:val="20"/>
          <w:color w:val="auto"/>
        </w:rPr>
      </w:pPr>
    </w:p>
    <w:p>
      <w:pPr>
        <w:ind w:right="400"/>
        <w:spacing w:after="0" w:line="258" w:lineRule="auto"/>
        <w:rPr>
          <w:sz w:val="20"/>
          <w:szCs w:val="20"/>
          <w:color w:val="auto"/>
        </w:rPr>
      </w:pPr>
      <w:r>
        <w:rPr>
          <w:rFonts w:ascii="Arial" w:cs="Arial" w:eastAsia="Arial" w:hAnsi="Arial"/>
          <w:sz w:val="13"/>
          <w:szCs w:val="13"/>
          <w:color w:val="auto"/>
        </w:rPr>
        <w:t>The Compensation and Talent Committee retains an independent compensation consultant to provide objective advice and counsel to the Compensation and Talent Committee on all matters related to the compensation of our Board members and executive officers.</w:t>
      </w:r>
    </w:p>
    <w:p>
      <w:pPr>
        <w:spacing w:after="0" w:line="192" w:lineRule="exact"/>
        <w:rPr>
          <w:sz w:val="20"/>
          <w:szCs w:val="20"/>
          <w:color w:val="auto"/>
        </w:rPr>
      </w:pPr>
    </w:p>
    <w:p>
      <w:pPr>
        <w:spacing w:after="0" w:line="248" w:lineRule="auto"/>
        <w:rPr>
          <w:sz w:val="20"/>
          <w:szCs w:val="20"/>
          <w:color w:val="auto"/>
        </w:rPr>
      </w:pPr>
      <w:r>
        <w:rPr>
          <w:rFonts w:ascii="Arial" w:cs="Arial" w:eastAsia="Arial" w:hAnsi="Arial"/>
          <w:sz w:val="13"/>
          <w:szCs w:val="13"/>
          <w:color w:val="auto"/>
        </w:rPr>
        <w:t>For fiscal 2020, the Compensation and Talent Committee retained Willis Towers Watson (“WTW”) as the independent compensation consultant. WTW reported directly to the Compensation and Talent Committee during fiscal 2020. WTW also communicated with management to gather information and review management proposals as needed. WTW attended all regularly scheduled meetings of the Compensation and Talent Committee held during fiscal 2020.</w:t>
      </w:r>
    </w:p>
    <w:p>
      <w:pPr>
        <w:spacing w:after="0" w:line="198" w:lineRule="exact"/>
        <w:rPr>
          <w:sz w:val="20"/>
          <w:szCs w:val="20"/>
          <w:color w:val="auto"/>
        </w:rPr>
      </w:pPr>
    </w:p>
    <w:p>
      <w:pPr>
        <w:spacing w:after="0"/>
        <w:rPr>
          <w:sz w:val="20"/>
          <w:szCs w:val="20"/>
          <w:color w:val="auto"/>
        </w:rPr>
      </w:pPr>
      <w:r>
        <w:rPr>
          <w:rFonts w:ascii="Arial" w:cs="Arial" w:eastAsia="Arial" w:hAnsi="Arial"/>
          <w:sz w:val="13"/>
          <w:szCs w:val="13"/>
          <w:color w:val="auto"/>
        </w:rPr>
        <w:t>The independent compensation consultant’s responsibilities for fiscal 2020 generally included:</w:t>
      </w:r>
    </w:p>
    <w:p>
      <w:pPr>
        <w:spacing w:after="0" w:line="215" w:lineRule="exact"/>
        <w:rPr>
          <w:sz w:val="20"/>
          <w:szCs w:val="20"/>
          <w:color w:val="auto"/>
        </w:rPr>
      </w:pPr>
    </w:p>
    <w:p>
      <w:pPr>
        <w:ind w:left="240" w:hanging="232"/>
        <w:spacing w:after="0"/>
        <w:tabs>
          <w:tab w:leader="none" w:pos="240" w:val="left"/>
        </w:tabs>
        <w:numPr>
          <w:ilvl w:val="0"/>
          <w:numId w:val="165"/>
        </w:numPr>
        <w:rPr>
          <w:rFonts w:ascii="Arial" w:cs="Arial" w:eastAsia="Arial" w:hAnsi="Arial"/>
          <w:sz w:val="13"/>
          <w:szCs w:val="13"/>
          <w:color w:val="61C4AF"/>
        </w:rPr>
      </w:pPr>
      <w:r>
        <w:rPr>
          <w:rFonts w:ascii="Arial" w:cs="Arial" w:eastAsia="Arial" w:hAnsi="Arial"/>
          <w:sz w:val="13"/>
          <w:szCs w:val="13"/>
          <w:color w:val="auto"/>
        </w:rPr>
        <w:t>advising on our new Chief Executive Officer’s compensation arrangement and transition awards;</w:t>
      </w:r>
    </w:p>
    <w:p>
      <w:pPr>
        <w:spacing w:after="0" w:line="66" w:lineRule="exact"/>
        <w:rPr>
          <w:rFonts w:ascii="Arial" w:cs="Arial" w:eastAsia="Arial" w:hAnsi="Arial"/>
          <w:sz w:val="13"/>
          <w:szCs w:val="13"/>
          <w:color w:val="61C4AF"/>
        </w:rPr>
      </w:pPr>
    </w:p>
    <w:p>
      <w:pPr>
        <w:ind w:left="240" w:hanging="232"/>
        <w:spacing w:after="0"/>
        <w:tabs>
          <w:tab w:leader="none" w:pos="240" w:val="left"/>
        </w:tabs>
        <w:numPr>
          <w:ilvl w:val="0"/>
          <w:numId w:val="165"/>
        </w:numPr>
        <w:rPr>
          <w:rFonts w:ascii="Arial" w:cs="Arial" w:eastAsia="Arial" w:hAnsi="Arial"/>
          <w:sz w:val="13"/>
          <w:szCs w:val="13"/>
          <w:color w:val="61C4AF"/>
        </w:rPr>
      </w:pPr>
      <w:r>
        <w:rPr>
          <w:rFonts w:ascii="Arial" w:cs="Arial" w:eastAsia="Arial" w:hAnsi="Arial"/>
          <w:sz w:val="13"/>
          <w:szCs w:val="13"/>
          <w:color w:val="auto"/>
        </w:rPr>
        <w:t>reviewing and advising on executive compensation, including the performance measures to be used under the executive compensation program;</w:t>
      </w:r>
    </w:p>
    <w:p>
      <w:pPr>
        <w:spacing w:after="0" w:line="66" w:lineRule="exact"/>
        <w:rPr>
          <w:rFonts w:ascii="Arial" w:cs="Arial" w:eastAsia="Arial" w:hAnsi="Arial"/>
          <w:sz w:val="13"/>
          <w:szCs w:val="13"/>
          <w:color w:val="61C4AF"/>
        </w:rPr>
      </w:pPr>
    </w:p>
    <w:p>
      <w:pPr>
        <w:ind w:left="240" w:hanging="232"/>
        <w:spacing w:after="0"/>
        <w:tabs>
          <w:tab w:leader="none" w:pos="240" w:val="left"/>
        </w:tabs>
        <w:numPr>
          <w:ilvl w:val="0"/>
          <w:numId w:val="165"/>
        </w:numPr>
        <w:rPr>
          <w:rFonts w:ascii="Arial" w:cs="Arial" w:eastAsia="Arial" w:hAnsi="Arial"/>
          <w:sz w:val="13"/>
          <w:szCs w:val="13"/>
          <w:color w:val="61C4AF"/>
        </w:rPr>
      </w:pPr>
      <w:r>
        <w:rPr>
          <w:rFonts w:ascii="Arial" w:cs="Arial" w:eastAsia="Arial" w:hAnsi="Arial"/>
          <w:sz w:val="13"/>
          <w:szCs w:val="13"/>
          <w:color w:val="auto"/>
        </w:rPr>
        <w:t>providing recommendations regarding the composition and selection of our peer group companies;</w:t>
      </w:r>
    </w:p>
    <w:p>
      <w:pPr>
        <w:spacing w:after="0" w:line="66" w:lineRule="exact"/>
        <w:rPr>
          <w:rFonts w:ascii="Arial" w:cs="Arial" w:eastAsia="Arial" w:hAnsi="Arial"/>
          <w:sz w:val="13"/>
          <w:szCs w:val="13"/>
          <w:color w:val="61C4AF"/>
        </w:rPr>
      </w:pPr>
    </w:p>
    <w:p>
      <w:pPr>
        <w:ind w:left="240" w:hanging="232"/>
        <w:spacing w:after="0"/>
        <w:tabs>
          <w:tab w:leader="none" w:pos="240" w:val="left"/>
        </w:tabs>
        <w:numPr>
          <w:ilvl w:val="0"/>
          <w:numId w:val="165"/>
        </w:numPr>
        <w:rPr>
          <w:rFonts w:ascii="Arial" w:cs="Arial" w:eastAsia="Arial" w:hAnsi="Arial"/>
          <w:sz w:val="13"/>
          <w:szCs w:val="13"/>
          <w:color w:val="61C4AF"/>
        </w:rPr>
      </w:pPr>
      <w:r>
        <w:rPr>
          <w:rFonts w:ascii="Arial" w:cs="Arial" w:eastAsia="Arial" w:hAnsi="Arial"/>
          <w:sz w:val="13"/>
          <w:szCs w:val="13"/>
          <w:color w:val="auto"/>
        </w:rPr>
        <w:t>analyzing pay survey data;</w:t>
      </w:r>
    </w:p>
    <w:p>
      <w:pPr>
        <w:spacing w:after="0" w:line="66" w:lineRule="exact"/>
        <w:rPr>
          <w:rFonts w:ascii="Arial" w:cs="Arial" w:eastAsia="Arial" w:hAnsi="Arial"/>
          <w:sz w:val="13"/>
          <w:szCs w:val="13"/>
          <w:color w:val="61C4AF"/>
        </w:rPr>
      </w:pPr>
    </w:p>
    <w:p>
      <w:pPr>
        <w:ind w:left="240" w:hanging="232"/>
        <w:spacing w:after="0"/>
        <w:tabs>
          <w:tab w:leader="none" w:pos="240" w:val="left"/>
        </w:tabs>
        <w:numPr>
          <w:ilvl w:val="0"/>
          <w:numId w:val="165"/>
        </w:numPr>
        <w:rPr>
          <w:rFonts w:ascii="Arial" w:cs="Arial" w:eastAsia="Arial" w:hAnsi="Arial"/>
          <w:sz w:val="13"/>
          <w:szCs w:val="13"/>
          <w:color w:val="61C4AF"/>
        </w:rPr>
      </w:pPr>
      <w:r>
        <w:rPr>
          <w:rFonts w:ascii="Arial" w:cs="Arial" w:eastAsia="Arial" w:hAnsi="Arial"/>
          <w:sz w:val="13"/>
          <w:szCs w:val="13"/>
          <w:color w:val="auto"/>
        </w:rPr>
        <w:t>providing advice regarding executive compensation practices and trends; and</w:t>
      </w:r>
    </w:p>
    <w:p>
      <w:pPr>
        <w:spacing w:after="0" w:line="66" w:lineRule="exact"/>
        <w:rPr>
          <w:rFonts w:ascii="Arial" w:cs="Arial" w:eastAsia="Arial" w:hAnsi="Arial"/>
          <w:sz w:val="13"/>
          <w:szCs w:val="13"/>
          <w:color w:val="61C4AF"/>
        </w:rPr>
      </w:pPr>
    </w:p>
    <w:p>
      <w:pPr>
        <w:ind w:left="240" w:hanging="232"/>
        <w:spacing w:after="0"/>
        <w:tabs>
          <w:tab w:leader="none" w:pos="240" w:val="left"/>
        </w:tabs>
        <w:numPr>
          <w:ilvl w:val="0"/>
          <w:numId w:val="165"/>
        </w:numPr>
        <w:rPr>
          <w:rFonts w:ascii="Arial" w:cs="Arial" w:eastAsia="Arial" w:hAnsi="Arial"/>
          <w:sz w:val="13"/>
          <w:szCs w:val="13"/>
          <w:color w:val="61C4AF"/>
        </w:rPr>
      </w:pPr>
      <w:r>
        <w:rPr>
          <w:rFonts w:ascii="Arial" w:cs="Arial" w:eastAsia="Arial" w:hAnsi="Arial"/>
          <w:sz w:val="13"/>
          <w:szCs w:val="13"/>
          <w:color w:val="auto"/>
        </w:rPr>
        <w:t>advising on the Compensation and Talent Committee’s charter.</w:t>
      </w:r>
    </w:p>
    <w:p>
      <w:pPr>
        <w:spacing w:after="0" w:line="215" w:lineRule="exact"/>
        <w:rPr>
          <w:sz w:val="20"/>
          <w:szCs w:val="20"/>
          <w:color w:val="auto"/>
        </w:rPr>
      </w:pPr>
    </w:p>
    <w:p>
      <w:pPr>
        <w:ind w:right="140"/>
        <w:spacing w:after="0" w:line="258" w:lineRule="auto"/>
        <w:rPr>
          <w:sz w:val="20"/>
          <w:szCs w:val="20"/>
          <w:color w:val="auto"/>
        </w:rPr>
      </w:pPr>
      <w:r>
        <w:rPr>
          <w:rFonts w:ascii="Arial" w:cs="Arial" w:eastAsia="Arial" w:hAnsi="Arial"/>
          <w:sz w:val="13"/>
          <w:szCs w:val="13"/>
          <w:color w:val="auto"/>
        </w:rPr>
        <w:t>The Compensation and Talent Committee assessed the independence of WTW pursuant to applicable rules and regulations of the SEC and the Nasdaq Stock Market and concluded that the engagement of WTW did not raise any conflicts of interest during fiscal 2020 and currently does not raise any conflicts of interest.</w:t>
      </w:r>
    </w:p>
    <w:p>
      <w:pPr>
        <w:spacing w:after="0" w:line="158"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Comparative Market Data</w:t>
      </w:r>
    </w:p>
    <w:p>
      <w:pPr>
        <w:spacing w:after="0" w:line="257" w:lineRule="exact"/>
        <w:rPr>
          <w:sz w:val="20"/>
          <w:szCs w:val="20"/>
          <w:color w:val="auto"/>
        </w:rPr>
      </w:pPr>
    </w:p>
    <w:p>
      <w:pPr>
        <w:ind w:right="360"/>
        <w:spacing w:after="0" w:line="258" w:lineRule="auto"/>
        <w:rPr>
          <w:sz w:val="20"/>
          <w:szCs w:val="20"/>
          <w:color w:val="auto"/>
        </w:rPr>
      </w:pPr>
      <w:r>
        <w:rPr>
          <w:rFonts w:ascii="Arial" w:cs="Arial" w:eastAsia="Arial" w:hAnsi="Arial"/>
          <w:sz w:val="13"/>
          <w:szCs w:val="13"/>
          <w:color w:val="auto"/>
        </w:rPr>
        <w:t>The Compensation and Talent Committee determines the composition of our peer group and reevaluates this group on an annual basis with input from the independent compensation consultant.</w:t>
      </w:r>
    </w:p>
    <w:p>
      <w:pPr>
        <w:spacing w:after="0" w:line="192" w:lineRule="exact"/>
        <w:rPr>
          <w:sz w:val="20"/>
          <w:szCs w:val="20"/>
          <w:color w:val="auto"/>
        </w:rPr>
      </w:pPr>
    </w:p>
    <w:p>
      <w:pPr>
        <w:spacing w:after="0" w:line="243" w:lineRule="auto"/>
        <w:rPr>
          <w:sz w:val="20"/>
          <w:szCs w:val="20"/>
          <w:color w:val="auto"/>
        </w:rPr>
      </w:pPr>
      <w:r>
        <w:rPr>
          <w:rFonts w:ascii="Arial" w:cs="Arial" w:eastAsia="Arial" w:hAnsi="Arial"/>
          <w:sz w:val="13"/>
          <w:szCs w:val="13"/>
          <w:color w:val="auto"/>
        </w:rPr>
        <w:t>For fiscal 2020, market data was also collected from the Radford Executive Survey, an independently published survey, and WTW’s High-Tech Compensation Survey. The survey data was filtered for high-technology companies and adjusted to screen for revenue size. With input from the independent compensation consultant, the Compensation and Talent Committee uses market data and industry practices during its annual review of the competitiveness of compensation levels and the appropriate mix of compensation elements for our executive officers. This market data provided the Compensation and Talent Committee a reference point, which was one of several factors that it used to make compensation decisions during its fiscal 2020 annual compensation review, as discussed in this section.</w:t>
      </w:r>
    </w:p>
    <w:p>
      <w:pPr>
        <w:spacing w:after="0" w:line="197" w:lineRule="exact"/>
        <w:rPr>
          <w:sz w:val="20"/>
          <w:szCs w:val="20"/>
          <w:color w:val="auto"/>
        </w:rPr>
      </w:pPr>
    </w:p>
    <w:p>
      <w:pPr>
        <w:ind w:left="440" w:hanging="432"/>
        <w:spacing w:after="0"/>
        <w:tabs>
          <w:tab w:leader="none" w:pos="440" w:val="left"/>
        </w:tabs>
        <w:numPr>
          <w:ilvl w:val="0"/>
          <w:numId w:val="166"/>
        </w:numPr>
        <w:rPr>
          <w:rFonts w:ascii="Arial" w:cs="Arial" w:eastAsia="Arial" w:hAnsi="Arial"/>
          <w:sz w:val="18"/>
          <w:szCs w:val="18"/>
          <w:b w:val="1"/>
          <w:bCs w:val="1"/>
          <w:color w:val="23628F"/>
        </w:rPr>
      </w:pPr>
      <w:r>
        <w:rPr>
          <w:rFonts w:ascii="Arial" w:cs="Arial" w:eastAsia="Arial" w:hAnsi="Arial"/>
          <w:sz w:val="13"/>
          <w:szCs w:val="13"/>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153275" cy="209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right"/>
        <w:spacing w:after="0"/>
        <w:rPr>
          <w:sz w:val="20"/>
          <w:szCs w:val="20"/>
          <w:color w:val="auto"/>
        </w:rPr>
      </w:pPr>
      <w:r>
        <w:rPr>
          <w:rFonts w:ascii="Arial" w:cs="Arial" w:eastAsia="Arial" w:hAnsi="Arial"/>
          <w:sz w:val="13"/>
          <w:szCs w:val="13"/>
          <w:color w:val="23628F"/>
        </w:rPr>
        <w:t>COMPENSATION DISCUSSION AND ANALYSIS</w:t>
      </w:r>
    </w:p>
    <w:p>
      <w:pPr>
        <w:spacing w:after="0" w:line="179" w:lineRule="exact"/>
        <w:rPr>
          <w:sz w:val="20"/>
          <w:szCs w:val="20"/>
          <w:color w:val="auto"/>
        </w:rPr>
      </w:pPr>
    </w:p>
    <w:p>
      <w:pPr>
        <w:spacing w:after="0"/>
        <w:rPr>
          <w:sz w:val="20"/>
          <w:szCs w:val="20"/>
          <w:color w:val="auto"/>
        </w:rPr>
      </w:pPr>
      <w:r>
        <w:rPr>
          <w:sz w:val="1"/>
          <w:szCs w:val="1"/>
          <w:color w:val="auto"/>
        </w:rPr>
        <w:drawing>
          <wp:inline distT="0" distB="0" distL="0" distR="0">
            <wp:extent cx="34290" cy="171450"/>
            <wp:effectExtent l="0" t="0" r="0" b="0"/>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4290" cy="171450"/>
                    </a:xfrm>
                    <a:prstGeom prst="rect">
                      <a:avLst/>
                    </a:prstGeom>
                    <a:noFill/>
                    <a:ln>
                      <a:noFill/>
                    </a:ln>
                  </pic:spPr>
                </pic:pic>
              </a:graphicData>
            </a:graphic>
          </wp:inline>
        </w:drawing>
      </w:r>
      <w:r>
        <w:rPr>
          <w:rFonts w:ascii="Arial" w:cs="Arial" w:eastAsia="Arial" w:hAnsi="Arial"/>
          <w:sz w:val="22"/>
          <w:szCs w:val="22"/>
          <w:b w:val="1"/>
          <w:bCs w:val="1"/>
          <w:color w:val="5FC4AF"/>
        </w:rPr>
        <w:t xml:space="preserve"> Fiscal 2020 Peer Group Companies</w:t>
      </w:r>
    </w:p>
    <w:p>
      <w:pPr>
        <w:spacing w:after="0" w:line="205" w:lineRule="exact"/>
        <w:rPr>
          <w:sz w:val="20"/>
          <w:szCs w:val="20"/>
          <w:color w:val="auto"/>
        </w:rPr>
      </w:pPr>
    </w:p>
    <w:p>
      <w:pPr>
        <w:ind w:right="20"/>
        <w:spacing w:after="0" w:line="248" w:lineRule="auto"/>
        <w:rPr>
          <w:sz w:val="20"/>
          <w:szCs w:val="20"/>
          <w:color w:val="auto"/>
        </w:rPr>
      </w:pPr>
      <w:r>
        <w:rPr>
          <w:rFonts w:ascii="Arial" w:cs="Arial" w:eastAsia="Arial" w:hAnsi="Arial"/>
          <w:sz w:val="13"/>
          <w:szCs w:val="13"/>
          <w:color w:val="auto"/>
        </w:rPr>
        <w:t>As reflected in the table below, the peer group for fiscal 2020 consists of technology companies that compete with us for talent and have the size (primarily based on revenue) and business characteristics that we believe are comparable to ours. Most of the companies included in our fiscal 2020 peer group are, like us, included in the Dow Jones U.S. Technology Hardware &amp; Equipment Index, which we selected as the industry index for purposes of the stock performance graph appearing in our 2020 Annual Report on Form 10-K.</w:t>
      </w:r>
    </w:p>
    <w:p>
      <w:pPr>
        <w:spacing w:after="0" w:line="198" w:lineRule="exact"/>
        <w:rPr>
          <w:sz w:val="20"/>
          <w:szCs w:val="20"/>
          <w:color w:val="auto"/>
        </w:rPr>
      </w:pPr>
    </w:p>
    <w:p>
      <w:pPr>
        <w:ind w:right="100"/>
        <w:spacing w:after="0" w:line="243" w:lineRule="auto"/>
        <w:rPr>
          <w:sz w:val="20"/>
          <w:szCs w:val="20"/>
          <w:color w:val="auto"/>
        </w:rPr>
      </w:pPr>
      <w:r>
        <w:rPr>
          <w:rFonts w:ascii="Arial" w:cs="Arial" w:eastAsia="Arial" w:hAnsi="Arial"/>
          <w:sz w:val="13"/>
          <w:szCs w:val="13"/>
          <w:color w:val="auto"/>
        </w:rPr>
        <w:t>In choosing peer group companies, the Compensation and Talent Committee focused primarily on industry, talent market and revenue size. Revenue is a commonly used proxy for organizational size and complexity and is relatively stable from year-to-year, making it a valuable metric when selecting appropriately-sized peers for compensation purposes. As part of its decision process, the Compensation and Talent Committee also references other metrics for informational purposes. However, the Compensation and Talent Committee recognizes that certain of these measures, in particular market capitalization, reflect in part non-operational factors and can be volatile year-to-year for companies in our industry, making these secondary indicators less-stable measures for peer group construction purposes than revenue.</w:t>
      </w:r>
    </w:p>
    <w:p>
      <w:pPr>
        <w:sectPr>
          <w:pgSz w:w="11900" w:h="16838" w:orient="portrait"/>
          <w:cols w:equalWidth="0" w:num="1">
            <w:col w:w="11240"/>
          </w:cols>
          <w:pgMar w:left="320" w:top="121" w:right="339" w:bottom="1440" w:gutter="0" w:footer="0" w:header="0"/>
        </w:sect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68"/>
        </w:trPr>
        <w:tc>
          <w:tcPr>
            <w:tcW w:w="120" w:type="dxa"/>
            <w:vAlign w:val="bottom"/>
            <w:shd w:val="clear" w:color="auto" w:fill="5CA4BB"/>
          </w:tcPr>
          <w:p>
            <w:pPr>
              <w:spacing w:after="0"/>
              <w:rPr>
                <w:sz w:val="5"/>
                <w:szCs w:val="5"/>
                <w:color w:val="auto"/>
              </w:rPr>
            </w:pPr>
          </w:p>
        </w:tc>
        <w:tc>
          <w:tcPr>
            <w:tcW w:w="580" w:type="dxa"/>
            <w:vAlign w:val="bottom"/>
            <w:shd w:val="clear" w:color="auto" w:fill="5CA4BB"/>
          </w:tcPr>
          <w:p>
            <w:pPr>
              <w:spacing w:after="0"/>
              <w:rPr>
                <w:sz w:val="5"/>
                <w:szCs w:val="5"/>
                <w:color w:val="auto"/>
              </w:rPr>
            </w:pPr>
          </w:p>
        </w:tc>
        <w:tc>
          <w:tcPr>
            <w:tcW w:w="2160" w:type="dxa"/>
            <w:vAlign w:val="bottom"/>
          </w:tcPr>
          <w:p>
            <w:pPr>
              <w:spacing w:after="0"/>
              <w:rPr>
                <w:sz w:val="5"/>
                <w:szCs w:val="5"/>
                <w:color w:val="auto"/>
              </w:rPr>
            </w:pPr>
          </w:p>
        </w:tc>
        <w:tc>
          <w:tcPr>
            <w:tcW w:w="2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20" w:type="dxa"/>
            <w:vAlign w:val="bottom"/>
            <w:shd w:val="clear" w:color="auto" w:fill="5CA4BB"/>
          </w:tcPr>
          <w:p>
            <w:pPr>
              <w:spacing w:after="0"/>
              <w:rPr>
                <w:sz w:val="5"/>
                <w:szCs w:val="5"/>
                <w:color w:val="auto"/>
              </w:rPr>
            </w:pPr>
          </w:p>
        </w:tc>
        <w:tc>
          <w:tcPr>
            <w:tcW w:w="580" w:type="dxa"/>
            <w:vAlign w:val="bottom"/>
            <w:shd w:val="clear" w:color="auto" w:fill="5CA4BB"/>
          </w:tcPr>
          <w:p>
            <w:pPr>
              <w:spacing w:after="0"/>
              <w:rPr>
                <w:sz w:val="5"/>
                <w:szCs w:val="5"/>
                <w:color w:val="auto"/>
              </w:rPr>
            </w:pPr>
          </w:p>
        </w:tc>
        <w:tc>
          <w:tcPr>
            <w:tcW w:w="2160" w:type="dxa"/>
            <w:vAlign w:val="bottom"/>
            <w:shd w:val="clear" w:color="auto" w:fill="D5DEE8"/>
          </w:tcPr>
          <w:p>
            <w:pPr>
              <w:spacing w:after="0"/>
              <w:rPr>
                <w:sz w:val="5"/>
                <w:szCs w:val="5"/>
                <w:color w:val="auto"/>
              </w:rPr>
            </w:pPr>
          </w:p>
        </w:tc>
        <w:tc>
          <w:tcPr>
            <w:tcW w:w="2640" w:type="dxa"/>
            <w:vAlign w:val="bottom"/>
            <w:shd w:val="clear" w:color="auto" w:fill="D5DEE8"/>
          </w:tcPr>
          <w:p>
            <w:pPr>
              <w:spacing w:after="0"/>
              <w:rPr>
                <w:sz w:val="5"/>
                <w:szCs w:val="5"/>
                <w:color w:val="auto"/>
              </w:rPr>
            </w:pPr>
          </w:p>
        </w:tc>
        <w:tc>
          <w:tcPr>
            <w:tcW w:w="0" w:type="dxa"/>
            <w:vAlign w:val="bottom"/>
          </w:tcPr>
          <w:p>
            <w:pPr>
              <w:spacing w:after="0"/>
              <w:rPr>
                <w:sz w:val="1"/>
                <w:szCs w:val="1"/>
                <w:color w:val="auto"/>
              </w:rPr>
            </w:pPr>
          </w:p>
        </w:tc>
      </w:tr>
      <w:tr>
        <w:trPr>
          <w:trHeight w:val="269"/>
        </w:trPr>
        <w:tc>
          <w:tcPr>
            <w:tcW w:w="120" w:type="dxa"/>
            <w:vAlign w:val="bottom"/>
            <w:shd w:val="clear" w:color="auto" w:fill="D5DEE8"/>
          </w:tcPr>
          <w:p>
            <w:pPr>
              <w:spacing w:after="0"/>
              <w:rPr>
                <w:sz w:val="23"/>
                <w:szCs w:val="23"/>
                <w:color w:val="auto"/>
              </w:rPr>
            </w:pPr>
          </w:p>
        </w:tc>
        <w:tc>
          <w:tcPr>
            <w:tcW w:w="2740" w:type="dxa"/>
            <w:vAlign w:val="bottom"/>
            <w:gridSpan w:val="2"/>
            <w:shd w:val="clear" w:color="auto" w:fill="D5DEE8"/>
          </w:tcPr>
          <w:p>
            <w:pPr>
              <w:ind w:left="60"/>
              <w:spacing w:after="0"/>
              <w:rPr>
                <w:sz w:val="20"/>
                <w:szCs w:val="20"/>
                <w:color w:val="auto"/>
              </w:rPr>
            </w:pPr>
            <w:r>
              <w:rPr>
                <w:rFonts w:ascii="Arial" w:cs="Arial" w:eastAsia="Arial" w:hAnsi="Arial"/>
                <w:sz w:val="13"/>
                <w:szCs w:val="13"/>
                <w:b w:val="1"/>
                <w:bCs w:val="1"/>
                <w:color w:val="auto"/>
              </w:rPr>
              <w:t>Advanced Micro Devices, Inc.</w:t>
            </w:r>
          </w:p>
        </w:tc>
        <w:tc>
          <w:tcPr>
            <w:tcW w:w="2640" w:type="dxa"/>
            <w:vAlign w:val="bottom"/>
            <w:shd w:val="clear" w:color="auto" w:fill="D5DEE8"/>
          </w:tcPr>
          <w:p>
            <w:pPr>
              <w:ind w:left="60"/>
              <w:spacing w:after="0"/>
              <w:rPr>
                <w:sz w:val="20"/>
                <w:szCs w:val="20"/>
                <w:color w:val="auto"/>
              </w:rPr>
            </w:pPr>
            <w:r>
              <w:rPr>
                <w:rFonts w:ascii="Arial" w:cs="Arial" w:eastAsia="Arial" w:hAnsi="Arial"/>
                <w:sz w:val="13"/>
                <w:szCs w:val="13"/>
                <w:b w:val="1"/>
                <w:bCs w:val="1"/>
                <w:color w:val="auto"/>
              </w:rPr>
              <w:t>LAM Research Corporation</w:t>
            </w:r>
          </w:p>
        </w:tc>
        <w:tc>
          <w:tcPr>
            <w:tcW w:w="0" w:type="dxa"/>
            <w:vAlign w:val="bottom"/>
          </w:tcPr>
          <w:p>
            <w:pPr>
              <w:spacing w:after="0"/>
              <w:rPr>
                <w:sz w:val="1"/>
                <w:szCs w:val="1"/>
                <w:color w:val="auto"/>
              </w:rPr>
            </w:pPr>
          </w:p>
        </w:tc>
      </w:tr>
      <w:tr>
        <w:trPr>
          <w:trHeight w:val="216"/>
        </w:trPr>
        <w:tc>
          <w:tcPr>
            <w:tcW w:w="120" w:type="dxa"/>
            <w:vAlign w:val="bottom"/>
            <w:shd w:val="clear" w:color="auto" w:fill="D5DEE8"/>
          </w:tcPr>
          <w:p>
            <w:pPr>
              <w:spacing w:after="0"/>
              <w:rPr>
                <w:sz w:val="18"/>
                <w:szCs w:val="18"/>
                <w:color w:val="auto"/>
              </w:rPr>
            </w:pPr>
          </w:p>
        </w:tc>
        <w:tc>
          <w:tcPr>
            <w:tcW w:w="2740" w:type="dxa"/>
            <w:vAlign w:val="bottom"/>
            <w:gridSpan w:val="2"/>
            <w:shd w:val="clear" w:color="auto" w:fill="D5DEE8"/>
          </w:tcPr>
          <w:p>
            <w:pPr>
              <w:ind w:left="60"/>
              <w:spacing w:after="0"/>
              <w:rPr>
                <w:sz w:val="20"/>
                <w:szCs w:val="20"/>
                <w:color w:val="auto"/>
              </w:rPr>
            </w:pPr>
            <w:r>
              <w:rPr>
                <w:rFonts w:ascii="Arial" w:cs="Arial" w:eastAsia="Arial" w:hAnsi="Arial"/>
                <w:sz w:val="13"/>
                <w:szCs w:val="13"/>
                <w:b w:val="1"/>
                <w:bCs w:val="1"/>
                <w:color w:val="auto"/>
              </w:rPr>
              <w:t>Applied Materials, Inc.</w:t>
            </w:r>
          </w:p>
        </w:tc>
        <w:tc>
          <w:tcPr>
            <w:tcW w:w="2640" w:type="dxa"/>
            <w:vAlign w:val="bottom"/>
            <w:shd w:val="clear" w:color="auto" w:fill="D5DEE8"/>
          </w:tcPr>
          <w:p>
            <w:pPr>
              <w:ind w:left="60"/>
              <w:spacing w:after="0"/>
              <w:rPr>
                <w:sz w:val="20"/>
                <w:szCs w:val="20"/>
                <w:color w:val="auto"/>
              </w:rPr>
            </w:pPr>
            <w:r>
              <w:rPr>
                <w:rFonts w:ascii="Arial" w:cs="Arial" w:eastAsia="Arial" w:hAnsi="Arial"/>
                <w:sz w:val="13"/>
                <w:szCs w:val="13"/>
                <w:b w:val="1"/>
                <w:bCs w:val="1"/>
                <w:color w:val="auto"/>
              </w:rPr>
              <w:t>Micron Technology, Inc.</w:t>
            </w:r>
          </w:p>
        </w:tc>
        <w:tc>
          <w:tcPr>
            <w:tcW w:w="0" w:type="dxa"/>
            <w:vAlign w:val="bottom"/>
          </w:tcPr>
          <w:p>
            <w:pPr>
              <w:spacing w:after="0"/>
              <w:rPr>
                <w:sz w:val="1"/>
                <w:szCs w:val="1"/>
                <w:color w:val="auto"/>
              </w:rPr>
            </w:pPr>
          </w:p>
        </w:tc>
      </w:tr>
      <w:tr>
        <w:trPr>
          <w:trHeight w:val="230"/>
        </w:trPr>
        <w:tc>
          <w:tcPr>
            <w:tcW w:w="120" w:type="dxa"/>
            <w:vAlign w:val="bottom"/>
            <w:shd w:val="clear" w:color="auto" w:fill="D5DEE8"/>
          </w:tcPr>
          <w:p>
            <w:pPr>
              <w:spacing w:after="0"/>
              <w:rPr>
                <w:sz w:val="19"/>
                <w:szCs w:val="19"/>
                <w:color w:val="auto"/>
              </w:rPr>
            </w:pPr>
          </w:p>
        </w:tc>
        <w:tc>
          <w:tcPr>
            <w:tcW w:w="2740" w:type="dxa"/>
            <w:vAlign w:val="bottom"/>
            <w:gridSpan w:val="2"/>
            <w:shd w:val="clear" w:color="auto" w:fill="D5DEE8"/>
          </w:tcPr>
          <w:p>
            <w:pPr>
              <w:ind w:left="60"/>
              <w:spacing w:after="0"/>
              <w:rPr>
                <w:sz w:val="20"/>
                <w:szCs w:val="20"/>
                <w:color w:val="auto"/>
              </w:rPr>
            </w:pPr>
            <w:r>
              <w:rPr>
                <w:rFonts w:ascii="Arial" w:cs="Arial" w:eastAsia="Arial" w:hAnsi="Arial"/>
                <w:sz w:val="13"/>
                <w:szCs w:val="13"/>
                <w:b w:val="1"/>
                <w:bCs w:val="1"/>
                <w:color w:val="auto"/>
              </w:rPr>
              <w:t>Broadcom Inc.</w:t>
            </w:r>
          </w:p>
        </w:tc>
        <w:tc>
          <w:tcPr>
            <w:tcW w:w="2640" w:type="dxa"/>
            <w:vAlign w:val="bottom"/>
            <w:shd w:val="clear" w:color="auto" w:fill="D5DEE8"/>
          </w:tcPr>
          <w:p>
            <w:pPr>
              <w:ind w:left="60"/>
              <w:spacing w:after="0"/>
              <w:rPr>
                <w:sz w:val="20"/>
                <w:szCs w:val="20"/>
                <w:color w:val="auto"/>
              </w:rPr>
            </w:pPr>
            <w:r>
              <w:rPr>
                <w:rFonts w:ascii="Arial" w:cs="Arial" w:eastAsia="Arial" w:hAnsi="Arial"/>
                <w:sz w:val="13"/>
                <w:szCs w:val="13"/>
                <w:b w:val="1"/>
                <w:bCs w:val="1"/>
                <w:color w:val="auto"/>
              </w:rPr>
              <w:t>Motorola Solutions, Inc.</w:t>
            </w:r>
          </w:p>
        </w:tc>
        <w:tc>
          <w:tcPr>
            <w:tcW w:w="0" w:type="dxa"/>
            <w:vAlign w:val="bottom"/>
          </w:tcPr>
          <w:p>
            <w:pPr>
              <w:spacing w:after="0"/>
              <w:rPr>
                <w:sz w:val="1"/>
                <w:szCs w:val="1"/>
                <w:color w:val="auto"/>
              </w:rPr>
            </w:pPr>
          </w:p>
        </w:tc>
      </w:tr>
      <w:tr>
        <w:trPr>
          <w:trHeight w:val="216"/>
        </w:trPr>
        <w:tc>
          <w:tcPr>
            <w:tcW w:w="120" w:type="dxa"/>
            <w:vAlign w:val="bottom"/>
            <w:shd w:val="clear" w:color="auto" w:fill="D5DEE8"/>
          </w:tcPr>
          <w:p>
            <w:pPr>
              <w:spacing w:after="0"/>
              <w:rPr>
                <w:sz w:val="18"/>
                <w:szCs w:val="18"/>
                <w:color w:val="auto"/>
              </w:rPr>
            </w:pPr>
          </w:p>
        </w:tc>
        <w:tc>
          <w:tcPr>
            <w:tcW w:w="2740" w:type="dxa"/>
            <w:vAlign w:val="bottom"/>
            <w:gridSpan w:val="2"/>
            <w:shd w:val="clear" w:color="auto" w:fill="D5DEE8"/>
          </w:tcPr>
          <w:p>
            <w:pPr>
              <w:ind w:left="60"/>
              <w:spacing w:after="0"/>
              <w:rPr>
                <w:sz w:val="20"/>
                <w:szCs w:val="20"/>
                <w:color w:val="auto"/>
              </w:rPr>
            </w:pPr>
            <w:r>
              <w:rPr>
                <w:rFonts w:ascii="Arial" w:cs="Arial" w:eastAsia="Arial" w:hAnsi="Arial"/>
                <w:sz w:val="13"/>
                <w:szCs w:val="13"/>
                <w:b w:val="1"/>
                <w:bCs w:val="1"/>
                <w:color w:val="auto"/>
              </w:rPr>
              <w:t>Cisco Systems, Inc.</w:t>
            </w:r>
          </w:p>
        </w:tc>
        <w:tc>
          <w:tcPr>
            <w:tcW w:w="2640" w:type="dxa"/>
            <w:vAlign w:val="bottom"/>
            <w:shd w:val="clear" w:color="auto" w:fill="D5DEE8"/>
          </w:tcPr>
          <w:p>
            <w:pPr>
              <w:ind w:left="60"/>
              <w:spacing w:after="0"/>
              <w:rPr>
                <w:sz w:val="20"/>
                <w:szCs w:val="20"/>
                <w:color w:val="auto"/>
              </w:rPr>
            </w:pPr>
            <w:r>
              <w:rPr>
                <w:rFonts w:ascii="Arial" w:cs="Arial" w:eastAsia="Arial" w:hAnsi="Arial"/>
                <w:sz w:val="13"/>
                <w:szCs w:val="13"/>
                <w:b w:val="1"/>
                <w:bCs w:val="1"/>
                <w:color w:val="auto"/>
              </w:rPr>
              <w:t>NVIDIA Corporation</w:t>
            </w:r>
          </w:p>
        </w:tc>
        <w:tc>
          <w:tcPr>
            <w:tcW w:w="0" w:type="dxa"/>
            <w:vAlign w:val="bottom"/>
          </w:tcPr>
          <w:p>
            <w:pPr>
              <w:spacing w:after="0"/>
              <w:rPr>
                <w:sz w:val="1"/>
                <w:szCs w:val="1"/>
                <w:color w:val="auto"/>
              </w:rPr>
            </w:pPr>
          </w:p>
        </w:tc>
      </w:tr>
      <w:tr>
        <w:trPr>
          <w:trHeight w:val="186"/>
        </w:trPr>
        <w:tc>
          <w:tcPr>
            <w:tcW w:w="120" w:type="dxa"/>
            <w:vAlign w:val="bottom"/>
            <w:shd w:val="clear" w:color="auto" w:fill="D5DEE8"/>
          </w:tcPr>
          <w:p>
            <w:pPr>
              <w:spacing w:after="0"/>
              <w:rPr>
                <w:sz w:val="16"/>
                <w:szCs w:val="16"/>
                <w:color w:val="auto"/>
              </w:rPr>
            </w:pPr>
          </w:p>
        </w:tc>
        <w:tc>
          <w:tcPr>
            <w:tcW w:w="2740" w:type="dxa"/>
            <w:vAlign w:val="bottom"/>
            <w:gridSpan w:val="2"/>
            <w:shd w:val="clear" w:color="auto" w:fill="D5DEE8"/>
          </w:tcPr>
          <w:p>
            <w:pPr>
              <w:ind w:left="60"/>
              <w:spacing w:after="0"/>
              <w:rPr>
                <w:sz w:val="20"/>
                <w:szCs w:val="20"/>
                <w:color w:val="auto"/>
              </w:rPr>
            </w:pPr>
            <w:r>
              <w:rPr>
                <w:rFonts w:ascii="Arial" w:cs="Arial" w:eastAsia="Arial" w:hAnsi="Arial"/>
                <w:sz w:val="13"/>
                <w:szCs w:val="13"/>
                <w:b w:val="1"/>
                <w:bCs w:val="1"/>
                <w:color w:val="auto"/>
              </w:rPr>
              <w:t>Hewlett Packard</w:t>
            </w:r>
          </w:p>
        </w:tc>
        <w:tc>
          <w:tcPr>
            <w:tcW w:w="2640" w:type="dxa"/>
            <w:vAlign w:val="bottom"/>
            <w:shd w:val="clear" w:color="auto" w:fill="D5DEE8"/>
          </w:tcPr>
          <w:p>
            <w:pPr>
              <w:ind w:left="60"/>
              <w:spacing w:after="0"/>
              <w:rPr>
                <w:sz w:val="20"/>
                <w:szCs w:val="20"/>
                <w:color w:val="auto"/>
              </w:rPr>
            </w:pPr>
            <w:r>
              <w:rPr>
                <w:rFonts w:ascii="Arial" w:cs="Arial" w:eastAsia="Arial" w:hAnsi="Arial"/>
                <w:sz w:val="13"/>
                <w:szCs w:val="13"/>
                <w:b w:val="1"/>
                <w:bCs w:val="1"/>
                <w:color w:val="auto"/>
              </w:rPr>
              <w:t>QUALCOMM Incorporated</w:t>
            </w:r>
          </w:p>
        </w:tc>
        <w:tc>
          <w:tcPr>
            <w:tcW w:w="0" w:type="dxa"/>
            <w:vAlign w:val="bottom"/>
          </w:tcPr>
          <w:p>
            <w:pPr>
              <w:spacing w:after="0"/>
              <w:rPr>
                <w:sz w:val="1"/>
                <w:szCs w:val="1"/>
                <w:color w:val="auto"/>
              </w:rPr>
            </w:pPr>
          </w:p>
        </w:tc>
      </w:tr>
      <w:tr>
        <w:trPr>
          <w:trHeight w:val="178"/>
        </w:trPr>
        <w:tc>
          <w:tcPr>
            <w:tcW w:w="120" w:type="dxa"/>
            <w:vAlign w:val="bottom"/>
            <w:shd w:val="clear" w:color="auto" w:fill="D5DEE8"/>
          </w:tcPr>
          <w:p>
            <w:pPr>
              <w:spacing w:after="0"/>
              <w:rPr>
                <w:sz w:val="15"/>
                <w:szCs w:val="15"/>
                <w:color w:val="auto"/>
              </w:rPr>
            </w:pPr>
          </w:p>
        </w:tc>
        <w:tc>
          <w:tcPr>
            <w:tcW w:w="2740" w:type="dxa"/>
            <w:vAlign w:val="bottom"/>
            <w:gridSpan w:val="2"/>
            <w:shd w:val="clear" w:color="auto" w:fill="D5DEE8"/>
          </w:tcPr>
          <w:p>
            <w:pPr>
              <w:ind w:left="60"/>
              <w:spacing w:after="0"/>
              <w:rPr>
                <w:sz w:val="20"/>
                <w:szCs w:val="20"/>
                <w:color w:val="auto"/>
              </w:rPr>
            </w:pPr>
            <w:r>
              <w:rPr>
                <w:rFonts w:ascii="Arial" w:cs="Arial" w:eastAsia="Arial" w:hAnsi="Arial"/>
                <w:sz w:val="13"/>
                <w:szCs w:val="13"/>
                <w:b w:val="1"/>
                <w:bCs w:val="1"/>
                <w:color w:val="auto"/>
              </w:rPr>
              <w:t>Enterprise Company</w:t>
            </w:r>
          </w:p>
        </w:tc>
        <w:tc>
          <w:tcPr>
            <w:tcW w:w="2640" w:type="dxa"/>
            <w:vAlign w:val="bottom"/>
            <w:vMerge w:val="restart"/>
            <w:shd w:val="clear" w:color="auto" w:fill="D5DEE8"/>
          </w:tcPr>
          <w:p>
            <w:pPr>
              <w:ind w:left="60"/>
              <w:spacing w:after="0"/>
              <w:rPr>
                <w:sz w:val="20"/>
                <w:szCs w:val="20"/>
                <w:color w:val="auto"/>
              </w:rPr>
            </w:pPr>
            <w:r>
              <w:rPr>
                <w:rFonts w:ascii="Arial" w:cs="Arial" w:eastAsia="Arial" w:hAnsi="Arial"/>
                <w:sz w:val="13"/>
                <w:szCs w:val="13"/>
                <w:b w:val="1"/>
                <w:bCs w:val="1"/>
                <w:color w:val="auto"/>
              </w:rPr>
              <w:t>Seagate Technology plc</w:t>
            </w:r>
          </w:p>
        </w:tc>
        <w:tc>
          <w:tcPr>
            <w:tcW w:w="0" w:type="dxa"/>
            <w:vAlign w:val="bottom"/>
          </w:tcPr>
          <w:p>
            <w:pPr>
              <w:spacing w:after="0"/>
              <w:rPr>
                <w:sz w:val="1"/>
                <w:szCs w:val="1"/>
                <w:color w:val="auto"/>
              </w:rPr>
            </w:pPr>
          </w:p>
        </w:tc>
      </w:tr>
      <w:tr>
        <w:trPr>
          <w:trHeight w:val="81"/>
        </w:trPr>
        <w:tc>
          <w:tcPr>
            <w:tcW w:w="120" w:type="dxa"/>
            <w:vAlign w:val="bottom"/>
            <w:shd w:val="clear" w:color="auto" w:fill="D5DEE8"/>
          </w:tcPr>
          <w:p>
            <w:pPr>
              <w:spacing w:after="0"/>
              <w:rPr>
                <w:sz w:val="7"/>
                <w:szCs w:val="7"/>
                <w:color w:val="auto"/>
              </w:rPr>
            </w:pPr>
          </w:p>
        </w:tc>
        <w:tc>
          <w:tcPr>
            <w:tcW w:w="2740" w:type="dxa"/>
            <w:vAlign w:val="bottom"/>
            <w:gridSpan w:val="2"/>
            <w:vMerge w:val="restart"/>
            <w:shd w:val="clear" w:color="auto" w:fill="D5DEE8"/>
          </w:tcPr>
          <w:p>
            <w:pPr>
              <w:ind w:left="60"/>
              <w:spacing w:after="0"/>
              <w:rPr>
                <w:sz w:val="20"/>
                <w:szCs w:val="20"/>
                <w:color w:val="auto"/>
              </w:rPr>
            </w:pPr>
            <w:r>
              <w:rPr>
                <w:rFonts w:ascii="Arial" w:cs="Arial" w:eastAsia="Arial" w:hAnsi="Arial"/>
                <w:sz w:val="13"/>
                <w:szCs w:val="13"/>
                <w:b w:val="1"/>
                <w:bCs w:val="1"/>
                <w:color w:val="auto"/>
              </w:rPr>
              <w:t>HP Inc.</w:t>
            </w:r>
          </w:p>
        </w:tc>
        <w:tc>
          <w:tcPr>
            <w:tcW w:w="2640" w:type="dxa"/>
            <w:vAlign w:val="bottom"/>
            <w:vMerge w:val="continue"/>
            <w:shd w:val="clear" w:color="auto" w:fill="D5DEE8"/>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20" w:type="dxa"/>
            <w:vAlign w:val="bottom"/>
            <w:shd w:val="clear" w:color="auto" w:fill="D5DEE8"/>
          </w:tcPr>
          <w:p>
            <w:pPr>
              <w:spacing w:after="0"/>
              <w:rPr>
                <w:sz w:val="12"/>
                <w:szCs w:val="12"/>
                <w:color w:val="auto"/>
              </w:rPr>
            </w:pPr>
          </w:p>
        </w:tc>
        <w:tc>
          <w:tcPr>
            <w:tcW w:w="2740" w:type="dxa"/>
            <w:vAlign w:val="bottom"/>
            <w:gridSpan w:val="2"/>
            <w:vMerge w:val="continue"/>
            <w:shd w:val="clear" w:color="auto" w:fill="D5DEE8"/>
          </w:tcPr>
          <w:p>
            <w:pPr>
              <w:spacing w:after="0"/>
              <w:rPr>
                <w:sz w:val="12"/>
                <w:szCs w:val="12"/>
                <w:color w:val="auto"/>
              </w:rPr>
            </w:pPr>
          </w:p>
        </w:tc>
        <w:tc>
          <w:tcPr>
            <w:tcW w:w="2640" w:type="dxa"/>
            <w:vAlign w:val="bottom"/>
            <w:vMerge w:val="restart"/>
            <w:shd w:val="clear" w:color="auto" w:fill="D5DEE8"/>
          </w:tcPr>
          <w:p>
            <w:pPr>
              <w:ind w:left="60"/>
              <w:spacing w:after="0"/>
              <w:rPr>
                <w:sz w:val="20"/>
                <w:szCs w:val="20"/>
                <w:color w:val="auto"/>
              </w:rPr>
            </w:pPr>
            <w:r>
              <w:rPr>
                <w:rFonts w:ascii="Arial" w:cs="Arial" w:eastAsia="Arial" w:hAnsi="Arial"/>
                <w:sz w:val="13"/>
                <w:szCs w:val="13"/>
                <w:b w:val="1"/>
                <w:bCs w:val="1"/>
                <w:color w:val="auto"/>
              </w:rPr>
              <w:t>Texas Instruments Incorporated</w:t>
            </w:r>
          </w:p>
        </w:tc>
        <w:tc>
          <w:tcPr>
            <w:tcW w:w="0" w:type="dxa"/>
            <w:vAlign w:val="bottom"/>
          </w:tcPr>
          <w:p>
            <w:pPr>
              <w:spacing w:after="0"/>
              <w:rPr>
                <w:sz w:val="1"/>
                <w:szCs w:val="1"/>
                <w:color w:val="auto"/>
              </w:rPr>
            </w:pPr>
          </w:p>
        </w:tc>
      </w:tr>
      <w:tr>
        <w:trPr>
          <w:trHeight w:val="68"/>
        </w:trPr>
        <w:tc>
          <w:tcPr>
            <w:tcW w:w="120" w:type="dxa"/>
            <w:vAlign w:val="bottom"/>
            <w:shd w:val="clear" w:color="auto" w:fill="D5DEE8"/>
          </w:tcPr>
          <w:p>
            <w:pPr>
              <w:spacing w:after="0"/>
              <w:rPr>
                <w:sz w:val="5"/>
                <w:szCs w:val="5"/>
                <w:color w:val="auto"/>
              </w:rPr>
            </w:pPr>
          </w:p>
        </w:tc>
        <w:tc>
          <w:tcPr>
            <w:tcW w:w="2740" w:type="dxa"/>
            <w:vAlign w:val="bottom"/>
            <w:gridSpan w:val="2"/>
            <w:vMerge w:val="restart"/>
            <w:shd w:val="clear" w:color="auto" w:fill="D5DEE8"/>
          </w:tcPr>
          <w:p>
            <w:pPr>
              <w:ind w:left="60"/>
              <w:spacing w:after="0"/>
              <w:rPr>
                <w:sz w:val="20"/>
                <w:szCs w:val="20"/>
                <w:color w:val="auto"/>
              </w:rPr>
            </w:pPr>
            <w:r>
              <w:rPr>
                <w:rFonts w:ascii="Arial" w:cs="Arial" w:eastAsia="Arial" w:hAnsi="Arial"/>
                <w:sz w:val="13"/>
                <w:szCs w:val="13"/>
                <w:b w:val="1"/>
                <w:bCs w:val="1"/>
                <w:color w:val="auto"/>
              </w:rPr>
              <w:t>Intel Corporation</w:t>
            </w:r>
          </w:p>
        </w:tc>
        <w:tc>
          <w:tcPr>
            <w:tcW w:w="2640" w:type="dxa"/>
            <w:vAlign w:val="bottom"/>
            <w:vMerge w:val="continue"/>
            <w:shd w:val="clear" w:color="auto" w:fill="D5DEE8"/>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120" w:type="dxa"/>
            <w:vAlign w:val="bottom"/>
            <w:shd w:val="clear" w:color="auto" w:fill="D5DEE8"/>
          </w:tcPr>
          <w:p>
            <w:pPr>
              <w:spacing w:after="0"/>
              <w:rPr>
                <w:sz w:val="11"/>
                <w:szCs w:val="11"/>
                <w:color w:val="auto"/>
              </w:rPr>
            </w:pPr>
          </w:p>
        </w:tc>
        <w:tc>
          <w:tcPr>
            <w:tcW w:w="2740" w:type="dxa"/>
            <w:vAlign w:val="bottom"/>
            <w:gridSpan w:val="2"/>
            <w:vMerge w:val="continue"/>
            <w:shd w:val="clear" w:color="auto" w:fill="D5DEE8"/>
          </w:tcPr>
          <w:p>
            <w:pPr>
              <w:spacing w:after="0"/>
              <w:rPr>
                <w:sz w:val="11"/>
                <w:szCs w:val="11"/>
                <w:color w:val="auto"/>
              </w:rPr>
            </w:pPr>
          </w:p>
        </w:tc>
        <w:tc>
          <w:tcPr>
            <w:tcW w:w="2640" w:type="dxa"/>
            <w:vAlign w:val="bottom"/>
            <w:shd w:val="clear" w:color="auto" w:fill="D5DEE8"/>
          </w:tcPr>
          <w:p>
            <w:pPr>
              <w:spacing w:after="0"/>
              <w:rPr>
                <w:sz w:val="11"/>
                <w:szCs w:val="11"/>
                <w:color w:val="auto"/>
              </w:rPr>
            </w:pPr>
          </w:p>
        </w:tc>
        <w:tc>
          <w:tcPr>
            <w:tcW w:w="0" w:type="dxa"/>
            <w:vAlign w:val="bottom"/>
          </w:tcPr>
          <w:p>
            <w:pPr>
              <w:spacing w:after="0"/>
              <w:rPr>
                <w:sz w:val="1"/>
                <w:szCs w:val="1"/>
                <w:color w:val="auto"/>
              </w:rPr>
            </w:pPr>
          </w:p>
        </w:tc>
      </w:tr>
      <w:tr>
        <w:trPr>
          <w:trHeight w:val="351"/>
        </w:trPr>
        <w:tc>
          <w:tcPr>
            <w:tcW w:w="120" w:type="dxa"/>
            <w:vAlign w:val="bottom"/>
            <w:shd w:val="clear" w:color="auto" w:fill="D5DEE8"/>
          </w:tcPr>
          <w:p>
            <w:pPr>
              <w:spacing w:after="0"/>
              <w:rPr>
                <w:sz w:val="24"/>
                <w:szCs w:val="24"/>
                <w:color w:val="auto"/>
              </w:rPr>
            </w:pPr>
          </w:p>
        </w:tc>
        <w:tc>
          <w:tcPr>
            <w:tcW w:w="580" w:type="dxa"/>
            <w:vAlign w:val="bottom"/>
            <w:shd w:val="clear" w:color="auto" w:fill="D5DEE8"/>
          </w:tcPr>
          <w:p>
            <w:pPr>
              <w:spacing w:after="0"/>
              <w:rPr>
                <w:sz w:val="24"/>
                <w:szCs w:val="24"/>
                <w:color w:val="auto"/>
              </w:rPr>
            </w:pPr>
          </w:p>
        </w:tc>
        <w:tc>
          <w:tcPr>
            <w:tcW w:w="2160" w:type="dxa"/>
            <w:vAlign w:val="bottom"/>
            <w:shd w:val="clear" w:color="auto" w:fill="D5DEE8"/>
          </w:tcPr>
          <w:p>
            <w:pPr>
              <w:spacing w:after="0"/>
              <w:rPr>
                <w:sz w:val="24"/>
                <w:szCs w:val="24"/>
                <w:color w:val="auto"/>
              </w:rPr>
            </w:pPr>
          </w:p>
        </w:tc>
        <w:tc>
          <w:tcPr>
            <w:tcW w:w="2640" w:type="dxa"/>
            <w:vAlign w:val="bottom"/>
            <w:shd w:val="clear" w:color="auto" w:fill="D5DEE8"/>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color w:val="61C4AF"/>
        </w:rPr>
        <w:t>Western Digital Compared to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-149225</wp:posOffset>
            </wp:positionV>
            <wp:extent cx="2477135" cy="1405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477135" cy="1405890"/>
                    </a:xfrm>
                    <a:prstGeom prst="rect">
                      <a:avLst/>
                    </a:prstGeom>
                    <a:noFill/>
                  </pic:spPr>
                </pic:pic>
              </a:graphicData>
            </a:graphic>
          </wp:anchor>
        </w:drawing>
      </w:r>
    </w:p>
    <w:p>
      <w:pPr>
        <w:spacing w:after="0" w:line="2177" w:lineRule="exact"/>
        <w:rPr>
          <w:sz w:val="20"/>
          <w:szCs w:val="20"/>
          <w:color w:val="auto"/>
        </w:rPr>
      </w:pPr>
    </w:p>
    <w:p>
      <w:pPr>
        <w:sectPr>
          <w:pgSz w:w="11900" w:h="16838" w:orient="portrait"/>
          <w:cols w:equalWidth="0" w:num="2">
            <w:col w:w="5500" w:space="400"/>
            <w:col w:w="5340"/>
          </w:cols>
          <w:pgMar w:left="320" w:top="121" w:right="339" w:bottom="1440" w:gutter="0" w:footer="0" w:header="0"/>
          <w:type w:val="continuous"/>
        </w:sectPr>
      </w:pPr>
    </w:p>
    <w:p>
      <w:pPr>
        <w:spacing w:after="0" w:line="150" w:lineRule="exact"/>
        <w:rPr>
          <w:sz w:val="20"/>
          <w:szCs w:val="20"/>
          <w:color w:val="auto"/>
        </w:rPr>
      </w:pPr>
    </w:p>
    <w:p>
      <w:pPr>
        <w:ind w:left="300" w:hanging="292"/>
        <w:spacing w:after="0"/>
        <w:tabs>
          <w:tab w:leader="none" w:pos="300" w:val="left"/>
        </w:tabs>
        <w:numPr>
          <w:ilvl w:val="0"/>
          <w:numId w:val="167"/>
        </w:numPr>
        <w:rPr>
          <w:rFonts w:ascii="Arial" w:cs="Arial" w:eastAsia="Arial" w:hAnsi="Arial"/>
          <w:sz w:val="11"/>
          <w:szCs w:val="11"/>
          <w:color w:val="auto"/>
        </w:rPr>
      </w:pPr>
      <w:r>
        <w:rPr>
          <w:rFonts w:ascii="Arial" w:cs="Arial" w:eastAsia="Arial" w:hAnsi="Arial"/>
          <w:sz w:val="13"/>
          <w:szCs w:val="13"/>
          <w:color w:val="auto"/>
        </w:rPr>
        <w:t>Represents annual revenue for the most recent fiscal year for which data was available through SEC filings as of August 31, 2020.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23628F"/>
        </w:rPr>
        <w:t>PEER GROUP CHANGES FOR FISCAL 2021</w:t>
      </w:r>
    </w:p>
    <w:p>
      <w:pPr>
        <w:spacing w:after="0" w:line="230" w:lineRule="exact"/>
        <w:rPr>
          <w:sz w:val="20"/>
          <w:szCs w:val="20"/>
          <w:color w:val="auto"/>
        </w:rPr>
      </w:pPr>
    </w:p>
    <w:p>
      <w:pPr>
        <w:ind w:right="220"/>
        <w:spacing w:after="0" w:line="245" w:lineRule="auto"/>
        <w:rPr>
          <w:sz w:val="20"/>
          <w:szCs w:val="20"/>
          <w:color w:val="auto"/>
        </w:rPr>
      </w:pPr>
      <w:r>
        <w:rPr>
          <w:rFonts w:ascii="Arial" w:cs="Arial" w:eastAsia="Arial" w:hAnsi="Arial"/>
          <w:sz w:val="13"/>
          <w:szCs w:val="13"/>
          <w:color w:val="auto"/>
        </w:rPr>
        <w:t>During fiscal 2020, following the Compensation and Talent Committee’s annual review of our peer group with the independent compensation consultant and reflecting input from our investors, the Compensation and Talent Committee expanded our peer group to include the three new companies identified below. Each of the added companies had, at the time the Compensation and Talent Committee approved the peer group changes, a market capitalization that was lower than most of our other fiscal 2020 peer group companies but otherwise fit within the primary criteria reviewed by the committee in selecting the peer group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61722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32320" cy="617220"/>
                    </a:xfrm>
                    <a:prstGeom prst="rect">
                      <a:avLst/>
                    </a:prstGeom>
                    <a:noFill/>
                  </pic:spPr>
                </pic:pic>
              </a:graphicData>
            </a:graphic>
          </wp:anchor>
        </w:drawing>
      </w:r>
    </w:p>
    <w:p>
      <w:pPr>
        <w:spacing w:after="0" w:line="220" w:lineRule="exact"/>
        <w:rPr>
          <w:sz w:val="20"/>
          <w:szCs w:val="20"/>
          <w:color w:val="auto"/>
        </w:rPr>
      </w:pPr>
    </w:p>
    <w:p>
      <w:pPr>
        <w:ind w:left="80"/>
        <w:spacing w:after="0"/>
        <w:rPr>
          <w:sz w:val="20"/>
          <w:szCs w:val="20"/>
          <w:color w:val="auto"/>
        </w:rPr>
      </w:pPr>
      <w:r>
        <w:rPr>
          <w:sz w:val="1"/>
          <w:szCs w:val="1"/>
          <w:color w:val="auto"/>
        </w:rPr>
        <w:drawing>
          <wp:inline distT="0" distB="0" distL="0" distR="0">
            <wp:extent cx="120015" cy="111125"/>
            <wp:effectExtent l="0" t="0" r="0" b="0"/>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0015" cy="111125"/>
                    </a:xfrm>
                    <a:prstGeom prst="rect">
                      <a:avLst/>
                    </a:prstGeom>
                    <a:noFill/>
                    <a:ln>
                      <a:noFill/>
                    </a:ln>
                  </pic:spPr>
                </pic:pic>
              </a:graphicData>
            </a:graphic>
          </wp:inline>
        </w:drawing>
      </w:r>
      <w:r>
        <w:rPr>
          <w:rFonts w:ascii="Arial" w:cs="Arial" w:eastAsia="Arial" w:hAnsi="Arial"/>
          <w:sz w:val="13"/>
          <w:szCs w:val="13"/>
          <w:b w:val="1"/>
          <w:bCs w:val="1"/>
          <w:color w:val="61C4AF"/>
        </w:rPr>
        <w:t xml:space="preserve"> ADDED</w:t>
      </w:r>
    </w:p>
    <w:p>
      <w:pPr>
        <w:spacing w:after="0" w:line="53" w:lineRule="exact"/>
        <w:rPr>
          <w:sz w:val="20"/>
          <w:szCs w:val="20"/>
          <w:color w:val="auto"/>
        </w:rPr>
      </w:pPr>
    </w:p>
    <w:p>
      <w:pPr>
        <w:ind w:left="340" w:hanging="211"/>
        <w:spacing w:after="0"/>
        <w:tabs>
          <w:tab w:leader="none" w:pos="340" w:val="left"/>
        </w:tabs>
        <w:numPr>
          <w:ilvl w:val="0"/>
          <w:numId w:val="168"/>
        </w:numPr>
        <w:rPr>
          <w:rFonts w:ascii="Arial" w:cs="Arial" w:eastAsia="Arial" w:hAnsi="Arial"/>
          <w:sz w:val="13"/>
          <w:szCs w:val="13"/>
          <w:color w:val="61C4AF"/>
        </w:rPr>
      </w:pPr>
      <w:r>
        <w:rPr>
          <w:rFonts w:ascii="Arial" w:cs="Arial" w:eastAsia="Arial" w:hAnsi="Arial"/>
          <w:sz w:val="13"/>
          <w:szCs w:val="13"/>
          <w:color w:val="auto"/>
        </w:rPr>
        <w:t>Flex Ltd. based on industry focus and market capitalization</w:t>
      </w:r>
    </w:p>
    <w:p>
      <w:pPr>
        <w:spacing w:after="0" w:line="66" w:lineRule="exact"/>
        <w:rPr>
          <w:rFonts w:ascii="Arial" w:cs="Arial" w:eastAsia="Arial" w:hAnsi="Arial"/>
          <w:sz w:val="13"/>
          <w:szCs w:val="13"/>
          <w:color w:val="61C4AF"/>
        </w:rPr>
      </w:pPr>
    </w:p>
    <w:p>
      <w:pPr>
        <w:ind w:left="340" w:hanging="211"/>
        <w:spacing w:after="0"/>
        <w:tabs>
          <w:tab w:leader="none" w:pos="340" w:val="left"/>
        </w:tabs>
        <w:numPr>
          <w:ilvl w:val="0"/>
          <w:numId w:val="168"/>
        </w:numPr>
        <w:rPr>
          <w:rFonts w:ascii="Arial" w:cs="Arial" w:eastAsia="Arial" w:hAnsi="Arial"/>
          <w:sz w:val="13"/>
          <w:szCs w:val="13"/>
          <w:color w:val="61C4AF"/>
        </w:rPr>
      </w:pPr>
      <w:r>
        <w:rPr>
          <w:rFonts w:ascii="Arial" w:cs="Arial" w:eastAsia="Arial" w:hAnsi="Arial"/>
          <w:sz w:val="13"/>
          <w:szCs w:val="13"/>
          <w:color w:val="auto"/>
        </w:rPr>
        <w:t>NetApp, Inc. based industry focus, revenue and market capitalization</w:t>
      </w:r>
    </w:p>
    <w:p>
      <w:pPr>
        <w:spacing w:after="0" w:line="80" w:lineRule="exact"/>
        <w:rPr>
          <w:rFonts w:ascii="Arial" w:cs="Arial" w:eastAsia="Arial" w:hAnsi="Arial"/>
          <w:sz w:val="13"/>
          <w:szCs w:val="13"/>
          <w:color w:val="61C4AF"/>
        </w:rPr>
      </w:pPr>
    </w:p>
    <w:p>
      <w:pPr>
        <w:ind w:left="340" w:hanging="211"/>
        <w:spacing w:after="0"/>
        <w:tabs>
          <w:tab w:leader="none" w:pos="340" w:val="left"/>
        </w:tabs>
        <w:numPr>
          <w:ilvl w:val="0"/>
          <w:numId w:val="168"/>
        </w:numPr>
        <w:rPr>
          <w:rFonts w:ascii="Arial" w:cs="Arial" w:eastAsia="Arial" w:hAnsi="Arial"/>
          <w:sz w:val="13"/>
          <w:szCs w:val="13"/>
          <w:color w:val="61C4AF"/>
        </w:rPr>
      </w:pPr>
      <w:r>
        <w:rPr>
          <w:rFonts w:ascii="Arial" w:cs="Arial" w:eastAsia="Arial" w:hAnsi="Arial"/>
          <w:sz w:val="13"/>
          <w:szCs w:val="13"/>
          <w:color w:val="auto"/>
        </w:rPr>
        <w:t>ON Semiconductor Corporation based on industry focus, revenue and market capitalization</w:t>
      </w:r>
    </w:p>
    <w:p>
      <w:pPr>
        <w:spacing w:after="0" w:line="27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23628F"/>
        </w:rPr>
        <w:t>2020 PROXY STATEMENT</w:t>
      </w:r>
      <w:r>
        <w:rPr>
          <w:sz w:val="20"/>
          <w:szCs w:val="20"/>
          <w:color w:val="auto"/>
        </w:rPr>
        <w:tab/>
      </w:r>
      <w:r>
        <w:rPr>
          <w:rFonts w:ascii="Arial" w:cs="Arial" w:eastAsia="Arial" w:hAnsi="Arial"/>
          <w:sz w:val="16"/>
          <w:szCs w:val="16"/>
          <w:b w:val="1"/>
          <w:bCs w:val="1"/>
          <w:color w:val="23628F"/>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153275" cy="209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23628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234440" cy="6858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34440" cy="68580"/>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FISCAL 2020 DECISIONS AND OUTCOMES</w:t>
      </w:r>
    </w:p>
    <w:p>
      <w:pPr>
        <w:spacing w:after="0" w:line="219"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Base Salary</w:t>
      </w:r>
    </w:p>
    <w:p>
      <w:pPr>
        <w:spacing w:after="0" w:line="257" w:lineRule="exact"/>
        <w:rPr>
          <w:sz w:val="20"/>
          <w:szCs w:val="20"/>
          <w:color w:val="auto"/>
        </w:rPr>
      </w:pPr>
    </w:p>
    <w:p>
      <w:pPr>
        <w:ind w:right="200"/>
        <w:spacing w:after="0" w:line="243" w:lineRule="auto"/>
        <w:rPr>
          <w:sz w:val="20"/>
          <w:szCs w:val="20"/>
          <w:color w:val="auto"/>
        </w:rPr>
      </w:pPr>
      <w:r>
        <w:rPr>
          <w:rFonts w:ascii="Arial" w:cs="Arial" w:eastAsia="Arial" w:hAnsi="Arial"/>
          <w:sz w:val="13"/>
          <w:szCs w:val="13"/>
          <w:color w:val="auto"/>
        </w:rPr>
        <w:t>The Compensation and Talent Committee approved Mr. Goeckeler’s annual base salary in connection with his appointment as our Chief Executive Officer in March 2020. The Compensation and Talent Committee increased Dr. Sivaram’s base salary in August 2019 to reflect his expanded role following his promotion to President, Technology and Strategy, and increased Mr. Ray’s base salary in connection with the retention arrangement discussed on page 56. In January 2020, the Compensation and Talent Committee approved base salary increases for Mr. Eulau and Ms. Sundberg to reflect the executives’ performance and competitive positioning of their base salaries relative to the market. Each named executive officer’s annualized base salary as in effect at the end of fiscal 2020 is reflected below:</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960" w:type="dxa"/>
            <w:vAlign w:val="bottom"/>
            <w:tcBorders>
              <w:right w:val="single" w:sz="8" w:color="auto"/>
            </w:tcBorders>
          </w:tcPr>
          <w:p>
            <w:pPr>
              <w:spacing w:after="0"/>
              <w:rPr>
                <w:sz w:val="13"/>
                <w:szCs w:val="13"/>
                <w:color w:val="auto"/>
              </w:rPr>
            </w:pPr>
          </w:p>
        </w:tc>
        <w:tc>
          <w:tcPr>
            <w:tcW w:w="130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Base Salary Level</w:t>
            </w:r>
          </w:p>
        </w:tc>
        <w:tc>
          <w:tcPr>
            <w:tcW w:w="980" w:type="dxa"/>
            <w:vAlign w:val="bottom"/>
          </w:tcPr>
          <w:p>
            <w:pPr>
              <w:jc w:val="right"/>
              <w:ind w:right="13"/>
              <w:spacing w:after="0"/>
              <w:rPr>
                <w:sz w:val="20"/>
                <w:szCs w:val="20"/>
                <w:color w:val="auto"/>
              </w:rPr>
            </w:pPr>
            <w:r>
              <w:rPr>
                <w:rFonts w:ascii="Arial" w:cs="Arial" w:eastAsia="Arial" w:hAnsi="Arial"/>
                <w:sz w:val="13"/>
                <w:szCs w:val="13"/>
                <w:b w:val="1"/>
                <w:bCs w:val="1"/>
                <w:color w:val="auto"/>
              </w:rPr>
              <w:t>Change from</w:t>
            </w:r>
          </w:p>
        </w:tc>
      </w:tr>
      <w:tr>
        <w:trPr>
          <w:trHeight w:val="186"/>
        </w:trPr>
        <w:tc>
          <w:tcPr>
            <w:tcW w:w="89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rPr>
              <w:t>Named Executive Officer</w:t>
            </w:r>
          </w:p>
        </w:tc>
        <w:tc>
          <w:tcPr>
            <w:tcW w:w="130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w:t>
            </w: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Fiscal 2019</w:t>
            </w:r>
          </w:p>
        </w:tc>
      </w:tr>
      <w:tr>
        <w:trPr>
          <w:trHeight w:val="196"/>
        </w:trPr>
        <w:tc>
          <w:tcPr>
            <w:tcW w:w="896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23628F"/>
              </w:rPr>
              <w:t>David V. Goeckeler</w:t>
            </w:r>
          </w:p>
        </w:tc>
        <w:tc>
          <w:tcPr>
            <w:tcW w:w="130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1,250,000</w:t>
            </w:r>
          </w:p>
        </w:tc>
        <w:tc>
          <w:tcPr>
            <w:tcW w:w="9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N/A</w:t>
            </w:r>
          </w:p>
        </w:tc>
      </w:tr>
      <w:tr>
        <w:trPr>
          <w:trHeight w:val="196"/>
        </w:trPr>
        <w:tc>
          <w:tcPr>
            <w:tcW w:w="896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23628F"/>
              </w:rPr>
              <w:t>Robert K. Eulau</w:t>
            </w:r>
          </w:p>
        </w:tc>
        <w:tc>
          <w:tcPr>
            <w:tcW w:w="130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715,000</w:t>
            </w:r>
          </w:p>
        </w:tc>
        <w:tc>
          <w:tcPr>
            <w:tcW w:w="9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2%</w:t>
            </w:r>
          </w:p>
        </w:tc>
      </w:tr>
      <w:tr>
        <w:trPr>
          <w:trHeight w:val="196"/>
        </w:trPr>
        <w:tc>
          <w:tcPr>
            <w:tcW w:w="896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23628F"/>
              </w:rPr>
              <w:t>Srinivasan Sivaram</w:t>
            </w:r>
          </w:p>
        </w:tc>
        <w:tc>
          <w:tcPr>
            <w:tcW w:w="130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700,000</w:t>
            </w:r>
          </w:p>
        </w:tc>
        <w:tc>
          <w:tcPr>
            <w:tcW w:w="9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12%</w:t>
            </w:r>
          </w:p>
        </w:tc>
      </w:tr>
      <w:tr>
        <w:trPr>
          <w:trHeight w:val="196"/>
        </w:trPr>
        <w:tc>
          <w:tcPr>
            <w:tcW w:w="896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23628F"/>
              </w:rPr>
              <w:t>Michael C. Ray</w:t>
            </w:r>
          </w:p>
        </w:tc>
        <w:tc>
          <w:tcPr>
            <w:tcW w:w="130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625,000</w:t>
            </w:r>
          </w:p>
        </w:tc>
        <w:tc>
          <w:tcPr>
            <w:tcW w:w="9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9%</w:t>
            </w:r>
          </w:p>
        </w:tc>
      </w:tr>
      <w:tr>
        <w:trPr>
          <w:trHeight w:val="196"/>
        </w:trPr>
        <w:tc>
          <w:tcPr>
            <w:tcW w:w="896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23628F"/>
              </w:rPr>
              <w:t>Lori S. Sundberg</w:t>
            </w:r>
          </w:p>
        </w:tc>
        <w:tc>
          <w:tcPr>
            <w:tcW w:w="130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525,000</w:t>
            </w:r>
          </w:p>
        </w:tc>
        <w:tc>
          <w:tcPr>
            <w:tcW w:w="9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5%</w:t>
            </w:r>
          </w:p>
        </w:tc>
      </w:tr>
      <w:tr>
        <w:trPr>
          <w:trHeight w:val="196"/>
        </w:trPr>
        <w:tc>
          <w:tcPr>
            <w:tcW w:w="896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23628F"/>
              </w:rPr>
              <w:t>Stephen D. Milligan</w:t>
            </w:r>
          </w:p>
        </w:tc>
        <w:tc>
          <w:tcPr>
            <w:tcW w:w="130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1,250,000</w:t>
            </w:r>
          </w:p>
        </w:tc>
        <w:tc>
          <w:tcPr>
            <w:tcW w:w="9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0%</w:t>
            </w:r>
          </w:p>
        </w:tc>
      </w:tr>
      <w:tr>
        <w:trPr>
          <w:trHeight w:val="196"/>
        </w:trPr>
        <w:tc>
          <w:tcPr>
            <w:tcW w:w="896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23628F"/>
              </w:rPr>
              <w:t>Michael D. Cordano</w:t>
            </w:r>
          </w:p>
        </w:tc>
        <w:tc>
          <w:tcPr>
            <w:tcW w:w="130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800,000</w:t>
            </w:r>
          </w:p>
        </w:tc>
        <w:tc>
          <w:tcPr>
            <w:tcW w:w="9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0%</w:t>
            </w:r>
          </w:p>
        </w:tc>
      </w:tr>
    </w:tbl>
    <w:p>
      <w:pPr>
        <w:spacing w:after="0" w:line="182"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Short-Term Incentives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23628F"/>
        </w:rPr>
        <w:t>TARGET INCENTIVE LEVEL OPPORTUNITIES</w:t>
      </w:r>
    </w:p>
    <w:p>
      <w:pPr>
        <w:spacing w:after="0" w:line="230" w:lineRule="exact"/>
        <w:rPr>
          <w:sz w:val="20"/>
          <w:szCs w:val="20"/>
          <w:color w:val="auto"/>
        </w:rPr>
      </w:pPr>
    </w:p>
    <w:p>
      <w:pPr>
        <w:ind w:right="180"/>
        <w:spacing w:after="0" w:line="248" w:lineRule="auto"/>
        <w:rPr>
          <w:sz w:val="20"/>
          <w:szCs w:val="20"/>
          <w:color w:val="auto"/>
        </w:rPr>
      </w:pPr>
      <w:r>
        <w:rPr>
          <w:rFonts w:ascii="Arial" w:cs="Arial" w:eastAsia="Arial" w:hAnsi="Arial"/>
          <w:sz w:val="13"/>
          <w:szCs w:val="13"/>
          <w:color w:val="auto"/>
        </w:rPr>
        <w:t>The Compensation and Talent Committee approved Mr. Goeckeler’s target annual STI level in connection with his appointment as our Chief Executive Officer in March 2020. For our remaining named executive officers, the Compensation and Talent Committee concluded that target STI levels for fiscal 2019 remained appropriate and, as a result, no adjustments were made to their target incentive levels for fiscal 2020. Each named executive officer’s target STI opportunity for fiscal 2020 is reflected below:</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120" w:type="dxa"/>
            <w:vAlign w:val="bottom"/>
            <w:tcBorders>
              <w:right w:val="single" w:sz="8" w:color="auto"/>
            </w:tcBorders>
          </w:tcPr>
          <w:p>
            <w:pPr>
              <w:spacing w:after="0"/>
              <w:rPr>
                <w:sz w:val="13"/>
                <w:szCs w:val="13"/>
                <w:color w:val="auto"/>
              </w:rPr>
            </w:pPr>
          </w:p>
        </w:tc>
        <w:tc>
          <w:tcPr>
            <w:tcW w:w="214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Annual Target</w:t>
            </w:r>
          </w:p>
        </w:tc>
        <w:tc>
          <w:tcPr>
            <w:tcW w:w="980" w:type="dxa"/>
            <w:vAlign w:val="bottom"/>
          </w:tcPr>
          <w:p>
            <w:pPr>
              <w:spacing w:after="0"/>
              <w:rPr>
                <w:sz w:val="13"/>
                <w:szCs w:val="13"/>
                <w:color w:val="auto"/>
              </w:rPr>
            </w:pPr>
          </w:p>
        </w:tc>
      </w:tr>
      <w:tr>
        <w:trPr>
          <w:trHeight w:val="149"/>
        </w:trPr>
        <w:tc>
          <w:tcPr>
            <w:tcW w:w="8120" w:type="dxa"/>
            <w:vAlign w:val="bottom"/>
            <w:tcBorders>
              <w:right w:val="single" w:sz="8" w:color="auto"/>
            </w:tcBorders>
          </w:tcPr>
          <w:p>
            <w:pPr>
              <w:spacing w:after="0"/>
              <w:rPr>
                <w:sz w:val="12"/>
                <w:szCs w:val="12"/>
                <w:color w:val="auto"/>
              </w:rPr>
            </w:pPr>
          </w:p>
        </w:tc>
        <w:tc>
          <w:tcPr>
            <w:tcW w:w="214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Incentive Opportunity</w:t>
            </w:r>
          </w:p>
        </w:tc>
        <w:tc>
          <w:tcPr>
            <w:tcW w:w="980" w:type="dxa"/>
            <w:vAlign w:val="bottom"/>
          </w:tcPr>
          <w:p>
            <w:pPr>
              <w:jc w:val="right"/>
              <w:ind w:right="13"/>
              <w:spacing w:after="0"/>
              <w:rPr>
                <w:sz w:val="20"/>
                <w:szCs w:val="20"/>
                <w:color w:val="auto"/>
              </w:rPr>
            </w:pPr>
            <w:r>
              <w:rPr>
                <w:rFonts w:ascii="Arial" w:cs="Arial" w:eastAsia="Arial" w:hAnsi="Arial"/>
                <w:sz w:val="13"/>
                <w:szCs w:val="13"/>
                <w:b w:val="1"/>
                <w:bCs w:val="1"/>
                <w:color w:val="auto"/>
              </w:rPr>
              <w:t>Change from</w:t>
            </w:r>
          </w:p>
        </w:tc>
      </w:tr>
      <w:tr>
        <w:trPr>
          <w:trHeight w:val="186"/>
        </w:trPr>
        <w:tc>
          <w:tcPr>
            <w:tcW w:w="81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rPr>
              <w:t>Named Executive Officer</w:t>
            </w:r>
          </w:p>
        </w:tc>
        <w:tc>
          <w:tcPr>
            <w:tcW w:w="214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(as Percentage of Base Salary)</w:t>
            </w: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Fiscal 2019</w:t>
            </w:r>
          </w:p>
        </w:tc>
      </w:tr>
      <w:tr>
        <w:trPr>
          <w:trHeight w:val="196"/>
        </w:trPr>
        <w:tc>
          <w:tcPr>
            <w:tcW w:w="812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23628F"/>
              </w:rPr>
              <w:t>David V. Goeckeler</w:t>
            </w:r>
          </w:p>
        </w:tc>
        <w:tc>
          <w:tcPr>
            <w:tcW w:w="214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175%</w:t>
            </w:r>
          </w:p>
        </w:tc>
        <w:tc>
          <w:tcPr>
            <w:tcW w:w="9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N/A</w:t>
            </w:r>
          </w:p>
        </w:tc>
      </w:tr>
      <w:tr>
        <w:trPr>
          <w:trHeight w:val="196"/>
        </w:trPr>
        <w:tc>
          <w:tcPr>
            <w:tcW w:w="812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23628F"/>
              </w:rPr>
              <w:t>Robert K. Eulau</w:t>
            </w:r>
          </w:p>
        </w:tc>
        <w:tc>
          <w:tcPr>
            <w:tcW w:w="214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110%</w:t>
            </w:r>
          </w:p>
        </w:tc>
        <w:tc>
          <w:tcPr>
            <w:tcW w:w="9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0%</w:t>
            </w:r>
          </w:p>
        </w:tc>
      </w:tr>
      <w:tr>
        <w:trPr>
          <w:trHeight w:val="196"/>
        </w:trPr>
        <w:tc>
          <w:tcPr>
            <w:tcW w:w="812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23628F"/>
              </w:rPr>
              <w:t>Srinivasan Sivaram</w:t>
            </w:r>
          </w:p>
        </w:tc>
        <w:tc>
          <w:tcPr>
            <w:tcW w:w="214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110%</w:t>
            </w:r>
          </w:p>
        </w:tc>
        <w:tc>
          <w:tcPr>
            <w:tcW w:w="9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0%</w:t>
            </w:r>
          </w:p>
        </w:tc>
      </w:tr>
      <w:tr>
        <w:trPr>
          <w:trHeight w:val="196"/>
        </w:trPr>
        <w:tc>
          <w:tcPr>
            <w:tcW w:w="812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23628F"/>
              </w:rPr>
              <w:t>Michael C. Ray</w:t>
            </w:r>
          </w:p>
        </w:tc>
        <w:tc>
          <w:tcPr>
            <w:tcW w:w="214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85%</w:t>
            </w:r>
          </w:p>
        </w:tc>
        <w:tc>
          <w:tcPr>
            <w:tcW w:w="9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0%</w:t>
            </w:r>
          </w:p>
        </w:tc>
      </w:tr>
      <w:tr>
        <w:trPr>
          <w:trHeight w:val="196"/>
        </w:trPr>
        <w:tc>
          <w:tcPr>
            <w:tcW w:w="812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23628F"/>
              </w:rPr>
              <w:t>Lori S. Sundberg</w:t>
            </w:r>
          </w:p>
        </w:tc>
        <w:tc>
          <w:tcPr>
            <w:tcW w:w="214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85%</w:t>
            </w:r>
          </w:p>
        </w:tc>
        <w:tc>
          <w:tcPr>
            <w:tcW w:w="9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0%</w:t>
            </w:r>
          </w:p>
        </w:tc>
      </w:tr>
      <w:tr>
        <w:trPr>
          <w:trHeight w:val="196"/>
        </w:trPr>
        <w:tc>
          <w:tcPr>
            <w:tcW w:w="812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23628F"/>
              </w:rPr>
              <w:t>Stephen D. Milligan</w:t>
            </w:r>
          </w:p>
        </w:tc>
        <w:tc>
          <w:tcPr>
            <w:tcW w:w="214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150%</w:t>
            </w:r>
          </w:p>
        </w:tc>
        <w:tc>
          <w:tcPr>
            <w:tcW w:w="9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0%</w:t>
            </w:r>
          </w:p>
        </w:tc>
      </w:tr>
      <w:tr>
        <w:trPr>
          <w:trHeight w:val="196"/>
        </w:trPr>
        <w:tc>
          <w:tcPr>
            <w:tcW w:w="812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23628F"/>
              </w:rPr>
              <w:t>Michael D. Cordano</w:t>
            </w:r>
          </w:p>
        </w:tc>
        <w:tc>
          <w:tcPr>
            <w:tcW w:w="214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125%</w:t>
            </w:r>
          </w:p>
        </w:tc>
        <w:tc>
          <w:tcPr>
            <w:tcW w:w="9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0%</w:t>
            </w:r>
          </w:p>
        </w:tc>
      </w:tr>
    </w:tbl>
    <w:p>
      <w:pPr>
        <w:spacing w:after="0" w:line="211" w:lineRule="exact"/>
        <w:rPr>
          <w:sz w:val="20"/>
          <w:szCs w:val="20"/>
          <w:color w:val="auto"/>
        </w:rPr>
      </w:pPr>
    </w:p>
    <w:p>
      <w:pPr>
        <w:ind w:left="440" w:hanging="432"/>
        <w:spacing w:after="0"/>
        <w:tabs>
          <w:tab w:leader="none" w:pos="440" w:val="left"/>
        </w:tabs>
        <w:numPr>
          <w:ilvl w:val="0"/>
          <w:numId w:val="169"/>
        </w:numPr>
        <w:rPr>
          <w:rFonts w:ascii="Arial" w:cs="Arial" w:eastAsia="Arial" w:hAnsi="Arial"/>
          <w:sz w:val="18"/>
          <w:szCs w:val="18"/>
          <w:b w:val="1"/>
          <w:bCs w:val="1"/>
          <w:color w:val="23628F"/>
        </w:rPr>
      </w:pPr>
      <w:r>
        <w:rPr>
          <w:rFonts w:ascii="Arial" w:cs="Arial" w:eastAsia="Arial" w:hAnsi="Arial"/>
          <w:sz w:val="13"/>
          <w:szCs w:val="13"/>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153275" cy="209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right"/>
        <w:spacing w:after="0"/>
        <w:rPr>
          <w:sz w:val="20"/>
          <w:szCs w:val="20"/>
          <w:color w:val="auto"/>
        </w:rPr>
      </w:pPr>
      <w:r>
        <w:rPr>
          <w:rFonts w:ascii="Arial" w:cs="Arial" w:eastAsia="Arial" w:hAnsi="Arial"/>
          <w:sz w:val="13"/>
          <w:szCs w:val="13"/>
          <w:color w:val="23628F"/>
        </w:rPr>
        <w:t>COMPENSATION DISCUSSION AND ANALYSIS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23628F"/>
        </w:rPr>
        <w:t>FISCAL 2020 STI GOAL SETTING</w:t>
      </w:r>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auto"/>
        </w:rPr>
        <w:t>In setting the target non-GAAP net income performance level our fiscal 2020 STI plan, the Compensation and Talent Committee considered the following factors:</w:t>
      </w:r>
    </w:p>
    <w:p>
      <w:pPr>
        <w:spacing w:after="0" w:line="215" w:lineRule="exact"/>
        <w:rPr>
          <w:sz w:val="20"/>
          <w:szCs w:val="20"/>
          <w:color w:val="auto"/>
        </w:rPr>
      </w:pPr>
    </w:p>
    <w:p>
      <w:pPr>
        <w:ind w:left="240" w:right="460" w:hanging="232"/>
        <w:spacing w:after="0" w:line="258" w:lineRule="auto"/>
        <w:tabs>
          <w:tab w:leader="none" w:pos="240" w:val="left"/>
        </w:tabs>
        <w:numPr>
          <w:ilvl w:val="0"/>
          <w:numId w:val="170"/>
        </w:numPr>
        <w:rPr>
          <w:rFonts w:ascii="Arial" w:cs="Arial" w:eastAsia="Arial" w:hAnsi="Arial"/>
          <w:sz w:val="13"/>
          <w:szCs w:val="13"/>
          <w:color w:val="61C4AF"/>
        </w:rPr>
      </w:pPr>
      <w:r>
        <w:rPr>
          <w:rFonts w:ascii="Arial" w:cs="Arial" w:eastAsia="Arial" w:hAnsi="Arial"/>
          <w:sz w:val="13"/>
          <w:szCs w:val="13"/>
          <w:color w:val="auto"/>
        </w:rPr>
        <w:t>The reduction in flash pricing during fiscal 2019 dramatically impacted our non-GAAP net income throughout the fiscal year, with fourth quarter fiscal 2019 non-GAAP net income performance that was less than 6% of our first quarter fiscal 2019 non-GAAP net income performance (see table below)</w:t>
      </w:r>
    </w:p>
    <w:p>
      <w:pPr>
        <w:spacing w:after="0" w:line="43" w:lineRule="exact"/>
        <w:rPr>
          <w:rFonts w:ascii="Arial" w:cs="Arial" w:eastAsia="Arial" w:hAnsi="Arial"/>
          <w:sz w:val="13"/>
          <w:szCs w:val="13"/>
          <w:color w:val="61C4AF"/>
        </w:rPr>
      </w:pPr>
    </w:p>
    <w:p>
      <w:pPr>
        <w:ind w:left="240" w:right="300" w:hanging="232"/>
        <w:spacing w:after="0" w:line="258" w:lineRule="auto"/>
        <w:tabs>
          <w:tab w:leader="none" w:pos="240" w:val="left"/>
        </w:tabs>
        <w:numPr>
          <w:ilvl w:val="0"/>
          <w:numId w:val="170"/>
        </w:numPr>
        <w:rPr>
          <w:rFonts w:ascii="Arial" w:cs="Arial" w:eastAsia="Arial" w:hAnsi="Arial"/>
          <w:sz w:val="13"/>
          <w:szCs w:val="13"/>
          <w:color w:val="61C4AF"/>
        </w:rPr>
      </w:pPr>
      <w:r>
        <w:rPr>
          <w:rFonts w:ascii="Arial" w:cs="Arial" w:eastAsia="Arial" w:hAnsi="Arial"/>
          <w:sz w:val="13"/>
          <w:szCs w:val="13"/>
          <w:color w:val="auto"/>
        </w:rPr>
        <w:t>In the first quarter of fiscal 2020, when the fiscal 2020 STI target was established, management believed that the flash market had reached its cyclical trough and that pricing would improve through fiscal 2020</w:t>
      </w:r>
    </w:p>
    <w:p>
      <w:pPr>
        <w:spacing w:after="0" w:line="43" w:lineRule="exact"/>
        <w:rPr>
          <w:rFonts w:ascii="Arial" w:cs="Arial" w:eastAsia="Arial" w:hAnsi="Arial"/>
          <w:sz w:val="13"/>
          <w:szCs w:val="13"/>
          <w:color w:val="61C4AF"/>
        </w:rPr>
      </w:pPr>
    </w:p>
    <w:p>
      <w:pPr>
        <w:ind w:left="240" w:hanging="232"/>
        <w:spacing w:after="0"/>
        <w:tabs>
          <w:tab w:leader="none" w:pos="240" w:val="left"/>
        </w:tabs>
        <w:numPr>
          <w:ilvl w:val="0"/>
          <w:numId w:val="170"/>
        </w:numPr>
        <w:rPr>
          <w:rFonts w:ascii="Arial" w:cs="Arial" w:eastAsia="Arial" w:hAnsi="Arial"/>
          <w:sz w:val="13"/>
          <w:szCs w:val="13"/>
          <w:color w:val="61C4AF"/>
        </w:rPr>
      </w:pPr>
      <w:r>
        <w:rPr>
          <w:rFonts w:ascii="Arial" w:cs="Arial" w:eastAsia="Arial" w:hAnsi="Arial"/>
          <w:sz w:val="13"/>
          <w:szCs w:val="13"/>
          <w:color w:val="auto"/>
        </w:rPr>
        <w:t>Even with a favorable view of fiscal 2020 flash pricing improvement, management did not foresee an immediate rebound in pricing to the levels seen in the first half of fiscal 2019</w:t>
      </w:r>
    </w:p>
    <w:p>
      <w:pPr>
        <w:spacing w:after="0" w:line="66" w:lineRule="exact"/>
        <w:rPr>
          <w:rFonts w:ascii="Arial" w:cs="Arial" w:eastAsia="Arial" w:hAnsi="Arial"/>
          <w:sz w:val="13"/>
          <w:szCs w:val="13"/>
          <w:color w:val="61C4AF"/>
        </w:rPr>
      </w:pPr>
    </w:p>
    <w:p>
      <w:pPr>
        <w:ind w:left="240" w:right="160" w:hanging="232"/>
        <w:spacing w:after="0" w:line="258" w:lineRule="auto"/>
        <w:tabs>
          <w:tab w:leader="none" w:pos="240" w:val="left"/>
        </w:tabs>
        <w:numPr>
          <w:ilvl w:val="0"/>
          <w:numId w:val="170"/>
        </w:numPr>
        <w:rPr>
          <w:rFonts w:ascii="Arial" w:cs="Arial" w:eastAsia="Arial" w:hAnsi="Arial"/>
          <w:sz w:val="13"/>
          <w:szCs w:val="13"/>
          <w:color w:val="61C4AF"/>
        </w:rPr>
      </w:pPr>
      <w:r>
        <w:rPr>
          <w:rFonts w:ascii="Arial" w:cs="Arial" w:eastAsia="Arial" w:hAnsi="Arial"/>
          <w:sz w:val="13"/>
          <w:szCs w:val="13"/>
          <w:color w:val="auto"/>
        </w:rPr>
        <w:t>In the first quarter of fiscal 2020, we faced market uncertainties given that the U.S. Commerce Department’s Bureau of Industry and Security prohibited shipping of certain products to entities within China and our customers moved some of their sourcing requirements to international competitors, reducing demand for some of our products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Non-GAAP Net Income ($, in millions)</w:t>
      </w:r>
      <w:r>
        <w:rPr>
          <w:rFonts w:ascii="Arial" w:cs="Arial" w:eastAsia="Arial" w:hAnsi="Arial"/>
          <w:sz w:val="22"/>
          <w:szCs w:val="22"/>
          <w:b w:val="1"/>
          <w:bCs w:val="1"/>
          <w:color w:val="auto"/>
          <w:vertAlign w:val="superscript"/>
        </w:rPr>
        <w:t>(1)</w:t>
      </w:r>
    </w:p>
    <w:tbl>
      <w:tblPr>
        <w:tblLayout w:type="fixed"/>
        <w:tblInd w:w="2260" w:type="dxa"/>
        <w:tblCellMar>
          <w:top w:w="0" w:type="dxa"/>
          <w:left w:w="0" w:type="dxa"/>
          <w:bottom w:w="0" w:type="dxa"/>
          <w:right w:w="0" w:type="dxa"/>
        </w:tblCellMar>
      </w:tblPr>
      <w:tr>
        <w:trPr>
          <w:trHeight w:val="152"/>
        </w:trPr>
        <w:tc>
          <w:tcPr>
            <w:tcW w:w="1360" w:type="dxa"/>
            <w:vAlign w:val="bottom"/>
            <w:tcBorders>
              <w:top w:val="single" w:sz="8" w:color="auto"/>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First Quarter</w:t>
            </w:r>
          </w:p>
        </w:tc>
        <w:tc>
          <w:tcPr>
            <w:tcW w:w="1340" w:type="dxa"/>
            <w:vAlign w:val="bottom"/>
            <w:tcBorders>
              <w:top w:val="single" w:sz="8" w:color="auto"/>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Second Quarter</w:t>
            </w:r>
          </w:p>
        </w:tc>
        <w:tc>
          <w:tcPr>
            <w:tcW w:w="1360" w:type="dxa"/>
            <w:vAlign w:val="bottom"/>
            <w:tcBorders>
              <w:top w:val="single" w:sz="8" w:color="auto"/>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Third Quarter</w:t>
            </w:r>
          </w:p>
        </w:tc>
        <w:tc>
          <w:tcPr>
            <w:tcW w:w="1340" w:type="dxa"/>
            <w:vAlign w:val="bottom"/>
            <w:tcBorders>
              <w:top w:val="single" w:sz="8" w:color="auto"/>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Fourth Quarter</w:t>
            </w: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Fiscal 2019</w:t>
            </w:r>
          </w:p>
        </w:tc>
      </w:tr>
      <w:tr>
        <w:trPr>
          <w:trHeight w:val="186"/>
        </w:trPr>
        <w:tc>
          <w:tcPr>
            <w:tcW w:w="136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Fiscal 2019</w:t>
            </w:r>
          </w:p>
        </w:tc>
        <w:tc>
          <w:tcPr>
            <w:tcW w:w="134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Fiscal 2019</w:t>
            </w:r>
          </w:p>
        </w:tc>
        <w:tc>
          <w:tcPr>
            <w:tcW w:w="136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Fiscal 2019</w:t>
            </w:r>
          </w:p>
        </w:tc>
        <w:tc>
          <w:tcPr>
            <w:tcW w:w="134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Fiscal 2019</w:t>
            </w:r>
          </w:p>
        </w:tc>
        <w:tc>
          <w:tcPr>
            <w:tcW w:w="13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Total</w:t>
            </w:r>
          </w:p>
        </w:tc>
      </w:tr>
      <w:tr>
        <w:trPr>
          <w:trHeight w:val="196"/>
        </w:trPr>
        <w:tc>
          <w:tcPr>
            <w:tcW w:w="13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906</w:t>
            </w:r>
          </w:p>
        </w:tc>
        <w:tc>
          <w:tcPr>
            <w:tcW w:w="134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424</w:t>
            </w:r>
          </w:p>
        </w:tc>
        <w:tc>
          <w:tcPr>
            <w:tcW w:w="13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49</w:t>
            </w:r>
          </w:p>
        </w:tc>
        <w:tc>
          <w:tcPr>
            <w:tcW w:w="134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50</w:t>
            </w:r>
          </w:p>
        </w:tc>
        <w:tc>
          <w:tcPr>
            <w:tcW w:w="134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1,429</w:t>
            </w:r>
          </w:p>
        </w:tc>
      </w:tr>
    </w:tbl>
    <w:p>
      <w:pPr>
        <w:spacing w:after="0" w:line="107" w:lineRule="exact"/>
        <w:rPr>
          <w:sz w:val="20"/>
          <w:szCs w:val="20"/>
          <w:color w:val="auto"/>
        </w:rPr>
      </w:pPr>
    </w:p>
    <w:p>
      <w:pPr>
        <w:ind w:left="300" w:hanging="292"/>
        <w:spacing w:after="0"/>
        <w:tabs>
          <w:tab w:leader="none" w:pos="300" w:val="left"/>
        </w:tabs>
        <w:numPr>
          <w:ilvl w:val="0"/>
          <w:numId w:val="171"/>
        </w:numPr>
        <w:rPr>
          <w:rFonts w:ascii="Arial" w:cs="Arial" w:eastAsia="Arial" w:hAnsi="Arial"/>
          <w:sz w:val="11"/>
          <w:szCs w:val="11"/>
          <w:color w:val="auto"/>
        </w:rPr>
      </w:pPr>
      <w:r>
        <w:rPr>
          <w:rFonts w:ascii="Arial" w:cs="Arial" w:eastAsia="Arial" w:hAnsi="Arial"/>
          <w:sz w:val="13"/>
          <w:szCs w:val="13"/>
          <w:color w:val="auto"/>
        </w:rPr>
        <w:t>See Appendix A to this Proxy Statement for a reconciliation of GAAP net income to non-GAAP net income.</w:t>
      </w:r>
    </w:p>
    <w:p>
      <w:pPr>
        <w:spacing w:after="0" w:line="229" w:lineRule="exact"/>
        <w:rPr>
          <w:sz w:val="20"/>
          <w:szCs w:val="20"/>
          <w:color w:val="auto"/>
        </w:rPr>
      </w:pPr>
    </w:p>
    <w:p>
      <w:pPr>
        <w:jc w:val="both"/>
        <w:ind w:right="80"/>
        <w:spacing w:after="0" w:line="245" w:lineRule="auto"/>
        <w:rPr>
          <w:sz w:val="20"/>
          <w:szCs w:val="20"/>
          <w:color w:val="auto"/>
        </w:rPr>
      </w:pPr>
      <w:r>
        <w:rPr>
          <w:rFonts w:ascii="Arial" w:cs="Arial" w:eastAsia="Arial" w:hAnsi="Arial"/>
          <w:sz w:val="13"/>
          <w:szCs w:val="13"/>
          <w:color w:val="auto"/>
        </w:rPr>
        <w:t>After accounting for these factors, the Compensation and Talent Committee approved a fiscal 2020 non-GAAP net income target of $599 million for the STI plan. Recognizing that the STI non-GAAP net income target for fiscal 2020 was lower than our fiscal 2019 non-GAAP net income performance level, the Compensation and Talent Committee extended the performance range above target to make it harder for executives to receive a maximum payout. The fiscal 2019 STI design required performance at 130% of target for executives to receive a maximum payout while the fiscal 2020 STI design required performance at 150% of target for maximum payout.</w:t>
      </w:r>
    </w:p>
    <w:p>
      <w:pPr>
        <w:spacing w:after="0" w:line="164" w:lineRule="exact"/>
        <w:rPr>
          <w:sz w:val="20"/>
          <w:szCs w:val="20"/>
          <w:color w:val="auto"/>
        </w:rPr>
      </w:pPr>
    </w:p>
    <w:p>
      <w:pPr>
        <w:spacing w:after="0"/>
        <w:rPr>
          <w:sz w:val="20"/>
          <w:szCs w:val="20"/>
          <w:color w:val="auto"/>
        </w:rPr>
      </w:pPr>
      <w:r>
        <w:rPr>
          <w:sz w:val="1"/>
          <w:szCs w:val="1"/>
          <w:color w:val="auto"/>
        </w:rPr>
        <w:drawing>
          <wp:inline distT="0" distB="0" distL="0" distR="0">
            <wp:extent cx="34290" cy="171450"/>
            <wp:effectExtent l="0" t="0" r="0" b="0"/>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4290" cy="171450"/>
                    </a:xfrm>
                    <a:prstGeom prst="rect">
                      <a:avLst/>
                    </a:prstGeom>
                    <a:noFill/>
                    <a:ln>
                      <a:noFill/>
                    </a:ln>
                  </pic:spPr>
                </pic:pic>
              </a:graphicData>
            </a:graphic>
          </wp:inline>
        </w:drawing>
      </w:r>
      <w:r>
        <w:rPr>
          <w:rFonts w:ascii="Arial" w:cs="Arial" w:eastAsia="Arial" w:hAnsi="Arial"/>
          <w:sz w:val="22"/>
          <w:szCs w:val="22"/>
          <w:b w:val="1"/>
          <w:bCs w:val="1"/>
          <w:color w:val="5FC4AF"/>
        </w:rPr>
        <w:t xml:space="preserve"> Fiscal 2019 STI Versus Fiscal 2020 STI Performance Curves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130810</wp:posOffset>
            </wp:positionV>
            <wp:extent cx="3145790" cy="185991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145790" cy="185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9220"/>
        <w:spacing w:after="0"/>
        <w:tabs>
          <w:tab w:leader="none" w:pos="11020" w:val="left"/>
        </w:tabs>
        <w:rPr>
          <w:sz w:val="20"/>
          <w:szCs w:val="20"/>
          <w:color w:val="auto"/>
        </w:rPr>
      </w:pPr>
      <w:r>
        <w:rPr>
          <w:rFonts w:ascii="Arial" w:cs="Arial" w:eastAsia="Arial" w:hAnsi="Arial"/>
          <w:sz w:val="13"/>
          <w:szCs w:val="13"/>
          <w:color w:val="23628F"/>
        </w:rPr>
        <w:t>2020 PROXY STATEMENT</w:t>
      </w:r>
      <w:r>
        <w:rPr>
          <w:sz w:val="20"/>
          <w:szCs w:val="20"/>
          <w:color w:val="auto"/>
        </w:rPr>
        <w:tab/>
      </w:r>
      <w:r>
        <w:rPr>
          <w:rFonts w:ascii="Arial" w:cs="Arial" w:eastAsia="Arial" w:hAnsi="Arial"/>
          <w:sz w:val="16"/>
          <w:szCs w:val="16"/>
          <w:b w:val="1"/>
          <w:bCs w:val="1"/>
          <w:color w:val="23628F"/>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153275" cy="215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23628F"/>
        </w:rPr>
        <w:t>COMPENSATION DISCUSSION AND ANALYSIS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23628F"/>
        </w:rPr>
        <w:t>FISCAL 2020 STI ACHIEVEMENT AND PAYOUTS</w:t>
      </w:r>
    </w:p>
    <w:p>
      <w:pPr>
        <w:spacing w:after="0" w:line="230" w:lineRule="exact"/>
        <w:rPr>
          <w:sz w:val="20"/>
          <w:szCs w:val="20"/>
          <w:color w:val="auto"/>
        </w:rPr>
      </w:pPr>
    </w:p>
    <w:p>
      <w:pPr>
        <w:ind w:right="140"/>
        <w:spacing w:after="0" w:line="245" w:lineRule="auto"/>
        <w:rPr>
          <w:sz w:val="20"/>
          <w:szCs w:val="20"/>
          <w:color w:val="auto"/>
        </w:rPr>
      </w:pPr>
      <w:r>
        <w:rPr>
          <w:rFonts w:ascii="Arial" w:cs="Arial" w:eastAsia="Arial" w:hAnsi="Arial"/>
          <w:sz w:val="13"/>
          <w:szCs w:val="13"/>
          <w:color w:val="auto"/>
        </w:rPr>
        <w:t>Our non-GAAP net income achievement under our fiscal 2020 STI plan was $882 million, which was 147% of target performance; the payout rate at this level of performance would have been 194% of target. Given our fiscal 2020 financial performance in the context of market conditions and considering the STI plan had a lower performance target in fiscal 2020 relative to fiscal 2019, our Chief Executive Officer recommended that the Compensation and Talent Committee cap the fiscal 2020 STI payouts for our executives at 100% of target. The Compensation and Talent Committee agreed with this recommendation and approved payouts under the plan at 100% of target, in the amounts below.</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24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Non-GAAP</w:t>
            </w:r>
          </w:p>
        </w:tc>
        <w:tc>
          <w:tcPr>
            <w:tcW w:w="122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Target STI</w:t>
            </w:r>
          </w:p>
        </w:tc>
        <w:tc>
          <w:tcPr>
            <w:tcW w:w="800" w:type="dxa"/>
            <w:vAlign w:val="bottom"/>
          </w:tcPr>
          <w:p>
            <w:pPr>
              <w:jc w:val="right"/>
              <w:ind w:right="13"/>
              <w:spacing w:after="0"/>
              <w:rPr>
                <w:sz w:val="20"/>
                <w:szCs w:val="20"/>
                <w:color w:val="auto"/>
              </w:rPr>
            </w:pPr>
            <w:r>
              <w:rPr>
                <w:rFonts w:ascii="Arial" w:cs="Arial" w:eastAsia="Arial" w:hAnsi="Arial"/>
                <w:sz w:val="13"/>
                <w:szCs w:val="13"/>
                <w:b w:val="1"/>
                <w:bCs w:val="1"/>
                <w:color w:val="auto"/>
              </w:rPr>
              <w:t>Actual STI</w:t>
            </w:r>
          </w:p>
        </w:tc>
        <w:tc>
          <w:tcPr>
            <w:tcW w:w="0" w:type="dxa"/>
            <w:vAlign w:val="bottom"/>
          </w:tcPr>
          <w:p>
            <w:pPr>
              <w:spacing w:after="0"/>
              <w:rPr>
                <w:sz w:val="1"/>
                <w:szCs w:val="1"/>
                <w:color w:val="auto"/>
              </w:rPr>
            </w:pPr>
          </w:p>
        </w:tc>
      </w:tr>
      <w:tr>
        <w:trPr>
          <w:trHeight w:val="149"/>
        </w:trPr>
        <w:tc>
          <w:tcPr>
            <w:tcW w:w="524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Net Income</w:t>
            </w:r>
          </w:p>
        </w:tc>
        <w:tc>
          <w:tcPr>
            <w:tcW w:w="1220" w:type="dxa"/>
            <w:vAlign w:val="bottom"/>
            <w:tcBorders>
              <w:right w:val="single" w:sz="8" w:color="auto"/>
            </w:tcBorders>
            <w:vMerge w:val="restart"/>
          </w:tcPr>
          <w:p>
            <w:pPr>
              <w:jc w:val="right"/>
              <w:ind w:right="33"/>
              <w:spacing w:after="0"/>
              <w:rPr>
                <w:sz w:val="20"/>
                <w:szCs w:val="20"/>
                <w:color w:val="auto"/>
              </w:rPr>
            </w:pPr>
            <w:r>
              <w:rPr>
                <w:rFonts w:ascii="Arial" w:cs="Arial" w:eastAsia="Arial" w:hAnsi="Arial"/>
                <w:sz w:val="13"/>
                <w:szCs w:val="13"/>
                <w:b w:val="1"/>
                <w:bCs w:val="1"/>
                <w:color w:val="auto"/>
              </w:rPr>
              <w:t>Achievement</w:t>
            </w:r>
          </w:p>
        </w:tc>
        <w:tc>
          <w:tcPr>
            <w:tcW w:w="1000" w:type="dxa"/>
            <w:vAlign w:val="bottom"/>
            <w:tcBorders>
              <w:right w:val="single" w:sz="8" w:color="auto"/>
            </w:tcBorders>
          </w:tcPr>
          <w:p>
            <w:pPr>
              <w:jc w:val="center"/>
              <w:ind w:left="473"/>
              <w:spacing w:after="0"/>
              <w:rPr>
                <w:sz w:val="20"/>
                <w:szCs w:val="20"/>
                <w:color w:val="auto"/>
              </w:rPr>
            </w:pPr>
            <w:r>
              <w:rPr>
                <w:rFonts w:ascii="Arial" w:cs="Arial" w:eastAsia="Arial" w:hAnsi="Arial"/>
                <w:sz w:val="13"/>
                <w:szCs w:val="13"/>
                <w:b w:val="1"/>
                <w:bCs w:val="1"/>
                <w:color w:val="auto"/>
              </w:rPr>
              <w:t>Plan</w:t>
            </w:r>
          </w:p>
        </w:tc>
        <w:tc>
          <w:tcPr>
            <w:tcW w:w="66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Capped</w:t>
            </w:r>
          </w:p>
        </w:tc>
        <w:tc>
          <w:tcPr>
            <w:tcW w:w="124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Opportunity</w:t>
            </w:r>
          </w:p>
        </w:tc>
        <w:tc>
          <w:tcPr>
            <w:tcW w:w="800" w:type="dxa"/>
            <w:vAlign w:val="bottom"/>
          </w:tcPr>
          <w:p>
            <w:pPr>
              <w:jc w:val="right"/>
              <w:ind w:right="13"/>
              <w:spacing w:after="0"/>
              <w:rPr>
                <w:sz w:val="20"/>
                <w:szCs w:val="20"/>
                <w:color w:val="auto"/>
              </w:rPr>
            </w:pPr>
            <w:r>
              <w:rPr>
                <w:rFonts w:ascii="Arial" w:cs="Arial" w:eastAsia="Arial" w:hAnsi="Arial"/>
                <w:sz w:val="13"/>
                <w:szCs w:val="13"/>
                <w:b w:val="1"/>
                <w:bCs w:val="1"/>
                <w:color w:val="auto"/>
              </w:rPr>
              <w:t>Payout</w:t>
            </w:r>
          </w:p>
        </w:tc>
        <w:tc>
          <w:tcPr>
            <w:tcW w:w="0" w:type="dxa"/>
            <w:vAlign w:val="bottom"/>
          </w:tcPr>
          <w:p>
            <w:pPr>
              <w:spacing w:after="0"/>
              <w:rPr>
                <w:sz w:val="1"/>
                <w:szCs w:val="1"/>
                <w:color w:val="auto"/>
              </w:rPr>
            </w:pPr>
          </w:p>
        </w:tc>
      </w:tr>
      <w:tr>
        <w:trPr>
          <w:trHeight w:val="138"/>
        </w:trPr>
        <w:tc>
          <w:tcPr>
            <w:tcW w:w="524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jc w:val="right"/>
              <w:ind w:right="33"/>
              <w:spacing w:after="0" w:line="138" w:lineRule="exact"/>
              <w:rPr>
                <w:sz w:val="20"/>
                <w:szCs w:val="20"/>
                <w:color w:val="auto"/>
              </w:rPr>
            </w:pPr>
            <w:r>
              <w:rPr>
                <w:rFonts w:ascii="Arial" w:cs="Arial" w:eastAsia="Arial" w:hAnsi="Arial"/>
                <w:sz w:val="13"/>
                <w:szCs w:val="13"/>
                <w:b w:val="1"/>
                <w:bCs w:val="1"/>
                <w:color w:val="auto"/>
              </w:rPr>
              <w:t>Target (100%)</w:t>
            </w:r>
          </w:p>
        </w:tc>
        <w:tc>
          <w:tcPr>
            <w:tcW w:w="1220" w:type="dxa"/>
            <w:vAlign w:val="bottom"/>
            <w:tcBorders>
              <w:right w:val="single" w:sz="8" w:color="auto"/>
            </w:tcBorders>
            <w:vMerge w:val="continue"/>
          </w:tcPr>
          <w:p>
            <w:pPr>
              <w:spacing w:after="0"/>
              <w:rPr>
                <w:sz w:val="12"/>
                <w:szCs w:val="12"/>
                <w:color w:val="auto"/>
              </w:rPr>
            </w:pPr>
          </w:p>
        </w:tc>
        <w:tc>
          <w:tcPr>
            <w:tcW w:w="1000" w:type="dxa"/>
            <w:vAlign w:val="bottom"/>
            <w:tcBorders>
              <w:right w:val="single" w:sz="8" w:color="auto"/>
            </w:tcBorders>
          </w:tcPr>
          <w:p>
            <w:pPr>
              <w:ind w:left="80"/>
              <w:spacing w:after="0" w:line="138" w:lineRule="exact"/>
              <w:rPr>
                <w:sz w:val="20"/>
                <w:szCs w:val="20"/>
                <w:color w:val="auto"/>
              </w:rPr>
            </w:pPr>
            <w:r>
              <w:rPr>
                <w:rFonts w:ascii="Arial" w:cs="Arial" w:eastAsia="Arial" w:hAnsi="Arial"/>
                <w:sz w:val="13"/>
                <w:szCs w:val="13"/>
                <w:b w:val="1"/>
                <w:bCs w:val="1"/>
                <w:color w:val="auto"/>
              </w:rPr>
              <w:t>Achievement</w:t>
            </w:r>
          </w:p>
        </w:tc>
        <w:tc>
          <w:tcPr>
            <w:tcW w:w="660" w:type="dxa"/>
            <w:vAlign w:val="bottom"/>
            <w:tcBorders>
              <w:right w:val="single" w:sz="8" w:color="auto"/>
            </w:tcBorders>
          </w:tcPr>
          <w:p>
            <w:pPr>
              <w:jc w:val="right"/>
              <w:ind w:right="13"/>
              <w:spacing w:after="0" w:line="138" w:lineRule="exact"/>
              <w:rPr>
                <w:sz w:val="20"/>
                <w:szCs w:val="20"/>
                <w:color w:val="auto"/>
              </w:rPr>
            </w:pPr>
            <w:r>
              <w:rPr>
                <w:rFonts w:ascii="Arial" w:cs="Arial" w:eastAsia="Arial" w:hAnsi="Arial"/>
                <w:sz w:val="13"/>
                <w:szCs w:val="13"/>
                <w:b w:val="1"/>
                <w:bCs w:val="1"/>
                <w:color w:val="auto"/>
              </w:rPr>
              <w:t>Payout</w:t>
            </w:r>
          </w:p>
        </w:tc>
        <w:tc>
          <w:tcPr>
            <w:tcW w:w="1240" w:type="dxa"/>
            <w:vAlign w:val="bottom"/>
            <w:tcBorders>
              <w:right w:val="single" w:sz="8" w:color="auto"/>
            </w:tcBorders>
          </w:tcPr>
          <w:p>
            <w:pPr>
              <w:jc w:val="right"/>
              <w:ind w:right="33"/>
              <w:spacing w:after="0" w:line="138" w:lineRule="exact"/>
              <w:rPr>
                <w:sz w:val="20"/>
                <w:szCs w:val="20"/>
                <w:color w:val="auto"/>
              </w:rPr>
            </w:pPr>
            <w:r>
              <w:rPr>
                <w:rFonts w:ascii="Arial" w:cs="Arial" w:eastAsia="Arial" w:hAnsi="Arial"/>
                <w:sz w:val="13"/>
                <w:szCs w:val="13"/>
                <w:b w:val="1"/>
                <w:bCs w:val="1"/>
                <w:color w:val="auto"/>
              </w:rPr>
              <w:t>(as a percentage</w:t>
            </w:r>
          </w:p>
        </w:tc>
        <w:tc>
          <w:tcPr>
            <w:tcW w:w="800" w:type="dxa"/>
            <w:vAlign w:val="bottom"/>
          </w:tcPr>
          <w:p>
            <w:pPr>
              <w:jc w:val="right"/>
              <w:ind w:right="13"/>
              <w:spacing w:after="0" w:line="138" w:lineRule="exact"/>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203"/>
        </w:trPr>
        <w:tc>
          <w:tcPr>
            <w:tcW w:w="5240" w:type="dxa"/>
            <w:vAlign w:val="bottom"/>
            <w:tcBorders>
              <w:bottom w:val="single" w:sz="8" w:color="auto"/>
              <w:right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 in millions)</w:t>
            </w:r>
          </w:p>
        </w:tc>
        <w:tc>
          <w:tcPr>
            <w:tcW w:w="1220" w:type="dxa"/>
            <w:vAlign w:val="bottom"/>
            <w:tcBorders>
              <w:bottom w:val="single" w:sz="8" w:color="auto"/>
              <w:right w:val="single" w:sz="8" w:color="auto"/>
            </w:tcBorders>
          </w:tcPr>
          <w:p>
            <w:pPr>
              <w:jc w:val="right"/>
              <w:ind w:right="33"/>
              <w:spacing w:after="0" w:line="203" w:lineRule="exact"/>
              <w:rPr>
                <w:sz w:val="20"/>
                <w:szCs w:val="20"/>
                <w:color w:val="auto"/>
              </w:rPr>
            </w:pPr>
            <w:r>
              <w:rPr>
                <w:rFonts w:ascii="Arial" w:cs="Arial" w:eastAsia="Arial" w:hAnsi="Arial"/>
                <w:sz w:val="13"/>
                <w:szCs w:val="13"/>
                <w:b w:val="1"/>
                <w:bCs w:val="1"/>
                <w:color w:val="auto"/>
              </w:rPr>
              <w:t>($, in millions)</w:t>
            </w:r>
            <w:r>
              <w:rPr>
                <w:rFonts w:ascii="Arial" w:cs="Arial" w:eastAsia="Arial" w:hAnsi="Arial"/>
                <w:sz w:val="22"/>
                <w:szCs w:val="22"/>
                <w:b w:val="1"/>
                <w:bCs w:val="1"/>
                <w:color w:val="auto"/>
                <w:vertAlign w:val="superscript"/>
              </w:rPr>
              <w:t>(1)</w:t>
            </w:r>
          </w:p>
        </w:tc>
        <w:tc>
          <w:tcPr>
            <w:tcW w:w="1000" w:type="dxa"/>
            <w:vAlign w:val="bottom"/>
            <w:tcBorders>
              <w:bottom w:val="single" w:sz="8" w:color="auto"/>
              <w:right w:val="single" w:sz="8" w:color="auto"/>
            </w:tcBorders>
          </w:tcPr>
          <w:p>
            <w:pPr>
              <w:jc w:val="center"/>
              <w:ind w:left="473"/>
              <w:spacing w:after="0"/>
              <w:rPr>
                <w:sz w:val="20"/>
                <w:szCs w:val="20"/>
                <w:color w:val="auto"/>
              </w:rPr>
            </w:pPr>
            <w:r>
              <w:rPr>
                <w:rFonts w:ascii="Arial" w:cs="Arial" w:eastAsia="Arial" w:hAnsi="Arial"/>
                <w:sz w:val="13"/>
                <w:szCs w:val="13"/>
                <w:b w:val="1"/>
                <w:bCs w:val="1"/>
                <w:color w:val="auto"/>
              </w:rPr>
              <w:t>Rate</w:t>
            </w:r>
          </w:p>
        </w:tc>
        <w:tc>
          <w:tcPr>
            <w:tcW w:w="660" w:type="dxa"/>
            <w:vAlign w:val="bottom"/>
            <w:tcBorders>
              <w:bottom w:val="single" w:sz="8" w:color="auto"/>
              <w:right w:val="single" w:sz="8" w:color="auto"/>
            </w:tcBorders>
          </w:tcPr>
          <w:p>
            <w:pPr>
              <w:jc w:val="center"/>
              <w:ind w:left="133"/>
              <w:spacing w:after="0"/>
              <w:rPr>
                <w:sz w:val="20"/>
                <w:szCs w:val="20"/>
                <w:color w:val="auto"/>
              </w:rPr>
            </w:pPr>
            <w:r>
              <w:rPr>
                <w:rFonts w:ascii="Arial" w:cs="Arial" w:eastAsia="Arial" w:hAnsi="Arial"/>
                <w:sz w:val="13"/>
                <w:szCs w:val="13"/>
                <w:b w:val="1"/>
                <w:bCs w:val="1"/>
                <w:color w:val="auto"/>
              </w:rPr>
              <w:t>Rate</w:t>
            </w:r>
          </w:p>
        </w:tc>
        <w:tc>
          <w:tcPr>
            <w:tcW w:w="124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of base salary)</w:t>
            </w: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37"/>
        </w:trPr>
        <w:tc>
          <w:tcPr>
            <w:tcW w:w="5240" w:type="dxa"/>
            <w:vAlign w:val="bottom"/>
            <w:tcBorders>
              <w:bottom w:val="single" w:sz="8" w:color="959595"/>
            </w:tcBorders>
          </w:tcPr>
          <w:p>
            <w:pPr>
              <w:ind w:left="80"/>
              <w:spacing w:after="0" w:line="237" w:lineRule="exact"/>
              <w:rPr>
                <w:sz w:val="20"/>
                <w:szCs w:val="20"/>
                <w:color w:val="auto"/>
              </w:rPr>
            </w:pPr>
            <w:r>
              <w:rPr>
                <w:rFonts w:ascii="Arial" w:cs="Arial" w:eastAsia="Arial" w:hAnsi="Arial"/>
                <w:sz w:val="13"/>
                <w:szCs w:val="13"/>
                <w:b w:val="1"/>
                <w:bCs w:val="1"/>
                <w:color w:val="23628F"/>
              </w:rPr>
              <w:t>David V. Goeckeler</w:t>
            </w:r>
            <w:r>
              <w:rPr>
                <w:rFonts w:ascii="Arial" w:cs="Arial" w:eastAsia="Arial" w:hAnsi="Arial"/>
                <w:sz w:val="22"/>
                <w:szCs w:val="22"/>
                <w:b w:val="1"/>
                <w:bCs w:val="1"/>
                <w:color w:val="23628F"/>
                <w:vertAlign w:val="superscript"/>
              </w:rPr>
              <w:t>(2)</w:t>
            </w:r>
          </w:p>
        </w:tc>
        <w:tc>
          <w:tcPr>
            <w:tcW w:w="10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599</w:t>
            </w:r>
          </w:p>
        </w:tc>
        <w:tc>
          <w:tcPr>
            <w:tcW w:w="122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882</w:t>
            </w:r>
          </w:p>
        </w:tc>
        <w:tc>
          <w:tcPr>
            <w:tcW w:w="1000" w:type="dxa"/>
            <w:vAlign w:val="bottom"/>
            <w:tcBorders>
              <w:bottom w:val="single" w:sz="8" w:color="959595"/>
            </w:tcBorders>
          </w:tcPr>
          <w:p>
            <w:pPr>
              <w:jc w:val="center"/>
              <w:ind w:left="433"/>
              <w:spacing w:after="0"/>
              <w:rPr>
                <w:sz w:val="20"/>
                <w:szCs w:val="20"/>
                <w:color w:val="auto"/>
              </w:rPr>
            </w:pPr>
            <w:r>
              <w:rPr>
                <w:rFonts w:ascii="Arial" w:cs="Arial" w:eastAsia="Arial" w:hAnsi="Arial"/>
                <w:sz w:val="13"/>
                <w:szCs w:val="13"/>
                <w:color w:val="auto"/>
              </w:rPr>
              <w:t>147%</w:t>
            </w:r>
          </w:p>
        </w:tc>
        <w:tc>
          <w:tcPr>
            <w:tcW w:w="660" w:type="dxa"/>
            <w:vAlign w:val="bottom"/>
            <w:tcBorders>
              <w:bottom w:val="single" w:sz="8" w:color="959595"/>
            </w:tcBorders>
          </w:tcPr>
          <w:p>
            <w:pPr>
              <w:jc w:val="center"/>
              <w:ind w:left="93"/>
              <w:spacing w:after="0"/>
              <w:rPr>
                <w:sz w:val="20"/>
                <w:szCs w:val="20"/>
                <w:color w:val="auto"/>
              </w:rPr>
            </w:pPr>
            <w:r>
              <w:rPr>
                <w:rFonts w:ascii="Arial" w:cs="Arial" w:eastAsia="Arial" w:hAnsi="Arial"/>
                <w:sz w:val="13"/>
                <w:szCs w:val="13"/>
                <w:color w:val="auto"/>
              </w:rPr>
              <w:t>100%</w:t>
            </w:r>
          </w:p>
        </w:tc>
        <w:tc>
          <w:tcPr>
            <w:tcW w:w="124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175%</w:t>
            </w:r>
          </w:p>
        </w:tc>
        <w:tc>
          <w:tcPr>
            <w:tcW w:w="80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673,077</w:t>
            </w:r>
          </w:p>
        </w:tc>
        <w:tc>
          <w:tcPr>
            <w:tcW w:w="0" w:type="dxa"/>
            <w:vAlign w:val="bottom"/>
          </w:tcPr>
          <w:p>
            <w:pPr>
              <w:spacing w:after="0"/>
              <w:rPr>
                <w:sz w:val="1"/>
                <w:szCs w:val="1"/>
                <w:color w:val="auto"/>
              </w:rPr>
            </w:pPr>
          </w:p>
        </w:tc>
      </w:tr>
      <w:tr>
        <w:trPr>
          <w:trHeight w:val="189"/>
        </w:trPr>
        <w:tc>
          <w:tcPr>
            <w:tcW w:w="524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23628F"/>
              </w:rPr>
              <w:t>Robert K. Eulau</w:t>
            </w:r>
          </w:p>
        </w:tc>
        <w:tc>
          <w:tcPr>
            <w:tcW w:w="10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599</w:t>
            </w:r>
          </w:p>
        </w:tc>
        <w:tc>
          <w:tcPr>
            <w:tcW w:w="122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882</w:t>
            </w:r>
          </w:p>
        </w:tc>
        <w:tc>
          <w:tcPr>
            <w:tcW w:w="1000" w:type="dxa"/>
            <w:vAlign w:val="bottom"/>
            <w:tcBorders>
              <w:bottom w:val="single" w:sz="8" w:color="959595"/>
            </w:tcBorders>
          </w:tcPr>
          <w:p>
            <w:pPr>
              <w:jc w:val="center"/>
              <w:ind w:left="433"/>
              <w:spacing w:after="0"/>
              <w:rPr>
                <w:sz w:val="20"/>
                <w:szCs w:val="20"/>
                <w:color w:val="auto"/>
              </w:rPr>
            </w:pPr>
            <w:r>
              <w:rPr>
                <w:rFonts w:ascii="Arial" w:cs="Arial" w:eastAsia="Arial" w:hAnsi="Arial"/>
                <w:sz w:val="13"/>
                <w:szCs w:val="13"/>
                <w:color w:val="auto"/>
              </w:rPr>
              <w:t>147%</w:t>
            </w:r>
          </w:p>
        </w:tc>
        <w:tc>
          <w:tcPr>
            <w:tcW w:w="660" w:type="dxa"/>
            <w:vAlign w:val="bottom"/>
            <w:tcBorders>
              <w:bottom w:val="single" w:sz="8" w:color="959595"/>
            </w:tcBorders>
          </w:tcPr>
          <w:p>
            <w:pPr>
              <w:jc w:val="center"/>
              <w:ind w:left="93"/>
              <w:spacing w:after="0"/>
              <w:rPr>
                <w:sz w:val="20"/>
                <w:szCs w:val="20"/>
                <w:color w:val="auto"/>
              </w:rPr>
            </w:pPr>
            <w:r>
              <w:rPr>
                <w:rFonts w:ascii="Arial" w:cs="Arial" w:eastAsia="Arial" w:hAnsi="Arial"/>
                <w:sz w:val="13"/>
                <w:szCs w:val="13"/>
                <w:color w:val="auto"/>
              </w:rPr>
              <w:t>100%</w:t>
            </w:r>
          </w:p>
        </w:tc>
        <w:tc>
          <w:tcPr>
            <w:tcW w:w="124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110%</w:t>
            </w:r>
          </w:p>
        </w:tc>
        <w:tc>
          <w:tcPr>
            <w:tcW w:w="80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778,123</w:t>
            </w:r>
          </w:p>
        </w:tc>
        <w:tc>
          <w:tcPr>
            <w:tcW w:w="0" w:type="dxa"/>
            <w:vAlign w:val="bottom"/>
          </w:tcPr>
          <w:p>
            <w:pPr>
              <w:spacing w:after="0"/>
              <w:rPr>
                <w:sz w:val="1"/>
                <w:szCs w:val="1"/>
                <w:color w:val="auto"/>
              </w:rPr>
            </w:pPr>
          </w:p>
        </w:tc>
      </w:tr>
      <w:tr>
        <w:trPr>
          <w:trHeight w:val="196"/>
        </w:trPr>
        <w:tc>
          <w:tcPr>
            <w:tcW w:w="524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23628F"/>
              </w:rPr>
              <w:t>Srinivasan Sivaram</w:t>
            </w:r>
          </w:p>
        </w:tc>
        <w:tc>
          <w:tcPr>
            <w:tcW w:w="10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599</w:t>
            </w:r>
          </w:p>
        </w:tc>
        <w:tc>
          <w:tcPr>
            <w:tcW w:w="122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882</w:t>
            </w:r>
          </w:p>
        </w:tc>
        <w:tc>
          <w:tcPr>
            <w:tcW w:w="1000" w:type="dxa"/>
            <w:vAlign w:val="bottom"/>
            <w:tcBorders>
              <w:bottom w:val="single" w:sz="8" w:color="959595"/>
            </w:tcBorders>
          </w:tcPr>
          <w:p>
            <w:pPr>
              <w:jc w:val="center"/>
              <w:ind w:left="433"/>
              <w:spacing w:after="0"/>
              <w:rPr>
                <w:sz w:val="20"/>
                <w:szCs w:val="20"/>
                <w:color w:val="auto"/>
              </w:rPr>
            </w:pPr>
            <w:r>
              <w:rPr>
                <w:rFonts w:ascii="Arial" w:cs="Arial" w:eastAsia="Arial" w:hAnsi="Arial"/>
                <w:sz w:val="13"/>
                <w:szCs w:val="13"/>
                <w:color w:val="auto"/>
              </w:rPr>
              <w:t>147%</w:t>
            </w:r>
          </w:p>
        </w:tc>
        <w:tc>
          <w:tcPr>
            <w:tcW w:w="660" w:type="dxa"/>
            <w:vAlign w:val="bottom"/>
            <w:tcBorders>
              <w:bottom w:val="single" w:sz="8" w:color="959595"/>
            </w:tcBorders>
          </w:tcPr>
          <w:p>
            <w:pPr>
              <w:jc w:val="center"/>
              <w:ind w:left="93"/>
              <w:spacing w:after="0"/>
              <w:rPr>
                <w:sz w:val="20"/>
                <w:szCs w:val="20"/>
                <w:color w:val="auto"/>
              </w:rPr>
            </w:pPr>
            <w:r>
              <w:rPr>
                <w:rFonts w:ascii="Arial" w:cs="Arial" w:eastAsia="Arial" w:hAnsi="Arial"/>
                <w:sz w:val="13"/>
                <w:szCs w:val="13"/>
                <w:color w:val="auto"/>
              </w:rPr>
              <w:t>100%</w:t>
            </w:r>
          </w:p>
        </w:tc>
        <w:tc>
          <w:tcPr>
            <w:tcW w:w="124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110%</w:t>
            </w:r>
          </w:p>
        </w:tc>
        <w:tc>
          <w:tcPr>
            <w:tcW w:w="80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776,875</w:t>
            </w:r>
          </w:p>
        </w:tc>
        <w:tc>
          <w:tcPr>
            <w:tcW w:w="0" w:type="dxa"/>
            <w:vAlign w:val="bottom"/>
          </w:tcPr>
          <w:p>
            <w:pPr>
              <w:spacing w:after="0"/>
              <w:rPr>
                <w:sz w:val="1"/>
                <w:szCs w:val="1"/>
                <w:color w:val="auto"/>
              </w:rPr>
            </w:pPr>
          </w:p>
        </w:tc>
      </w:tr>
      <w:tr>
        <w:trPr>
          <w:trHeight w:val="196"/>
        </w:trPr>
        <w:tc>
          <w:tcPr>
            <w:tcW w:w="524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23628F"/>
              </w:rPr>
              <w:t>Michael C. Ray</w:t>
            </w:r>
          </w:p>
        </w:tc>
        <w:tc>
          <w:tcPr>
            <w:tcW w:w="10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599</w:t>
            </w:r>
          </w:p>
        </w:tc>
        <w:tc>
          <w:tcPr>
            <w:tcW w:w="122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882</w:t>
            </w:r>
          </w:p>
        </w:tc>
        <w:tc>
          <w:tcPr>
            <w:tcW w:w="1000" w:type="dxa"/>
            <w:vAlign w:val="bottom"/>
            <w:tcBorders>
              <w:bottom w:val="single" w:sz="8" w:color="959595"/>
            </w:tcBorders>
          </w:tcPr>
          <w:p>
            <w:pPr>
              <w:jc w:val="center"/>
              <w:ind w:left="433"/>
              <w:spacing w:after="0"/>
              <w:rPr>
                <w:sz w:val="20"/>
                <w:szCs w:val="20"/>
                <w:color w:val="auto"/>
              </w:rPr>
            </w:pPr>
            <w:r>
              <w:rPr>
                <w:rFonts w:ascii="Arial" w:cs="Arial" w:eastAsia="Arial" w:hAnsi="Arial"/>
                <w:sz w:val="13"/>
                <w:szCs w:val="13"/>
                <w:color w:val="auto"/>
              </w:rPr>
              <w:t>147%</w:t>
            </w:r>
          </w:p>
        </w:tc>
        <w:tc>
          <w:tcPr>
            <w:tcW w:w="660" w:type="dxa"/>
            <w:vAlign w:val="bottom"/>
            <w:tcBorders>
              <w:bottom w:val="single" w:sz="8" w:color="959595"/>
            </w:tcBorders>
          </w:tcPr>
          <w:p>
            <w:pPr>
              <w:jc w:val="center"/>
              <w:ind w:left="93"/>
              <w:spacing w:after="0"/>
              <w:rPr>
                <w:sz w:val="20"/>
                <w:szCs w:val="20"/>
                <w:color w:val="auto"/>
              </w:rPr>
            </w:pPr>
            <w:r>
              <w:rPr>
                <w:rFonts w:ascii="Arial" w:cs="Arial" w:eastAsia="Arial" w:hAnsi="Arial"/>
                <w:sz w:val="13"/>
                <w:szCs w:val="13"/>
                <w:color w:val="auto"/>
              </w:rPr>
              <w:t>100%</w:t>
            </w:r>
          </w:p>
        </w:tc>
        <w:tc>
          <w:tcPr>
            <w:tcW w:w="124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85%</w:t>
            </w:r>
          </w:p>
        </w:tc>
        <w:tc>
          <w:tcPr>
            <w:tcW w:w="80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526,346</w:t>
            </w:r>
          </w:p>
        </w:tc>
        <w:tc>
          <w:tcPr>
            <w:tcW w:w="0" w:type="dxa"/>
            <w:vAlign w:val="bottom"/>
          </w:tcPr>
          <w:p>
            <w:pPr>
              <w:spacing w:after="0"/>
              <w:rPr>
                <w:sz w:val="1"/>
                <w:szCs w:val="1"/>
                <w:color w:val="auto"/>
              </w:rPr>
            </w:pPr>
          </w:p>
        </w:tc>
      </w:tr>
      <w:tr>
        <w:trPr>
          <w:trHeight w:val="196"/>
        </w:trPr>
        <w:tc>
          <w:tcPr>
            <w:tcW w:w="524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23628F"/>
              </w:rPr>
              <w:t>Lori S. Sundberg</w:t>
            </w:r>
          </w:p>
        </w:tc>
        <w:tc>
          <w:tcPr>
            <w:tcW w:w="10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599</w:t>
            </w:r>
          </w:p>
        </w:tc>
        <w:tc>
          <w:tcPr>
            <w:tcW w:w="122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882</w:t>
            </w:r>
          </w:p>
        </w:tc>
        <w:tc>
          <w:tcPr>
            <w:tcW w:w="1000" w:type="dxa"/>
            <w:vAlign w:val="bottom"/>
            <w:tcBorders>
              <w:bottom w:val="single" w:sz="8" w:color="959595"/>
            </w:tcBorders>
          </w:tcPr>
          <w:p>
            <w:pPr>
              <w:jc w:val="center"/>
              <w:ind w:left="433"/>
              <w:spacing w:after="0"/>
              <w:rPr>
                <w:sz w:val="20"/>
                <w:szCs w:val="20"/>
                <w:color w:val="auto"/>
              </w:rPr>
            </w:pPr>
            <w:r>
              <w:rPr>
                <w:rFonts w:ascii="Arial" w:cs="Arial" w:eastAsia="Arial" w:hAnsi="Arial"/>
                <w:sz w:val="13"/>
                <w:szCs w:val="13"/>
                <w:color w:val="auto"/>
              </w:rPr>
              <w:t>147%</w:t>
            </w:r>
          </w:p>
        </w:tc>
        <w:tc>
          <w:tcPr>
            <w:tcW w:w="660" w:type="dxa"/>
            <w:vAlign w:val="bottom"/>
            <w:tcBorders>
              <w:bottom w:val="single" w:sz="8" w:color="959595"/>
            </w:tcBorders>
          </w:tcPr>
          <w:p>
            <w:pPr>
              <w:jc w:val="center"/>
              <w:ind w:left="93"/>
              <w:spacing w:after="0"/>
              <w:rPr>
                <w:sz w:val="20"/>
                <w:szCs w:val="20"/>
                <w:color w:val="auto"/>
              </w:rPr>
            </w:pPr>
            <w:r>
              <w:rPr>
                <w:rFonts w:ascii="Arial" w:cs="Arial" w:eastAsia="Arial" w:hAnsi="Arial"/>
                <w:sz w:val="13"/>
                <w:szCs w:val="13"/>
                <w:color w:val="auto"/>
              </w:rPr>
              <w:t>100%</w:t>
            </w:r>
          </w:p>
        </w:tc>
        <w:tc>
          <w:tcPr>
            <w:tcW w:w="124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85%</w:t>
            </w:r>
          </w:p>
        </w:tc>
        <w:tc>
          <w:tcPr>
            <w:tcW w:w="80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435,462</w:t>
            </w:r>
          </w:p>
        </w:tc>
        <w:tc>
          <w:tcPr>
            <w:tcW w:w="0" w:type="dxa"/>
            <w:vAlign w:val="bottom"/>
          </w:tcPr>
          <w:p>
            <w:pPr>
              <w:spacing w:after="0"/>
              <w:rPr>
                <w:sz w:val="1"/>
                <w:szCs w:val="1"/>
                <w:color w:val="auto"/>
              </w:rPr>
            </w:pPr>
          </w:p>
        </w:tc>
      </w:tr>
      <w:tr>
        <w:trPr>
          <w:trHeight w:val="196"/>
        </w:trPr>
        <w:tc>
          <w:tcPr>
            <w:tcW w:w="524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23628F"/>
              </w:rPr>
              <w:t>Stephen D. Milligan</w:t>
            </w:r>
          </w:p>
        </w:tc>
        <w:tc>
          <w:tcPr>
            <w:tcW w:w="10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599</w:t>
            </w:r>
          </w:p>
        </w:tc>
        <w:tc>
          <w:tcPr>
            <w:tcW w:w="122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882</w:t>
            </w:r>
          </w:p>
        </w:tc>
        <w:tc>
          <w:tcPr>
            <w:tcW w:w="1000" w:type="dxa"/>
            <w:vAlign w:val="bottom"/>
            <w:tcBorders>
              <w:bottom w:val="single" w:sz="8" w:color="959595"/>
            </w:tcBorders>
          </w:tcPr>
          <w:p>
            <w:pPr>
              <w:jc w:val="center"/>
              <w:ind w:left="433"/>
              <w:spacing w:after="0"/>
              <w:rPr>
                <w:sz w:val="20"/>
                <w:szCs w:val="20"/>
                <w:color w:val="auto"/>
              </w:rPr>
            </w:pPr>
            <w:r>
              <w:rPr>
                <w:rFonts w:ascii="Arial" w:cs="Arial" w:eastAsia="Arial" w:hAnsi="Arial"/>
                <w:sz w:val="13"/>
                <w:szCs w:val="13"/>
                <w:color w:val="auto"/>
              </w:rPr>
              <w:t>147%</w:t>
            </w:r>
          </w:p>
        </w:tc>
        <w:tc>
          <w:tcPr>
            <w:tcW w:w="660" w:type="dxa"/>
            <w:vAlign w:val="bottom"/>
            <w:tcBorders>
              <w:bottom w:val="single" w:sz="8" w:color="959595"/>
            </w:tcBorders>
          </w:tcPr>
          <w:p>
            <w:pPr>
              <w:jc w:val="center"/>
              <w:ind w:left="93"/>
              <w:spacing w:after="0"/>
              <w:rPr>
                <w:sz w:val="20"/>
                <w:szCs w:val="20"/>
                <w:color w:val="auto"/>
              </w:rPr>
            </w:pPr>
            <w:r>
              <w:rPr>
                <w:rFonts w:ascii="Arial" w:cs="Arial" w:eastAsia="Arial" w:hAnsi="Arial"/>
                <w:sz w:val="13"/>
                <w:szCs w:val="13"/>
                <w:color w:val="auto"/>
              </w:rPr>
              <w:t>100%</w:t>
            </w:r>
          </w:p>
        </w:tc>
        <w:tc>
          <w:tcPr>
            <w:tcW w:w="124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150%</w:t>
            </w:r>
          </w:p>
        </w:tc>
        <w:tc>
          <w:tcPr>
            <w:tcW w:w="80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1,875,000</w:t>
            </w:r>
          </w:p>
        </w:tc>
        <w:tc>
          <w:tcPr>
            <w:tcW w:w="0" w:type="dxa"/>
            <w:vAlign w:val="bottom"/>
          </w:tcPr>
          <w:p>
            <w:pPr>
              <w:spacing w:after="0"/>
              <w:rPr>
                <w:sz w:val="1"/>
                <w:szCs w:val="1"/>
                <w:color w:val="auto"/>
              </w:rPr>
            </w:pPr>
          </w:p>
        </w:tc>
      </w:tr>
      <w:tr>
        <w:trPr>
          <w:trHeight w:val="196"/>
        </w:trPr>
        <w:tc>
          <w:tcPr>
            <w:tcW w:w="524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23628F"/>
              </w:rPr>
              <w:t>Michael D. Cordano</w:t>
            </w:r>
          </w:p>
        </w:tc>
        <w:tc>
          <w:tcPr>
            <w:tcW w:w="10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599</w:t>
            </w:r>
          </w:p>
        </w:tc>
        <w:tc>
          <w:tcPr>
            <w:tcW w:w="122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882</w:t>
            </w:r>
          </w:p>
        </w:tc>
        <w:tc>
          <w:tcPr>
            <w:tcW w:w="1000" w:type="dxa"/>
            <w:vAlign w:val="bottom"/>
            <w:tcBorders>
              <w:bottom w:val="single" w:sz="8" w:color="959595"/>
            </w:tcBorders>
          </w:tcPr>
          <w:p>
            <w:pPr>
              <w:jc w:val="center"/>
              <w:ind w:left="433"/>
              <w:spacing w:after="0"/>
              <w:rPr>
                <w:sz w:val="20"/>
                <w:szCs w:val="20"/>
                <w:color w:val="auto"/>
              </w:rPr>
            </w:pPr>
            <w:r>
              <w:rPr>
                <w:rFonts w:ascii="Arial" w:cs="Arial" w:eastAsia="Arial" w:hAnsi="Arial"/>
                <w:sz w:val="13"/>
                <w:szCs w:val="13"/>
                <w:color w:val="auto"/>
              </w:rPr>
              <w:t>147%</w:t>
            </w:r>
          </w:p>
        </w:tc>
        <w:tc>
          <w:tcPr>
            <w:tcW w:w="660" w:type="dxa"/>
            <w:vAlign w:val="bottom"/>
            <w:tcBorders>
              <w:bottom w:val="single" w:sz="8" w:color="959595"/>
            </w:tcBorders>
          </w:tcPr>
          <w:p>
            <w:pPr>
              <w:jc w:val="center"/>
              <w:ind w:left="93"/>
              <w:spacing w:after="0"/>
              <w:rPr>
                <w:sz w:val="20"/>
                <w:szCs w:val="20"/>
                <w:color w:val="auto"/>
              </w:rPr>
            </w:pPr>
            <w:r>
              <w:rPr>
                <w:rFonts w:ascii="Arial" w:cs="Arial" w:eastAsia="Arial" w:hAnsi="Arial"/>
                <w:sz w:val="13"/>
                <w:szCs w:val="13"/>
                <w:color w:val="auto"/>
              </w:rPr>
              <w:t>100%</w:t>
            </w:r>
          </w:p>
        </w:tc>
        <w:tc>
          <w:tcPr>
            <w:tcW w:w="124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125%</w:t>
            </w:r>
          </w:p>
        </w:tc>
        <w:tc>
          <w:tcPr>
            <w:tcW w:w="80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1,000,000</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left="300" w:right="280" w:hanging="292"/>
        <w:spacing w:after="0" w:line="238" w:lineRule="auto"/>
        <w:tabs>
          <w:tab w:leader="none" w:pos="300" w:val="left"/>
        </w:tabs>
        <w:numPr>
          <w:ilvl w:val="0"/>
          <w:numId w:val="172"/>
        </w:numPr>
        <w:rPr>
          <w:rFonts w:ascii="Arial" w:cs="Arial" w:eastAsia="Arial" w:hAnsi="Arial"/>
          <w:sz w:val="11"/>
          <w:szCs w:val="11"/>
          <w:color w:val="auto"/>
        </w:rPr>
      </w:pPr>
      <w:r>
        <w:rPr>
          <w:rFonts w:ascii="Arial" w:cs="Arial" w:eastAsia="Arial" w:hAnsi="Arial"/>
          <w:sz w:val="13"/>
          <w:szCs w:val="13"/>
          <w:color w:val="auto"/>
        </w:rPr>
        <w:t>The figure shown in the table above reflects fiscal 2020 non-GAAP net income of $914 million less a benefit of $32 million due to capped STI payouts for fiscal 2020, and the figure shown was used to determine achievement against the non-GAAP net income target under our fiscal 2020 STI plan. See Appendix A to this Proxy Statement for a reconciliation of GAAP net income to non-GAAP net income.</w:t>
      </w:r>
    </w:p>
    <w:p>
      <w:pPr>
        <w:ind w:left="300" w:hanging="292"/>
        <w:spacing w:after="0"/>
        <w:tabs>
          <w:tab w:leader="none" w:pos="300" w:val="left"/>
        </w:tabs>
        <w:numPr>
          <w:ilvl w:val="0"/>
          <w:numId w:val="172"/>
        </w:numPr>
        <w:rPr>
          <w:rFonts w:ascii="Arial" w:cs="Arial" w:eastAsia="Arial" w:hAnsi="Arial"/>
          <w:sz w:val="11"/>
          <w:szCs w:val="11"/>
          <w:color w:val="auto"/>
        </w:rPr>
      </w:pPr>
      <w:r>
        <w:rPr>
          <w:rFonts w:ascii="Arial" w:cs="Arial" w:eastAsia="Arial" w:hAnsi="Arial"/>
          <w:sz w:val="13"/>
          <w:szCs w:val="13"/>
          <w:color w:val="auto"/>
        </w:rPr>
        <w:t>Mr. Goeckeler participated in our fiscal 2020 STI plan on a prorated basis for the portion of fiscal 2020 that he was employed.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23628F"/>
        </w:rPr>
        <w:t>RECENT STI PAYOUTS</w:t>
      </w:r>
    </w:p>
    <w:p>
      <w:pPr>
        <w:spacing w:after="0" w:line="230" w:lineRule="exact"/>
        <w:rPr>
          <w:sz w:val="20"/>
          <w:szCs w:val="20"/>
          <w:color w:val="auto"/>
        </w:rPr>
      </w:pPr>
    </w:p>
    <w:p>
      <w:pPr>
        <w:ind w:right="100"/>
        <w:spacing w:after="0" w:line="258" w:lineRule="auto"/>
        <w:rPr>
          <w:sz w:val="20"/>
          <w:szCs w:val="20"/>
          <w:color w:val="auto"/>
        </w:rPr>
      </w:pPr>
      <w:r>
        <w:rPr>
          <w:rFonts w:ascii="Arial" w:cs="Arial" w:eastAsia="Arial" w:hAnsi="Arial"/>
          <w:sz w:val="13"/>
          <w:szCs w:val="13"/>
          <w:color w:val="auto"/>
        </w:rPr>
        <w:t>The average annual STI payout (as a percentage of the applicable target payout level) made to executive officers participating in the STI program each fiscal year from fiscal 2018 through fiscal 2020 (a three-year period) was 72% of target, and from fiscal 2016 through fiscal 2020 (a five-year period) was 86% of target.</w:t>
      </w:r>
    </w:p>
    <w:p>
      <w:pPr>
        <w:spacing w:after="0" w:line="192" w:lineRule="exact"/>
        <w:rPr>
          <w:sz w:val="20"/>
          <w:szCs w:val="20"/>
          <w:color w:val="auto"/>
        </w:rPr>
      </w:pPr>
    </w:p>
    <w:p>
      <w:pPr>
        <w:ind w:right="20"/>
        <w:spacing w:after="0" w:line="243" w:lineRule="auto"/>
        <w:rPr>
          <w:sz w:val="20"/>
          <w:szCs w:val="20"/>
          <w:color w:val="auto"/>
        </w:rPr>
      </w:pPr>
      <w:r>
        <w:rPr>
          <w:rFonts w:ascii="Arial" w:cs="Arial" w:eastAsia="Arial" w:hAnsi="Arial"/>
          <w:sz w:val="13"/>
          <w:szCs w:val="13"/>
          <w:color w:val="auto"/>
        </w:rPr>
        <w:t>The Compensation and Talent Committee establishes performance targets at the beginning of each STI performance period by assessing our annual operating plan, but evaluating the rigor of these goals prospectively can be challenging in a cyclical industry. In instances in which the Compensation and Talent Committee believes the STI payout is too high after evaluating our performance in the context of our fiscal year and applicable market conditions, it may exercise negative discretion to reduce payouts under the plan. As noted above, given our fiscal 2020 financial performance in the context of market conditions and considering the STI plan had a lower performance target in fiscal 2020 relative to fiscal 2019, the Compensation and Talent Committee capped the fiscal 2020 STI payouts for our executives at 100% of target.</w:t>
      </w:r>
    </w:p>
    <w:p>
      <w:pPr>
        <w:sectPr>
          <w:pgSz w:w="11900" w:h="16838" w:orient="portrait"/>
          <w:cols w:equalWidth="0" w:num="1">
            <w:col w:w="11240"/>
          </w:cols>
          <w:pgMar w:left="320" w:top="121" w:right="339" w:bottom="1440" w:gutter="0" w:footer="0" w:header="0"/>
        </w:sectPr>
      </w:pPr>
    </w:p>
    <w:p>
      <w:pPr>
        <w:spacing w:after="0" w:line="197" w:lineRule="exact"/>
        <w:rPr>
          <w:sz w:val="20"/>
          <w:szCs w:val="20"/>
          <w:color w:val="auto"/>
        </w:rPr>
      </w:pPr>
    </w:p>
    <w:p>
      <w:pPr>
        <w:jc w:val="center"/>
        <w:ind w:right="980"/>
        <w:spacing w:after="0"/>
        <w:rPr>
          <w:sz w:val="20"/>
          <w:szCs w:val="20"/>
          <w:color w:val="auto"/>
        </w:rPr>
      </w:pPr>
      <w:r>
        <w:rPr>
          <w:rFonts w:ascii="Arial" w:cs="Arial" w:eastAsia="Arial" w:hAnsi="Arial"/>
          <w:sz w:val="16"/>
          <w:szCs w:val="16"/>
          <w:b w:val="1"/>
          <w:bCs w:val="1"/>
          <w:color w:val="auto"/>
        </w:rPr>
        <w:t>3-Year Average STI Actual</w:t>
      </w:r>
    </w:p>
    <w:p>
      <w:pPr>
        <w:spacing w:after="0" w:line="5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Payout vs.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1230630</wp:posOffset>
            </wp:positionH>
            <wp:positionV relativeFrom="paragraph">
              <wp:posOffset>94615</wp:posOffset>
            </wp:positionV>
            <wp:extent cx="1122680" cy="113157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122680" cy="11315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center"/>
        <w:ind w:right="1720"/>
        <w:spacing w:after="0"/>
        <w:rPr>
          <w:sz w:val="20"/>
          <w:szCs w:val="20"/>
          <w:color w:val="auto"/>
        </w:rPr>
      </w:pPr>
      <w:r>
        <w:rPr>
          <w:rFonts w:ascii="Arial" w:cs="Arial" w:eastAsia="Arial" w:hAnsi="Arial"/>
          <w:sz w:val="16"/>
          <w:szCs w:val="16"/>
          <w:b w:val="1"/>
          <w:bCs w:val="1"/>
          <w:color w:val="auto"/>
        </w:rPr>
        <w:t>5-Year Average STI Actual</w:t>
      </w:r>
    </w:p>
    <w:p>
      <w:pPr>
        <w:spacing w:after="0" w:line="59" w:lineRule="exact"/>
        <w:rPr>
          <w:sz w:val="20"/>
          <w:szCs w:val="20"/>
          <w:color w:val="auto"/>
        </w:rPr>
      </w:pPr>
    </w:p>
    <w:p>
      <w:pPr>
        <w:jc w:val="center"/>
        <w:ind w:right="1720"/>
        <w:spacing w:after="0"/>
        <w:rPr>
          <w:sz w:val="20"/>
          <w:szCs w:val="20"/>
          <w:color w:val="auto"/>
        </w:rPr>
      </w:pPr>
      <w:r>
        <w:rPr>
          <w:rFonts w:ascii="Arial" w:cs="Arial" w:eastAsia="Arial" w:hAnsi="Arial"/>
          <w:sz w:val="18"/>
          <w:szCs w:val="18"/>
          <w:b w:val="1"/>
          <w:bCs w:val="1"/>
          <w:color w:val="auto"/>
        </w:rPr>
        <w:t>Payout vs.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111760</wp:posOffset>
            </wp:positionV>
            <wp:extent cx="1114425" cy="111442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114425" cy="11144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20" w:space="720"/>
            <w:col w:w="390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40" w:hanging="432"/>
        <w:spacing w:after="0"/>
        <w:tabs>
          <w:tab w:leader="none" w:pos="440" w:val="left"/>
        </w:tabs>
        <w:numPr>
          <w:ilvl w:val="0"/>
          <w:numId w:val="173"/>
        </w:numPr>
        <w:rPr>
          <w:rFonts w:ascii="Arial" w:cs="Arial" w:eastAsia="Arial" w:hAnsi="Arial"/>
          <w:sz w:val="18"/>
          <w:szCs w:val="18"/>
          <w:b w:val="1"/>
          <w:bCs w:val="1"/>
          <w:color w:val="23628F"/>
        </w:rPr>
      </w:pPr>
      <w:r>
        <w:rPr>
          <w:rFonts w:ascii="Arial" w:cs="Arial" w:eastAsia="Arial" w:hAnsi="Arial"/>
          <w:sz w:val="13"/>
          <w:szCs w:val="13"/>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153275" cy="209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0" w:name="page71"/>
    <w:bookmarkEnd w:id="70"/>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right"/>
        <w:spacing w:after="0"/>
        <w:rPr>
          <w:sz w:val="20"/>
          <w:szCs w:val="20"/>
          <w:color w:val="auto"/>
        </w:rPr>
      </w:pPr>
      <w:r>
        <w:rPr>
          <w:rFonts w:ascii="Arial" w:cs="Arial" w:eastAsia="Arial" w:hAnsi="Arial"/>
          <w:sz w:val="13"/>
          <w:szCs w:val="13"/>
          <w:color w:val="23628F"/>
        </w:rPr>
        <w:t>COMPENSATION DISCUSSION AND ANALYSIS</w:t>
      </w:r>
    </w:p>
    <w:p>
      <w:pPr>
        <w:spacing w:after="0" w:line="182"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Long-Term Incentives</w:t>
      </w:r>
    </w:p>
    <w:p>
      <w:pPr>
        <w:spacing w:after="0" w:line="5" w:lineRule="exact"/>
        <w:rPr>
          <w:sz w:val="20"/>
          <w:szCs w:val="20"/>
          <w:color w:val="auto"/>
        </w:rPr>
      </w:pPr>
    </w:p>
    <w:p>
      <w:pPr>
        <w:spacing w:after="0"/>
        <w:rPr>
          <w:sz w:val="20"/>
          <w:szCs w:val="20"/>
          <w:color w:val="auto"/>
        </w:rPr>
      </w:pPr>
      <w:r>
        <w:rPr>
          <w:sz w:val="1"/>
          <w:szCs w:val="1"/>
          <w:color w:val="auto"/>
        </w:rPr>
        <w:drawing>
          <wp:inline distT="0" distB="0" distL="0" distR="0">
            <wp:extent cx="34290" cy="171450"/>
            <wp:effectExtent l="0" t="0" r="0" b="0"/>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4290" cy="171450"/>
                    </a:xfrm>
                    <a:prstGeom prst="rect">
                      <a:avLst/>
                    </a:prstGeom>
                    <a:noFill/>
                    <a:ln>
                      <a:noFill/>
                    </a:ln>
                  </pic:spPr>
                </pic:pic>
              </a:graphicData>
            </a:graphic>
          </wp:inline>
        </w:drawing>
      </w:r>
      <w:r>
        <w:rPr>
          <w:rFonts w:ascii="Arial" w:cs="Arial" w:eastAsia="Arial" w:hAnsi="Arial"/>
          <w:sz w:val="22"/>
          <w:szCs w:val="22"/>
          <w:b w:val="1"/>
          <w:bCs w:val="1"/>
          <w:color w:val="5FC4AF"/>
        </w:rPr>
        <w:t xml:space="preserve"> Fiscal 2020 LTI Awards</w:t>
      </w:r>
    </w:p>
    <w:p>
      <w:pPr>
        <w:spacing w:after="0" w:line="205" w:lineRule="exact"/>
        <w:rPr>
          <w:sz w:val="20"/>
          <w:szCs w:val="20"/>
          <w:color w:val="auto"/>
        </w:rPr>
      </w:pPr>
    </w:p>
    <w:p>
      <w:pPr>
        <w:spacing w:after="0" w:line="242" w:lineRule="auto"/>
        <w:rPr>
          <w:sz w:val="20"/>
          <w:szCs w:val="20"/>
          <w:color w:val="auto"/>
        </w:rPr>
      </w:pPr>
      <w:r>
        <w:rPr>
          <w:rFonts w:ascii="Arial" w:cs="Arial" w:eastAsia="Arial" w:hAnsi="Arial"/>
          <w:sz w:val="13"/>
          <w:szCs w:val="13"/>
          <w:color w:val="auto"/>
        </w:rPr>
        <w:t>The Compensation and Talent Committee approved Mr. Goeckeler’s fiscal 2020 LTI award upon his appointment as our Chief Executive Officer in March 2020. Our other named executive officers received the following annual LTI equity awards in September 2019. Each named executive officer’s fiscal 2020 LTI award consists of a mix of PSUs and RSUs. Mr. Goeckeler’s RSUs are scheduled to vest in two annual installments, generally subject to his continued employment through the applicable vesting date. As noted above on page 54, Mr. Goeckeler’s RSU award is intended to replace forfeited RSU values that he was scheduled to receive during the next two fiscal years at his prior employer. The RSUs for our other named executive officers are scheduled to vest in four annual installments, generally subject to the executive’s continued employment through the applicable vesting date. The vesting provisions of the PSUs are described below.</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420" w:type="dxa"/>
            <w:vAlign w:val="bottom"/>
            <w:tcBorders>
              <w:right w:val="single" w:sz="8" w:color="auto"/>
            </w:tcBorders>
          </w:tcPr>
          <w:p>
            <w:pPr>
              <w:spacing w:after="0"/>
              <w:rPr>
                <w:sz w:val="14"/>
                <w:szCs w:val="14"/>
                <w:color w:val="auto"/>
              </w:rPr>
            </w:pPr>
          </w:p>
        </w:tc>
        <w:tc>
          <w:tcPr>
            <w:tcW w:w="126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Total Awarded</w:t>
            </w:r>
          </w:p>
        </w:tc>
        <w:tc>
          <w:tcPr>
            <w:tcW w:w="14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 Shares Underlying</w:t>
            </w: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LTI Vehicle Mix</w:t>
            </w:r>
          </w:p>
        </w:tc>
      </w:tr>
      <w:tr>
        <w:trPr>
          <w:trHeight w:val="169"/>
        </w:trPr>
        <w:tc>
          <w:tcPr>
            <w:tcW w:w="74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rPr>
              <w:t>Named Executive Officer</w:t>
            </w:r>
          </w:p>
        </w:tc>
        <w:tc>
          <w:tcPr>
            <w:tcW w:w="1260" w:type="dxa"/>
            <w:vAlign w:val="bottom"/>
            <w:tcBorders>
              <w:bottom w:val="single" w:sz="8" w:color="auto"/>
              <w:right w:val="single" w:sz="8" w:color="auto"/>
            </w:tcBorders>
          </w:tcPr>
          <w:p>
            <w:pPr>
              <w:jc w:val="right"/>
              <w:ind w:right="33"/>
              <w:spacing w:after="0" w:line="169" w:lineRule="exact"/>
              <w:rPr>
                <w:sz w:val="20"/>
                <w:szCs w:val="20"/>
                <w:color w:val="auto"/>
              </w:rPr>
            </w:pPr>
            <w:r>
              <w:rPr>
                <w:rFonts w:ascii="Arial" w:cs="Arial" w:eastAsia="Arial" w:hAnsi="Arial"/>
                <w:sz w:val="12"/>
                <w:szCs w:val="12"/>
                <w:b w:val="1"/>
                <w:bCs w:val="1"/>
                <w:color w:val="auto"/>
              </w:rPr>
              <w:t>Grant Value ($)</w:t>
            </w:r>
            <w:r>
              <w:rPr>
                <w:rFonts w:ascii="Arial" w:cs="Arial" w:eastAsia="Arial" w:hAnsi="Arial"/>
                <w:sz w:val="19"/>
                <w:szCs w:val="19"/>
                <w:b w:val="1"/>
                <w:bCs w:val="1"/>
                <w:color w:val="auto"/>
                <w:vertAlign w:val="superscript"/>
              </w:rPr>
              <w:t>(1)</w:t>
            </w:r>
          </w:p>
        </w:tc>
        <w:tc>
          <w:tcPr>
            <w:tcW w:w="1480" w:type="dxa"/>
            <w:vAlign w:val="bottom"/>
            <w:tcBorders>
              <w:bottom w:val="single" w:sz="8" w:color="auto"/>
              <w:right w:val="single" w:sz="8" w:color="auto"/>
            </w:tcBorders>
          </w:tcPr>
          <w:p>
            <w:pPr>
              <w:jc w:val="right"/>
              <w:ind w:right="33"/>
              <w:spacing w:after="0" w:line="169" w:lineRule="exact"/>
              <w:rPr>
                <w:sz w:val="20"/>
                <w:szCs w:val="20"/>
                <w:color w:val="auto"/>
              </w:rPr>
            </w:pPr>
            <w:r>
              <w:rPr>
                <w:rFonts w:ascii="Arial" w:cs="Arial" w:eastAsia="Arial" w:hAnsi="Arial"/>
                <w:sz w:val="12"/>
                <w:szCs w:val="12"/>
                <w:b w:val="1"/>
                <w:bCs w:val="1"/>
                <w:color w:val="auto"/>
              </w:rPr>
              <w:t>LTI Grants</w:t>
            </w:r>
            <w:r>
              <w:rPr>
                <w:rFonts w:ascii="Arial" w:cs="Arial" w:eastAsia="Arial" w:hAnsi="Arial"/>
                <w:sz w:val="19"/>
                <w:szCs w:val="19"/>
                <w:b w:val="1"/>
                <w:bCs w:val="1"/>
                <w:color w:val="auto"/>
                <w:vertAlign w:val="superscript"/>
              </w:rPr>
              <w:t>(2)</w:t>
            </w:r>
          </w:p>
        </w:tc>
        <w:tc>
          <w:tcPr>
            <w:tcW w:w="54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PSUs</w:t>
            </w: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RSUs</w:t>
            </w:r>
          </w:p>
        </w:tc>
      </w:tr>
      <w:tr>
        <w:trPr>
          <w:trHeight w:val="196"/>
        </w:trPr>
        <w:tc>
          <w:tcPr>
            <w:tcW w:w="7420" w:type="dxa"/>
            <w:vAlign w:val="bottom"/>
          </w:tcPr>
          <w:p>
            <w:pPr>
              <w:ind w:left="80"/>
              <w:spacing w:after="0"/>
              <w:rPr>
                <w:sz w:val="20"/>
                <w:szCs w:val="20"/>
                <w:color w:val="auto"/>
              </w:rPr>
            </w:pPr>
            <w:r>
              <w:rPr>
                <w:rFonts w:ascii="Arial" w:cs="Arial" w:eastAsia="Arial" w:hAnsi="Arial"/>
                <w:sz w:val="13"/>
                <w:szCs w:val="13"/>
                <w:b w:val="1"/>
                <w:bCs w:val="1"/>
                <w:color w:val="23628F"/>
              </w:rPr>
              <w:t>David V. Goeckeler</w:t>
            </w:r>
          </w:p>
        </w:tc>
        <w:tc>
          <w:tcPr>
            <w:tcW w:w="1260" w:type="dxa"/>
            <w:vAlign w:val="bottom"/>
          </w:tcPr>
          <w:p>
            <w:pPr>
              <w:jc w:val="right"/>
              <w:ind w:right="33"/>
              <w:spacing w:after="0"/>
              <w:rPr>
                <w:sz w:val="20"/>
                <w:szCs w:val="20"/>
                <w:color w:val="auto"/>
              </w:rPr>
            </w:pPr>
            <w:r>
              <w:rPr>
                <w:rFonts w:ascii="Arial" w:cs="Arial" w:eastAsia="Arial" w:hAnsi="Arial"/>
                <w:sz w:val="13"/>
                <w:szCs w:val="13"/>
                <w:color w:val="auto"/>
              </w:rPr>
              <w:t>30,500,000</w:t>
            </w:r>
          </w:p>
        </w:tc>
        <w:tc>
          <w:tcPr>
            <w:tcW w:w="1480" w:type="dxa"/>
            <w:vAlign w:val="bottom"/>
          </w:tcPr>
          <w:p>
            <w:pPr>
              <w:jc w:val="right"/>
              <w:ind w:right="33"/>
              <w:spacing w:after="0"/>
              <w:rPr>
                <w:sz w:val="20"/>
                <w:szCs w:val="20"/>
                <w:color w:val="auto"/>
              </w:rPr>
            </w:pPr>
            <w:r>
              <w:rPr>
                <w:rFonts w:ascii="Arial" w:cs="Arial" w:eastAsia="Arial" w:hAnsi="Arial"/>
                <w:sz w:val="13"/>
                <w:szCs w:val="13"/>
                <w:color w:val="auto"/>
              </w:rPr>
              <w:t>643,459</w:t>
            </w:r>
          </w:p>
        </w:tc>
        <w:tc>
          <w:tcPr>
            <w:tcW w:w="540" w:type="dxa"/>
            <w:vAlign w:val="bottom"/>
          </w:tcPr>
          <w:p>
            <w:pPr>
              <w:jc w:val="right"/>
              <w:ind w:right="13"/>
              <w:spacing w:after="0"/>
              <w:rPr>
                <w:sz w:val="20"/>
                <w:szCs w:val="20"/>
                <w:color w:val="auto"/>
              </w:rPr>
            </w:pPr>
            <w:r>
              <w:rPr>
                <w:rFonts w:ascii="Arial" w:cs="Arial" w:eastAsia="Arial" w:hAnsi="Arial"/>
                <w:sz w:val="13"/>
                <w:szCs w:val="13"/>
                <w:color w:val="auto"/>
              </w:rPr>
              <w:t>67%</w:t>
            </w:r>
          </w:p>
        </w:tc>
        <w:tc>
          <w:tcPr>
            <w:tcW w:w="540" w:type="dxa"/>
            <w:vAlign w:val="bottom"/>
          </w:tcPr>
          <w:p>
            <w:pPr>
              <w:jc w:val="right"/>
              <w:ind w:right="13"/>
              <w:spacing w:after="0"/>
              <w:rPr>
                <w:sz w:val="20"/>
                <w:szCs w:val="20"/>
                <w:color w:val="auto"/>
              </w:rPr>
            </w:pPr>
            <w:r>
              <w:rPr>
                <w:rFonts w:ascii="Arial" w:cs="Arial" w:eastAsia="Arial" w:hAnsi="Arial"/>
                <w:sz w:val="13"/>
                <w:szCs w:val="13"/>
                <w:color w:val="auto"/>
              </w:rPr>
              <w:t>33%</w:t>
            </w:r>
          </w:p>
        </w:tc>
      </w:tr>
      <w:tr>
        <w:trPr>
          <w:trHeight w:val="41"/>
        </w:trPr>
        <w:tc>
          <w:tcPr>
            <w:tcW w:w="7420" w:type="dxa"/>
            <w:vAlign w:val="bottom"/>
            <w:tcBorders>
              <w:bottom w:val="single" w:sz="8" w:color="959595"/>
            </w:tcBorders>
          </w:tcPr>
          <w:p>
            <w:pPr>
              <w:spacing w:after="0"/>
              <w:rPr>
                <w:sz w:val="3"/>
                <w:szCs w:val="3"/>
                <w:color w:val="auto"/>
              </w:rPr>
            </w:pPr>
          </w:p>
        </w:tc>
        <w:tc>
          <w:tcPr>
            <w:tcW w:w="1260" w:type="dxa"/>
            <w:vAlign w:val="bottom"/>
            <w:tcBorders>
              <w:bottom w:val="single" w:sz="8" w:color="959595"/>
            </w:tcBorders>
          </w:tcPr>
          <w:p>
            <w:pPr>
              <w:spacing w:after="0"/>
              <w:rPr>
                <w:sz w:val="3"/>
                <w:szCs w:val="3"/>
                <w:color w:val="auto"/>
              </w:rPr>
            </w:pPr>
          </w:p>
        </w:tc>
        <w:tc>
          <w:tcPr>
            <w:tcW w:w="1480" w:type="dxa"/>
            <w:vAlign w:val="bottom"/>
            <w:tcBorders>
              <w:bottom w:val="single" w:sz="8" w:color="959595"/>
            </w:tcBorders>
          </w:tcPr>
          <w:p>
            <w:pPr>
              <w:spacing w:after="0"/>
              <w:rPr>
                <w:sz w:val="3"/>
                <w:szCs w:val="3"/>
                <w:color w:val="auto"/>
              </w:rPr>
            </w:pPr>
          </w:p>
        </w:tc>
        <w:tc>
          <w:tcPr>
            <w:tcW w:w="540" w:type="dxa"/>
            <w:vAlign w:val="bottom"/>
            <w:tcBorders>
              <w:bottom w:val="single" w:sz="8" w:color="959595"/>
            </w:tcBorders>
          </w:tcPr>
          <w:p>
            <w:pPr>
              <w:spacing w:after="0"/>
              <w:rPr>
                <w:sz w:val="3"/>
                <w:szCs w:val="3"/>
                <w:color w:val="auto"/>
              </w:rPr>
            </w:pPr>
          </w:p>
        </w:tc>
        <w:tc>
          <w:tcPr>
            <w:tcW w:w="540" w:type="dxa"/>
            <w:vAlign w:val="bottom"/>
            <w:tcBorders>
              <w:bottom w:val="single" w:sz="8" w:color="959595"/>
            </w:tcBorders>
          </w:tcPr>
          <w:p>
            <w:pPr>
              <w:spacing w:after="0"/>
              <w:rPr>
                <w:sz w:val="3"/>
                <w:szCs w:val="3"/>
                <w:color w:val="auto"/>
              </w:rPr>
            </w:pPr>
          </w:p>
        </w:tc>
      </w:tr>
      <w:tr>
        <w:trPr>
          <w:trHeight w:val="196"/>
        </w:trPr>
        <w:tc>
          <w:tcPr>
            <w:tcW w:w="7420" w:type="dxa"/>
            <w:vAlign w:val="bottom"/>
          </w:tcPr>
          <w:p>
            <w:pPr>
              <w:ind w:left="80"/>
              <w:spacing w:after="0"/>
              <w:rPr>
                <w:sz w:val="20"/>
                <w:szCs w:val="20"/>
                <w:color w:val="auto"/>
              </w:rPr>
            </w:pPr>
            <w:r>
              <w:rPr>
                <w:rFonts w:ascii="Arial" w:cs="Arial" w:eastAsia="Arial" w:hAnsi="Arial"/>
                <w:sz w:val="13"/>
                <w:szCs w:val="13"/>
                <w:b w:val="1"/>
                <w:bCs w:val="1"/>
                <w:color w:val="23628F"/>
              </w:rPr>
              <w:t>Robert K. Eulau</w:t>
            </w:r>
          </w:p>
        </w:tc>
        <w:tc>
          <w:tcPr>
            <w:tcW w:w="1260" w:type="dxa"/>
            <w:vAlign w:val="bottom"/>
          </w:tcPr>
          <w:p>
            <w:pPr>
              <w:jc w:val="right"/>
              <w:ind w:right="33"/>
              <w:spacing w:after="0"/>
              <w:rPr>
                <w:sz w:val="20"/>
                <w:szCs w:val="20"/>
                <w:color w:val="auto"/>
              </w:rPr>
            </w:pPr>
            <w:r>
              <w:rPr>
                <w:rFonts w:ascii="Arial" w:cs="Arial" w:eastAsia="Arial" w:hAnsi="Arial"/>
                <w:sz w:val="13"/>
                <w:szCs w:val="13"/>
                <w:color w:val="auto"/>
              </w:rPr>
              <w:t>4,000,000</w:t>
            </w:r>
          </w:p>
        </w:tc>
        <w:tc>
          <w:tcPr>
            <w:tcW w:w="1480" w:type="dxa"/>
            <w:vAlign w:val="bottom"/>
          </w:tcPr>
          <w:p>
            <w:pPr>
              <w:jc w:val="right"/>
              <w:ind w:right="33"/>
              <w:spacing w:after="0"/>
              <w:rPr>
                <w:sz w:val="20"/>
                <w:szCs w:val="20"/>
                <w:color w:val="auto"/>
              </w:rPr>
            </w:pPr>
            <w:r>
              <w:rPr>
                <w:rFonts w:ascii="Arial" w:cs="Arial" w:eastAsia="Arial" w:hAnsi="Arial"/>
                <w:sz w:val="13"/>
                <w:szCs w:val="13"/>
                <w:color w:val="auto"/>
              </w:rPr>
              <w:t>67,417</w:t>
            </w:r>
          </w:p>
        </w:tc>
        <w:tc>
          <w:tcPr>
            <w:tcW w:w="540" w:type="dxa"/>
            <w:vAlign w:val="bottom"/>
          </w:tcPr>
          <w:p>
            <w:pPr>
              <w:jc w:val="right"/>
              <w:ind w:right="13"/>
              <w:spacing w:after="0"/>
              <w:rPr>
                <w:sz w:val="20"/>
                <w:szCs w:val="20"/>
                <w:color w:val="auto"/>
              </w:rPr>
            </w:pPr>
            <w:r>
              <w:rPr>
                <w:rFonts w:ascii="Arial" w:cs="Arial" w:eastAsia="Arial" w:hAnsi="Arial"/>
                <w:sz w:val="13"/>
                <w:szCs w:val="13"/>
                <w:color w:val="auto"/>
              </w:rPr>
              <w:t>50%</w:t>
            </w:r>
          </w:p>
        </w:tc>
        <w:tc>
          <w:tcPr>
            <w:tcW w:w="540" w:type="dxa"/>
            <w:vAlign w:val="bottom"/>
          </w:tcPr>
          <w:p>
            <w:pPr>
              <w:jc w:val="right"/>
              <w:ind w:right="13"/>
              <w:spacing w:after="0"/>
              <w:rPr>
                <w:sz w:val="20"/>
                <w:szCs w:val="20"/>
                <w:color w:val="auto"/>
              </w:rPr>
            </w:pPr>
            <w:r>
              <w:rPr>
                <w:rFonts w:ascii="Arial" w:cs="Arial" w:eastAsia="Arial" w:hAnsi="Arial"/>
                <w:sz w:val="13"/>
                <w:szCs w:val="13"/>
                <w:color w:val="auto"/>
              </w:rPr>
              <w:t>50%</w:t>
            </w:r>
          </w:p>
        </w:tc>
      </w:tr>
      <w:tr>
        <w:trPr>
          <w:trHeight w:val="41"/>
        </w:trPr>
        <w:tc>
          <w:tcPr>
            <w:tcW w:w="7420" w:type="dxa"/>
            <w:vAlign w:val="bottom"/>
            <w:tcBorders>
              <w:bottom w:val="single" w:sz="8" w:color="959595"/>
            </w:tcBorders>
          </w:tcPr>
          <w:p>
            <w:pPr>
              <w:spacing w:after="0"/>
              <w:rPr>
                <w:sz w:val="3"/>
                <w:szCs w:val="3"/>
                <w:color w:val="auto"/>
              </w:rPr>
            </w:pPr>
          </w:p>
        </w:tc>
        <w:tc>
          <w:tcPr>
            <w:tcW w:w="1260" w:type="dxa"/>
            <w:vAlign w:val="bottom"/>
            <w:tcBorders>
              <w:bottom w:val="single" w:sz="8" w:color="959595"/>
            </w:tcBorders>
          </w:tcPr>
          <w:p>
            <w:pPr>
              <w:spacing w:after="0"/>
              <w:rPr>
                <w:sz w:val="3"/>
                <w:szCs w:val="3"/>
                <w:color w:val="auto"/>
              </w:rPr>
            </w:pPr>
          </w:p>
        </w:tc>
        <w:tc>
          <w:tcPr>
            <w:tcW w:w="1480" w:type="dxa"/>
            <w:vAlign w:val="bottom"/>
            <w:tcBorders>
              <w:bottom w:val="single" w:sz="8" w:color="959595"/>
            </w:tcBorders>
          </w:tcPr>
          <w:p>
            <w:pPr>
              <w:spacing w:after="0"/>
              <w:rPr>
                <w:sz w:val="3"/>
                <w:szCs w:val="3"/>
                <w:color w:val="auto"/>
              </w:rPr>
            </w:pPr>
          </w:p>
        </w:tc>
        <w:tc>
          <w:tcPr>
            <w:tcW w:w="540" w:type="dxa"/>
            <w:vAlign w:val="bottom"/>
            <w:tcBorders>
              <w:bottom w:val="single" w:sz="8" w:color="959595"/>
            </w:tcBorders>
          </w:tcPr>
          <w:p>
            <w:pPr>
              <w:spacing w:after="0"/>
              <w:rPr>
                <w:sz w:val="3"/>
                <w:szCs w:val="3"/>
                <w:color w:val="auto"/>
              </w:rPr>
            </w:pPr>
          </w:p>
        </w:tc>
        <w:tc>
          <w:tcPr>
            <w:tcW w:w="540" w:type="dxa"/>
            <w:vAlign w:val="bottom"/>
            <w:tcBorders>
              <w:bottom w:val="single" w:sz="8" w:color="959595"/>
            </w:tcBorders>
          </w:tcPr>
          <w:p>
            <w:pPr>
              <w:spacing w:after="0"/>
              <w:rPr>
                <w:sz w:val="3"/>
                <w:szCs w:val="3"/>
                <w:color w:val="auto"/>
              </w:rPr>
            </w:pPr>
          </w:p>
        </w:tc>
      </w:tr>
      <w:tr>
        <w:trPr>
          <w:trHeight w:val="195"/>
        </w:trPr>
        <w:tc>
          <w:tcPr>
            <w:tcW w:w="7420" w:type="dxa"/>
            <w:vAlign w:val="bottom"/>
          </w:tcPr>
          <w:p>
            <w:pPr>
              <w:ind w:left="80"/>
              <w:spacing w:after="0"/>
              <w:rPr>
                <w:sz w:val="20"/>
                <w:szCs w:val="20"/>
                <w:color w:val="auto"/>
              </w:rPr>
            </w:pPr>
            <w:r>
              <w:rPr>
                <w:rFonts w:ascii="Arial" w:cs="Arial" w:eastAsia="Arial" w:hAnsi="Arial"/>
                <w:sz w:val="13"/>
                <w:szCs w:val="13"/>
                <w:b w:val="1"/>
                <w:bCs w:val="1"/>
                <w:color w:val="23628F"/>
              </w:rPr>
              <w:t>Srinivasan Sivaram</w:t>
            </w:r>
          </w:p>
        </w:tc>
        <w:tc>
          <w:tcPr>
            <w:tcW w:w="1260" w:type="dxa"/>
            <w:vAlign w:val="bottom"/>
          </w:tcPr>
          <w:p>
            <w:pPr>
              <w:jc w:val="right"/>
              <w:ind w:right="33"/>
              <w:spacing w:after="0"/>
              <w:rPr>
                <w:sz w:val="20"/>
                <w:szCs w:val="20"/>
                <w:color w:val="auto"/>
              </w:rPr>
            </w:pPr>
            <w:r>
              <w:rPr>
                <w:rFonts w:ascii="Arial" w:cs="Arial" w:eastAsia="Arial" w:hAnsi="Arial"/>
                <w:sz w:val="13"/>
                <w:szCs w:val="13"/>
                <w:color w:val="auto"/>
              </w:rPr>
              <w:t>4,000,000</w:t>
            </w:r>
          </w:p>
        </w:tc>
        <w:tc>
          <w:tcPr>
            <w:tcW w:w="1480" w:type="dxa"/>
            <w:vAlign w:val="bottom"/>
          </w:tcPr>
          <w:p>
            <w:pPr>
              <w:jc w:val="right"/>
              <w:ind w:right="33"/>
              <w:spacing w:after="0"/>
              <w:rPr>
                <w:sz w:val="20"/>
                <w:szCs w:val="20"/>
                <w:color w:val="auto"/>
              </w:rPr>
            </w:pPr>
            <w:r>
              <w:rPr>
                <w:rFonts w:ascii="Arial" w:cs="Arial" w:eastAsia="Arial" w:hAnsi="Arial"/>
                <w:sz w:val="13"/>
                <w:szCs w:val="13"/>
                <w:color w:val="auto"/>
              </w:rPr>
              <w:t>67,417</w:t>
            </w:r>
          </w:p>
        </w:tc>
        <w:tc>
          <w:tcPr>
            <w:tcW w:w="540" w:type="dxa"/>
            <w:vAlign w:val="bottom"/>
          </w:tcPr>
          <w:p>
            <w:pPr>
              <w:jc w:val="right"/>
              <w:ind w:right="13"/>
              <w:spacing w:after="0"/>
              <w:rPr>
                <w:sz w:val="20"/>
                <w:szCs w:val="20"/>
                <w:color w:val="auto"/>
              </w:rPr>
            </w:pPr>
            <w:r>
              <w:rPr>
                <w:rFonts w:ascii="Arial" w:cs="Arial" w:eastAsia="Arial" w:hAnsi="Arial"/>
                <w:sz w:val="13"/>
                <w:szCs w:val="13"/>
                <w:color w:val="auto"/>
              </w:rPr>
              <w:t>50%</w:t>
            </w:r>
          </w:p>
        </w:tc>
        <w:tc>
          <w:tcPr>
            <w:tcW w:w="540" w:type="dxa"/>
            <w:vAlign w:val="bottom"/>
          </w:tcPr>
          <w:p>
            <w:pPr>
              <w:jc w:val="right"/>
              <w:ind w:right="13"/>
              <w:spacing w:after="0"/>
              <w:rPr>
                <w:sz w:val="20"/>
                <w:szCs w:val="20"/>
                <w:color w:val="auto"/>
              </w:rPr>
            </w:pPr>
            <w:r>
              <w:rPr>
                <w:rFonts w:ascii="Arial" w:cs="Arial" w:eastAsia="Arial" w:hAnsi="Arial"/>
                <w:sz w:val="13"/>
                <w:szCs w:val="13"/>
                <w:color w:val="auto"/>
              </w:rPr>
              <w:t>50%</w:t>
            </w:r>
          </w:p>
        </w:tc>
      </w:tr>
      <w:tr>
        <w:trPr>
          <w:trHeight w:val="41"/>
        </w:trPr>
        <w:tc>
          <w:tcPr>
            <w:tcW w:w="7420" w:type="dxa"/>
            <w:vAlign w:val="bottom"/>
            <w:tcBorders>
              <w:bottom w:val="single" w:sz="8" w:color="959595"/>
            </w:tcBorders>
          </w:tcPr>
          <w:p>
            <w:pPr>
              <w:spacing w:after="0"/>
              <w:rPr>
                <w:sz w:val="3"/>
                <w:szCs w:val="3"/>
                <w:color w:val="auto"/>
              </w:rPr>
            </w:pPr>
          </w:p>
        </w:tc>
        <w:tc>
          <w:tcPr>
            <w:tcW w:w="1260" w:type="dxa"/>
            <w:vAlign w:val="bottom"/>
            <w:tcBorders>
              <w:bottom w:val="single" w:sz="8" w:color="959595"/>
            </w:tcBorders>
          </w:tcPr>
          <w:p>
            <w:pPr>
              <w:spacing w:after="0"/>
              <w:rPr>
                <w:sz w:val="3"/>
                <w:szCs w:val="3"/>
                <w:color w:val="auto"/>
              </w:rPr>
            </w:pPr>
          </w:p>
        </w:tc>
        <w:tc>
          <w:tcPr>
            <w:tcW w:w="1480" w:type="dxa"/>
            <w:vAlign w:val="bottom"/>
            <w:tcBorders>
              <w:bottom w:val="single" w:sz="8" w:color="959595"/>
            </w:tcBorders>
          </w:tcPr>
          <w:p>
            <w:pPr>
              <w:spacing w:after="0"/>
              <w:rPr>
                <w:sz w:val="3"/>
                <w:szCs w:val="3"/>
                <w:color w:val="auto"/>
              </w:rPr>
            </w:pPr>
          </w:p>
        </w:tc>
        <w:tc>
          <w:tcPr>
            <w:tcW w:w="540" w:type="dxa"/>
            <w:vAlign w:val="bottom"/>
            <w:tcBorders>
              <w:bottom w:val="single" w:sz="8" w:color="959595"/>
            </w:tcBorders>
          </w:tcPr>
          <w:p>
            <w:pPr>
              <w:spacing w:after="0"/>
              <w:rPr>
                <w:sz w:val="3"/>
                <w:szCs w:val="3"/>
                <w:color w:val="auto"/>
              </w:rPr>
            </w:pPr>
          </w:p>
        </w:tc>
        <w:tc>
          <w:tcPr>
            <w:tcW w:w="540" w:type="dxa"/>
            <w:vAlign w:val="bottom"/>
            <w:tcBorders>
              <w:bottom w:val="single" w:sz="8" w:color="959595"/>
            </w:tcBorders>
          </w:tcPr>
          <w:p>
            <w:pPr>
              <w:spacing w:after="0"/>
              <w:rPr>
                <w:sz w:val="3"/>
                <w:szCs w:val="3"/>
                <w:color w:val="auto"/>
              </w:rPr>
            </w:pPr>
          </w:p>
        </w:tc>
      </w:tr>
      <w:tr>
        <w:trPr>
          <w:trHeight w:val="195"/>
        </w:trPr>
        <w:tc>
          <w:tcPr>
            <w:tcW w:w="7420" w:type="dxa"/>
            <w:vAlign w:val="bottom"/>
          </w:tcPr>
          <w:p>
            <w:pPr>
              <w:ind w:left="80"/>
              <w:spacing w:after="0"/>
              <w:rPr>
                <w:sz w:val="20"/>
                <w:szCs w:val="20"/>
                <w:color w:val="auto"/>
              </w:rPr>
            </w:pPr>
            <w:r>
              <w:rPr>
                <w:rFonts w:ascii="Arial" w:cs="Arial" w:eastAsia="Arial" w:hAnsi="Arial"/>
                <w:sz w:val="13"/>
                <w:szCs w:val="13"/>
                <w:b w:val="1"/>
                <w:bCs w:val="1"/>
                <w:color w:val="23628F"/>
              </w:rPr>
              <w:t>Michael C. Ray</w:t>
            </w:r>
          </w:p>
        </w:tc>
        <w:tc>
          <w:tcPr>
            <w:tcW w:w="1260" w:type="dxa"/>
            <w:vAlign w:val="bottom"/>
          </w:tcPr>
          <w:p>
            <w:pPr>
              <w:jc w:val="right"/>
              <w:ind w:right="33"/>
              <w:spacing w:after="0"/>
              <w:rPr>
                <w:sz w:val="20"/>
                <w:szCs w:val="20"/>
                <w:color w:val="auto"/>
              </w:rPr>
            </w:pPr>
            <w:r>
              <w:rPr>
                <w:rFonts w:ascii="Arial" w:cs="Arial" w:eastAsia="Arial" w:hAnsi="Arial"/>
                <w:sz w:val="13"/>
                <w:szCs w:val="13"/>
                <w:color w:val="auto"/>
              </w:rPr>
              <w:t>3,125,000</w:t>
            </w:r>
          </w:p>
        </w:tc>
        <w:tc>
          <w:tcPr>
            <w:tcW w:w="1480" w:type="dxa"/>
            <w:vAlign w:val="bottom"/>
          </w:tcPr>
          <w:p>
            <w:pPr>
              <w:jc w:val="right"/>
              <w:ind w:right="33"/>
              <w:spacing w:after="0"/>
              <w:rPr>
                <w:sz w:val="20"/>
                <w:szCs w:val="20"/>
                <w:color w:val="auto"/>
              </w:rPr>
            </w:pPr>
            <w:r>
              <w:rPr>
                <w:rFonts w:ascii="Arial" w:cs="Arial" w:eastAsia="Arial" w:hAnsi="Arial"/>
                <w:sz w:val="13"/>
                <w:szCs w:val="13"/>
                <w:color w:val="auto"/>
              </w:rPr>
              <w:t>52,669</w:t>
            </w:r>
          </w:p>
        </w:tc>
        <w:tc>
          <w:tcPr>
            <w:tcW w:w="540" w:type="dxa"/>
            <w:vAlign w:val="bottom"/>
          </w:tcPr>
          <w:p>
            <w:pPr>
              <w:jc w:val="right"/>
              <w:ind w:right="13"/>
              <w:spacing w:after="0"/>
              <w:rPr>
                <w:sz w:val="20"/>
                <w:szCs w:val="20"/>
                <w:color w:val="auto"/>
              </w:rPr>
            </w:pPr>
            <w:r>
              <w:rPr>
                <w:rFonts w:ascii="Arial" w:cs="Arial" w:eastAsia="Arial" w:hAnsi="Arial"/>
                <w:sz w:val="13"/>
                <w:szCs w:val="13"/>
                <w:color w:val="auto"/>
              </w:rPr>
              <w:t>50%</w:t>
            </w:r>
          </w:p>
        </w:tc>
        <w:tc>
          <w:tcPr>
            <w:tcW w:w="540" w:type="dxa"/>
            <w:vAlign w:val="bottom"/>
          </w:tcPr>
          <w:p>
            <w:pPr>
              <w:jc w:val="right"/>
              <w:ind w:right="13"/>
              <w:spacing w:after="0"/>
              <w:rPr>
                <w:sz w:val="20"/>
                <w:szCs w:val="20"/>
                <w:color w:val="auto"/>
              </w:rPr>
            </w:pPr>
            <w:r>
              <w:rPr>
                <w:rFonts w:ascii="Arial" w:cs="Arial" w:eastAsia="Arial" w:hAnsi="Arial"/>
                <w:sz w:val="13"/>
                <w:szCs w:val="13"/>
                <w:color w:val="auto"/>
              </w:rPr>
              <w:t>50%</w:t>
            </w:r>
          </w:p>
        </w:tc>
      </w:tr>
      <w:tr>
        <w:trPr>
          <w:trHeight w:val="41"/>
        </w:trPr>
        <w:tc>
          <w:tcPr>
            <w:tcW w:w="7420" w:type="dxa"/>
            <w:vAlign w:val="bottom"/>
            <w:tcBorders>
              <w:bottom w:val="single" w:sz="8" w:color="959595"/>
            </w:tcBorders>
          </w:tcPr>
          <w:p>
            <w:pPr>
              <w:spacing w:after="0"/>
              <w:rPr>
                <w:sz w:val="3"/>
                <w:szCs w:val="3"/>
                <w:color w:val="auto"/>
              </w:rPr>
            </w:pPr>
          </w:p>
        </w:tc>
        <w:tc>
          <w:tcPr>
            <w:tcW w:w="1260" w:type="dxa"/>
            <w:vAlign w:val="bottom"/>
            <w:tcBorders>
              <w:bottom w:val="single" w:sz="8" w:color="959595"/>
            </w:tcBorders>
          </w:tcPr>
          <w:p>
            <w:pPr>
              <w:spacing w:after="0"/>
              <w:rPr>
                <w:sz w:val="3"/>
                <w:szCs w:val="3"/>
                <w:color w:val="auto"/>
              </w:rPr>
            </w:pPr>
          </w:p>
        </w:tc>
        <w:tc>
          <w:tcPr>
            <w:tcW w:w="1480" w:type="dxa"/>
            <w:vAlign w:val="bottom"/>
            <w:tcBorders>
              <w:bottom w:val="single" w:sz="8" w:color="959595"/>
            </w:tcBorders>
          </w:tcPr>
          <w:p>
            <w:pPr>
              <w:spacing w:after="0"/>
              <w:rPr>
                <w:sz w:val="3"/>
                <w:szCs w:val="3"/>
                <w:color w:val="auto"/>
              </w:rPr>
            </w:pPr>
          </w:p>
        </w:tc>
        <w:tc>
          <w:tcPr>
            <w:tcW w:w="540" w:type="dxa"/>
            <w:vAlign w:val="bottom"/>
            <w:tcBorders>
              <w:bottom w:val="single" w:sz="8" w:color="959595"/>
            </w:tcBorders>
          </w:tcPr>
          <w:p>
            <w:pPr>
              <w:spacing w:after="0"/>
              <w:rPr>
                <w:sz w:val="3"/>
                <w:szCs w:val="3"/>
                <w:color w:val="auto"/>
              </w:rPr>
            </w:pPr>
          </w:p>
        </w:tc>
        <w:tc>
          <w:tcPr>
            <w:tcW w:w="540" w:type="dxa"/>
            <w:vAlign w:val="bottom"/>
            <w:tcBorders>
              <w:bottom w:val="single" w:sz="8" w:color="959595"/>
            </w:tcBorders>
          </w:tcPr>
          <w:p>
            <w:pPr>
              <w:spacing w:after="0"/>
              <w:rPr>
                <w:sz w:val="3"/>
                <w:szCs w:val="3"/>
                <w:color w:val="auto"/>
              </w:rPr>
            </w:pPr>
          </w:p>
        </w:tc>
      </w:tr>
      <w:tr>
        <w:trPr>
          <w:trHeight w:val="196"/>
        </w:trPr>
        <w:tc>
          <w:tcPr>
            <w:tcW w:w="7420" w:type="dxa"/>
            <w:vAlign w:val="bottom"/>
          </w:tcPr>
          <w:p>
            <w:pPr>
              <w:ind w:left="80"/>
              <w:spacing w:after="0"/>
              <w:rPr>
                <w:sz w:val="20"/>
                <w:szCs w:val="20"/>
                <w:color w:val="auto"/>
              </w:rPr>
            </w:pPr>
            <w:r>
              <w:rPr>
                <w:rFonts w:ascii="Arial" w:cs="Arial" w:eastAsia="Arial" w:hAnsi="Arial"/>
                <w:sz w:val="13"/>
                <w:szCs w:val="13"/>
                <w:b w:val="1"/>
                <w:bCs w:val="1"/>
                <w:color w:val="23628F"/>
              </w:rPr>
              <w:t>Lori S. Sundberg</w:t>
            </w:r>
          </w:p>
        </w:tc>
        <w:tc>
          <w:tcPr>
            <w:tcW w:w="1260" w:type="dxa"/>
            <w:vAlign w:val="bottom"/>
          </w:tcPr>
          <w:p>
            <w:pPr>
              <w:jc w:val="right"/>
              <w:ind w:right="33"/>
              <w:spacing w:after="0"/>
              <w:rPr>
                <w:sz w:val="20"/>
                <w:szCs w:val="20"/>
                <w:color w:val="auto"/>
              </w:rPr>
            </w:pPr>
            <w:r>
              <w:rPr>
                <w:rFonts w:ascii="Arial" w:cs="Arial" w:eastAsia="Arial" w:hAnsi="Arial"/>
                <w:sz w:val="13"/>
                <w:szCs w:val="13"/>
                <w:color w:val="auto"/>
              </w:rPr>
              <w:t>2,250,000</w:t>
            </w:r>
          </w:p>
        </w:tc>
        <w:tc>
          <w:tcPr>
            <w:tcW w:w="1480" w:type="dxa"/>
            <w:vAlign w:val="bottom"/>
          </w:tcPr>
          <w:p>
            <w:pPr>
              <w:jc w:val="right"/>
              <w:ind w:right="33"/>
              <w:spacing w:after="0"/>
              <w:rPr>
                <w:sz w:val="20"/>
                <w:szCs w:val="20"/>
                <w:color w:val="auto"/>
              </w:rPr>
            </w:pPr>
            <w:r>
              <w:rPr>
                <w:rFonts w:ascii="Arial" w:cs="Arial" w:eastAsia="Arial" w:hAnsi="Arial"/>
                <w:sz w:val="13"/>
                <w:szCs w:val="13"/>
                <w:color w:val="auto"/>
              </w:rPr>
              <w:t>37,921</w:t>
            </w:r>
          </w:p>
        </w:tc>
        <w:tc>
          <w:tcPr>
            <w:tcW w:w="540" w:type="dxa"/>
            <w:vAlign w:val="bottom"/>
          </w:tcPr>
          <w:p>
            <w:pPr>
              <w:jc w:val="right"/>
              <w:ind w:right="13"/>
              <w:spacing w:after="0"/>
              <w:rPr>
                <w:sz w:val="20"/>
                <w:szCs w:val="20"/>
                <w:color w:val="auto"/>
              </w:rPr>
            </w:pPr>
            <w:r>
              <w:rPr>
                <w:rFonts w:ascii="Arial" w:cs="Arial" w:eastAsia="Arial" w:hAnsi="Arial"/>
                <w:sz w:val="13"/>
                <w:szCs w:val="13"/>
                <w:color w:val="auto"/>
              </w:rPr>
              <w:t>50%</w:t>
            </w:r>
          </w:p>
        </w:tc>
        <w:tc>
          <w:tcPr>
            <w:tcW w:w="540" w:type="dxa"/>
            <w:vAlign w:val="bottom"/>
          </w:tcPr>
          <w:p>
            <w:pPr>
              <w:jc w:val="right"/>
              <w:ind w:right="13"/>
              <w:spacing w:after="0"/>
              <w:rPr>
                <w:sz w:val="20"/>
                <w:szCs w:val="20"/>
                <w:color w:val="auto"/>
              </w:rPr>
            </w:pPr>
            <w:r>
              <w:rPr>
                <w:rFonts w:ascii="Arial" w:cs="Arial" w:eastAsia="Arial" w:hAnsi="Arial"/>
                <w:sz w:val="13"/>
                <w:szCs w:val="13"/>
                <w:color w:val="auto"/>
              </w:rPr>
              <w:t>50%</w:t>
            </w:r>
          </w:p>
        </w:tc>
      </w:tr>
      <w:tr>
        <w:trPr>
          <w:trHeight w:val="41"/>
        </w:trPr>
        <w:tc>
          <w:tcPr>
            <w:tcW w:w="7420" w:type="dxa"/>
            <w:vAlign w:val="bottom"/>
            <w:tcBorders>
              <w:bottom w:val="single" w:sz="8" w:color="959595"/>
            </w:tcBorders>
          </w:tcPr>
          <w:p>
            <w:pPr>
              <w:spacing w:after="0"/>
              <w:rPr>
                <w:sz w:val="3"/>
                <w:szCs w:val="3"/>
                <w:color w:val="auto"/>
              </w:rPr>
            </w:pPr>
          </w:p>
        </w:tc>
        <w:tc>
          <w:tcPr>
            <w:tcW w:w="1260" w:type="dxa"/>
            <w:vAlign w:val="bottom"/>
            <w:tcBorders>
              <w:bottom w:val="single" w:sz="8" w:color="959595"/>
            </w:tcBorders>
          </w:tcPr>
          <w:p>
            <w:pPr>
              <w:spacing w:after="0"/>
              <w:rPr>
                <w:sz w:val="3"/>
                <w:szCs w:val="3"/>
                <w:color w:val="auto"/>
              </w:rPr>
            </w:pPr>
          </w:p>
        </w:tc>
        <w:tc>
          <w:tcPr>
            <w:tcW w:w="1480" w:type="dxa"/>
            <w:vAlign w:val="bottom"/>
            <w:tcBorders>
              <w:bottom w:val="single" w:sz="8" w:color="959595"/>
            </w:tcBorders>
          </w:tcPr>
          <w:p>
            <w:pPr>
              <w:spacing w:after="0"/>
              <w:rPr>
                <w:sz w:val="3"/>
                <w:szCs w:val="3"/>
                <w:color w:val="auto"/>
              </w:rPr>
            </w:pPr>
          </w:p>
        </w:tc>
        <w:tc>
          <w:tcPr>
            <w:tcW w:w="540" w:type="dxa"/>
            <w:vAlign w:val="bottom"/>
            <w:tcBorders>
              <w:bottom w:val="single" w:sz="8" w:color="959595"/>
            </w:tcBorders>
          </w:tcPr>
          <w:p>
            <w:pPr>
              <w:spacing w:after="0"/>
              <w:rPr>
                <w:sz w:val="3"/>
                <w:szCs w:val="3"/>
                <w:color w:val="auto"/>
              </w:rPr>
            </w:pPr>
          </w:p>
        </w:tc>
        <w:tc>
          <w:tcPr>
            <w:tcW w:w="540" w:type="dxa"/>
            <w:vAlign w:val="bottom"/>
            <w:tcBorders>
              <w:bottom w:val="single" w:sz="8" w:color="959595"/>
            </w:tcBorders>
          </w:tcPr>
          <w:p>
            <w:pPr>
              <w:spacing w:after="0"/>
              <w:rPr>
                <w:sz w:val="3"/>
                <w:szCs w:val="3"/>
                <w:color w:val="auto"/>
              </w:rPr>
            </w:pPr>
          </w:p>
        </w:tc>
      </w:tr>
      <w:tr>
        <w:trPr>
          <w:trHeight w:val="196"/>
        </w:trPr>
        <w:tc>
          <w:tcPr>
            <w:tcW w:w="7420" w:type="dxa"/>
            <w:vAlign w:val="bottom"/>
          </w:tcPr>
          <w:p>
            <w:pPr>
              <w:ind w:left="80"/>
              <w:spacing w:after="0"/>
              <w:rPr>
                <w:sz w:val="20"/>
                <w:szCs w:val="20"/>
                <w:color w:val="auto"/>
              </w:rPr>
            </w:pPr>
            <w:r>
              <w:rPr>
                <w:rFonts w:ascii="Arial" w:cs="Arial" w:eastAsia="Arial" w:hAnsi="Arial"/>
                <w:sz w:val="13"/>
                <w:szCs w:val="13"/>
                <w:b w:val="1"/>
                <w:bCs w:val="1"/>
                <w:color w:val="23628F"/>
              </w:rPr>
              <w:t>Stephen D. Milligan</w:t>
            </w:r>
          </w:p>
        </w:tc>
        <w:tc>
          <w:tcPr>
            <w:tcW w:w="1260" w:type="dxa"/>
            <w:vAlign w:val="bottom"/>
          </w:tcPr>
          <w:p>
            <w:pPr>
              <w:jc w:val="right"/>
              <w:ind w:right="33"/>
              <w:spacing w:after="0"/>
              <w:rPr>
                <w:sz w:val="20"/>
                <w:szCs w:val="20"/>
                <w:color w:val="auto"/>
              </w:rPr>
            </w:pPr>
            <w:r>
              <w:rPr>
                <w:rFonts w:ascii="Arial" w:cs="Arial" w:eastAsia="Arial" w:hAnsi="Arial"/>
                <w:sz w:val="13"/>
                <w:szCs w:val="13"/>
                <w:color w:val="auto"/>
              </w:rPr>
              <w:t>12,000,000</w:t>
            </w:r>
          </w:p>
        </w:tc>
        <w:tc>
          <w:tcPr>
            <w:tcW w:w="1480" w:type="dxa"/>
            <w:vAlign w:val="bottom"/>
          </w:tcPr>
          <w:p>
            <w:pPr>
              <w:jc w:val="right"/>
              <w:ind w:right="33"/>
              <w:spacing w:after="0"/>
              <w:rPr>
                <w:sz w:val="20"/>
                <w:szCs w:val="20"/>
                <w:color w:val="auto"/>
              </w:rPr>
            </w:pPr>
            <w:r>
              <w:rPr>
                <w:rFonts w:ascii="Arial" w:cs="Arial" w:eastAsia="Arial" w:hAnsi="Arial"/>
                <w:sz w:val="13"/>
                <w:szCs w:val="13"/>
                <w:color w:val="auto"/>
              </w:rPr>
              <w:t>202,257</w:t>
            </w:r>
          </w:p>
        </w:tc>
        <w:tc>
          <w:tcPr>
            <w:tcW w:w="540" w:type="dxa"/>
            <w:vAlign w:val="bottom"/>
          </w:tcPr>
          <w:p>
            <w:pPr>
              <w:jc w:val="right"/>
              <w:ind w:right="13"/>
              <w:spacing w:after="0"/>
              <w:rPr>
                <w:sz w:val="20"/>
                <w:szCs w:val="20"/>
                <w:color w:val="auto"/>
              </w:rPr>
            </w:pPr>
            <w:r>
              <w:rPr>
                <w:rFonts w:ascii="Arial" w:cs="Arial" w:eastAsia="Arial" w:hAnsi="Arial"/>
                <w:sz w:val="13"/>
                <w:szCs w:val="13"/>
                <w:color w:val="auto"/>
              </w:rPr>
              <w:t>60%</w:t>
            </w:r>
          </w:p>
        </w:tc>
        <w:tc>
          <w:tcPr>
            <w:tcW w:w="540" w:type="dxa"/>
            <w:vAlign w:val="bottom"/>
          </w:tcPr>
          <w:p>
            <w:pPr>
              <w:jc w:val="right"/>
              <w:ind w:right="13"/>
              <w:spacing w:after="0"/>
              <w:rPr>
                <w:sz w:val="20"/>
                <w:szCs w:val="20"/>
                <w:color w:val="auto"/>
              </w:rPr>
            </w:pPr>
            <w:r>
              <w:rPr>
                <w:rFonts w:ascii="Arial" w:cs="Arial" w:eastAsia="Arial" w:hAnsi="Arial"/>
                <w:sz w:val="13"/>
                <w:szCs w:val="13"/>
                <w:color w:val="auto"/>
              </w:rPr>
              <w:t>40%</w:t>
            </w:r>
          </w:p>
        </w:tc>
      </w:tr>
      <w:tr>
        <w:trPr>
          <w:trHeight w:val="41"/>
        </w:trPr>
        <w:tc>
          <w:tcPr>
            <w:tcW w:w="7420" w:type="dxa"/>
            <w:vAlign w:val="bottom"/>
            <w:tcBorders>
              <w:bottom w:val="single" w:sz="8" w:color="959595"/>
            </w:tcBorders>
          </w:tcPr>
          <w:p>
            <w:pPr>
              <w:spacing w:after="0"/>
              <w:rPr>
                <w:sz w:val="3"/>
                <w:szCs w:val="3"/>
                <w:color w:val="auto"/>
              </w:rPr>
            </w:pPr>
          </w:p>
        </w:tc>
        <w:tc>
          <w:tcPr>
            <w:tcW w:w="1260" w:type="dxa"/>
            <w:vAlign w:val="bottom"/>
            <w:tcBorders>
              <w:bottom w:val="single" w:sz="8" w:color="959595"/>
            </w:tcBorders>
          </w:tcPr>
          <w:p>
            <w:pPr>
              <w:spacing w:after="0"/>
              <w:rPr>
                <w:sz w:val="3"/>
                <w:szCs w:val="3"/>
                <w:color w:val="auto"/>
              </w:rPr>
            </w:pPr>
          </w:p>
        </w:tc>
        <w:tc>
          <w:tcPr>
            <w:tcW w:w="1480" w:type="dxa"/>
            <w:vAlign w:val="bottom"/>
            <w:tcBorders>
              <w:bottom w:val="single" w:sz="8" w:color="959595"/>
            </w:tcBorders>
          </w:tcPr>
          <w:p>
            <w:pPr>
              <w:spacing w:after="0"/>
              <w:rPr>
                <w:sz w:val="3"/>
                <w:szCs w:val="3"/>
                <w:color w:val="auto"/>
              </w:rPr>
            </w:pPr>
          </w:p>
        </w:tc>
        <w:tc>
          <w:tcPr>
            <w:tcW w:w="540" w:type="dxa"/>
            <w:vAlign w:val="bottom"/>
            <w:tcBorders>
              <w:bottom w:val="single" w:sz="8" w:color="959595"/>
            </w:tcBorders>
          </w:tcPr>
          <w:p>
            <w:pPr>
              <w:spacing w:after="0"/>
              <w:rPr>
                <w:sz w:val="3"/>
                <w:szCs w:val="3"/>
                <w:color w:val="auto"/>
              </w:rPr>
            </w:pPr>
          </w:p>
        </w:tc>
        <w:tc>
          <w:tcPr>
            <w:tcW w:w="540" w:type="dxa"/>
            <w:vAlign w:val="bottom"/>
            <w:tcBorders>
              <w:bottom w:val="single" w:sz="8" w:color="959595"/>
            </w:tcBorders>
          </w:tcPr>
          <w:p>
            <w:pPr>
              <w:spacing w:after="0"/>
              <w:rPr>
                <w:sz w:val="3"/>
                <w:szCs w:val="3"/>
                <w:color w:val="auto"/>
              </w:rPr>
            </w:pPr>
          </w:p>
        </w:tc>
      </w:tr>
      <w:tr>
        <w:trPr>
          <w:trHeight w:val="196"/>
        </w:trPr>
        <w:tc>
          <w:tcPr>
            <w:tcW w:w="7420" w:type="dxa"/>
            <w:vAlign w:val="bottom"/>
          </w:tcPr>
          <w:p>
            <w:pPr>
              <w:ind w:left="80"/>
              <w:spacing w:after="0"/>
              <w:rPr>
                <w:sz w:val="20"/>
                <w:szCs w:val="20"/>
                <w:color w:val="auto"/>
              </w:rPr>
            </w:pPr>
            <w:r>
              <w:rPr>
                <w:rFonts w:ascii="Arial" w:cs="Arial" w:eastAsia="Arial" w:hAnsi="Arial"/>
                <w:sz w:val="13"/>
                <w:szCs w:val="13"/>
                <w:b w:val="1"/>
                <w:bCs w:val="1"/>
                <w:color w:val="23628F"/>
              </w:rPr>
              <w:t>Michael D. Cordano</w:t>
            </w:r>
          </w:p>
        </w:tc>
        <w:tc>
          <w:tcPr>
            <w:tcW w:w="1260" w:type="dxa"/>
            <w:vAlign w:val="bottom"/>
          </w:tcPr>
          <w:p>
            <w:pPr>
              <w:jc w:val="right"/>
              <w:ind w:right="33"/>
              <w:spacing w:after="0"/>
              <w:rPr>
                <w:sz w:val="20"/>
                <w:szCs w:val="20"/>
                <w:color w:val="auto"/>
              </w:rPr>
            </w:pPr>
            <w:r>
              <w:rPr>
                <w:rFonts w:ascii="Arial" w:cs="Arial" w:eastAsia="Arial" w:hAnsi="Arial"/>
                <w:sz w:val="13"/>
                <w:szCs w:val="13"/>
                <w:color w:val="auto"/>
              </w:rPr>
              <w:t>4,800,000</w:t>
            </w:r>
          </w:p>
        </w:tc>
        <w:tc>
          <w:tcPr>
            <w:tcW w:w="1480" w:type="dxa"/>
            <w:vAlign w:val="bottom"/>
          </w:tcPr>
          <w:p>
            <w:pPr>
              <w:jc w:val="right"/>
              <w:ind w:right="33"/>
              <w:spacing w:after="0"/>
              <w:rPr>
                <w:sz w:val="20"/>
                <w:szCs w:val="20"/>
                <w:color w:val="auto"/>
              </w:rPr>
            </w:pPr>
            <w:r>
              <w:rPr>
                <w:rFonts w:ascii="Arial" w:cs="Arial" w:eastAsia="Arial" w:hAnsi="Arial"/>
                <w:sz w:val="13"/>
                <w:szCs w:val="13"/>
                <w:color w:val="auto"/>
              </w:rPr>
              <w:t>80,901</w:t>
            </w:r>
          </w:p>
        </w:tc>
        <w:tc>
          <w:tcPr>
            <w:tcW w:w="540" w:type="dxa"/>
            <w:vAlign w:val="bottom"/>
          </w:tcPr>
          <w:p>
            <w:pPr>
              <w:jc w:val="right"/>
              <w:ind w:right="13"/>
              <w:spacing w:after="0"/>
              <w:rPr>
                <w:sz w:val="20"/>
                <w:szCs w:val="20"/>
                <w:color w:val="auto"/>
              </w:rPr>
            </w:pPr>
            <w:r>
              <w:rPr>
                <w:rFonts w:ascii="Arial" w:cs="Arial" w:eastAsia="Arial" w:hAnsi="Arial"/>
                <w:sz w:val="13"/>
                <w:szCs w:val="13"/>
                <w:color w:val="auto"/>
              </w:rPr>
              <w:t>50%</w:t>
            </w:r>
          </w:p>
        </w:tc>
        <w:tc>
          <w:tcPr>
            <w:tcW w:w="540" w:type="dxa"/>
            <w:vAlign w:val="bottom"/>
          </w:tcPr>
          <w:p>
            <w:pPr>
              <w:jc w:val="right"/>
              <w:ind w:right="13"/>
              <w:spacing w:after="0"/>
              <w:rPr>
                <w:sz w:val="20"/>
                <w:szCs w:val="20"/>
                <w:color w:val="auto"/>
              </w:rPr>
            </w:pPr>
            <w:r>
              <w:rPr>
                <w:rFonts w:ascii="Arial" w:cs="Arial" w:eastAsia="Arial" w:hAnsi="Arial"/>
                <w:sz w:val="13"/>
                <w:szCs w:val="13"/>
                <w:color w:val="auto"/>
              </w:rPr>
              <w:t>50%</w:t>
            </w:r>
          </w:p>
        </w:tc>
      </w:tr>
      <w:tr>
        <w:trPr>
          <w:trHeight w:val="41"/>
        </w:trPr>
        <w:tc>
          <w:tcPr>
            <w:tcW w:w="7420" w:type="dxa"/>
            <w:vAlign w:val="bottom"/>
            <w:tcBorders>
              <w:bottom w:val="single" w:sz="8" w:color="959595"/>
            </w:tcBorders>
          </w:tcPr>
          <w:p>
            <w:pPr>
              <w:spacing w:after="0"/>
              <w:rPr>
                <w:sz w:val="3"/>
                <w:szCs w:val="3"/>
                <w:color w:val="auto"/>
              </w:rPr>
            </w:pPr>
          </w:p>
        </w:tc>
        <w:tc>
          <w:tcPr>
            <w:tcW w:w="1260" w:type="dxa"/>
            <w:vAlign w:val="bottom"/>
            <w:tcBorders>
              <w:bottom w:val="single" w:sz="8" w:color="959595"/>
            </w:tcBorders>
          </w:tcPr>
          <w:p>
            <w:pPr>
              <w:spacing w:after="0"/>
              <w:rPr>
                <w:sz w:val="3"/>
                <w:szCs w:val="3"/>
                <w:color w:val="auto"/>
              </w:rPr>
            </w:pPr>
          </w:p>
        </w:tc>
        <w:tc>
          <w:tcPr>
            <w:tcW w:w="1480" w:type="dxa"/>
            <w:vAlign w:val="bottom"/>
            <w:tcBorders>
              <w:bottom w:val="single" w:sz="8" w:color="959595"/>
            </w:tcBorders>
          </w:tcPr>
          <w:p>
            <w:pPr>
              <w:spacing w:after="0"/>
              <w:rPr>
                <w:sz w:val="3"/>
                <w:szCs w:val="3"/>
                <w:color w:val="auto"/>
              </w:rPr>
            </w:pPr>
          </w:p>
        </w:tc>
        <w:tc>
          <w:tcPr>
            <w:tcW w:w="540" w:type="dxa"/>
            <w:vAlign w:val="bottom"/>
            <w:tcBorders>
              <w:bottom w:val="single" w:sz="8" w:color="959595"/>
            </w:tcBorders>
          </w:tcPr>
          <w:p>
            <w:pPr>
              <w:spacing w:after="0"/>
              <w:rPr>
                <w:sz w:val="3"/>
                <w:szCs w:val="3"/>
                <w:color w:val="auto"/>
              </w:rPr>
            </w:pPr>
          </w:p>
        </w:tc>
        <w:tc>
          <w:tcPr>
            <w:tcW w:w="540" w:type="dxa"/>
            <w:vAlign w:val="bottom"/>
            <w:tcBorders>
              <w:bottom w:val="single" w:sz="8" w:color="959595"/>
            </w:tcBorders>
          </w:tcPr>
          <w:p>
            <w:pPr>
              <w:spacing w:after="0"/>
              <w:rPr>
                <w:sz w:val="3"/>
                <w:szCs w:val="3"/>
                <w:color w:val="auto"/>
              </w:rPr>
            </w:pPr>
          </w:p>
        </w:tc>
      </w:tr>
    </w:tbl>
    <w:p>
      <w:pPr>
        <w:spacing w:after="0" w:line="107" w:lineRule="exact"/>
        <w:rPr>
          <w:sz w:val="20"/>
          <w:szCs w:val="20"/>
          <w:color w:val="auto"/>
        </w:rPr>
      </w:pPr>
    </w:p>
    <w:p>
      <w:pPr>
        <w:jc w:val="both"/>
        <w:ind w:left="300" w:right="60" w:hanging="292"/>
        <w:spacing w:after="0" w:line="238" w:lineRule="auto"/>
        <w:tabs>
          <w:tab w:leader="none" w:pos="300" w:val="left"/>
        </w:tabs>
        <w:numPr>
          <w:ilvl w:val="0"/>
          <w:numId w:val="174"/>
        </w:numPr>
        <w:rPr>
          <w:rFonts w:ascii="Arial" w:cs="Arial" w:eastAsia="Arial" w:hAnsi="Arial"/>
          <w:sz w:val="11"/>
          <w:szCs w:val="11"/>
          <w:color w:val="auto"/>
        </w:rPr>
      </w:pPr>
      <w:r>
        <w:rPr>
          <w:rFonts w:ascii="Arial" w:cs="Arial" w:eastAsia="Arial" w:hAnsi="Arial"/>
          <w:sz w:val="13"/>
          <w:szCs w:val="13"/>
          <w:color w:val="auto"/>
        </w:rPr>
        <w:t>The differences between the target grant values approved by the Compensation and Talent Committee and reflected in the table above, and the grant date fair values of the awards as determined for financial reporting purposes and reflected in the Summary Compensation Table and the Grants of Plan-Based Awards Table below, is attributable to the use of a Monte Carlo simulation to determine the grant date fair value of the relative TSR PSUs for financial reporting purposes.</w:t>
      </w:r>
    </w:p>
    <w:p>
      <w:pPr>
        <w:ind w:left="300" w:right="140" w:hanging="292"/>
        <w:spacing w:after="0" w:line="245" w:lineRule="auto"/>
        <w:tabs>
          <w:tab w:leader="none" w:pos="300" w:val="left"/>
        </w:tabs>
        <w:numPr>
          <w:ilvl w:val="0"/>
          <w:numId w:val="174"/>
        </w:numPr>
        <w:rPr>
          <w:rFonts w:ascii="Arial" w:cs="Arial" w:eastAsia="Arial" w:hAnsi="Arial"/>
          <w:sz w:val="11"/>
          <w:szCs w:val="11"/>
          <w:color w:val="auto"/>
        </w:rPr>
      </w:pPr>
      <w:r>
        <w:rPr>
          <w:rFonts w:ascii="Arial" w:cs="Arial" w:eastAsia="Arial" w:hAnsi="Arial"/>
          <w:sz w:val="13"/>
          <w:szCs w:val="13"/>
          <w:color w:val="auto"/>
        </w:rPr>
        <w:t>The number of shares, in the case of both PSUs at the target level of performance and RSUs, was determined by dividing the target awarded grant value by the closing price of our common stock on the Nasdaq Stock Market on the grant date, rounded down to the nearest share. The closing price of our common stock on March 9, 2020, the grant date for Mr. Goeckeler’s fiscal 2020 LTI awards, was $47.40 per share. The closing price of our common stock on September 4, 2019, the grant date for our other named executive officers’ fiscal 2020 LTI awards, was $59.33 per share.</w:t>
      </w:r>
    </w:p>
    <w:p>
      <w:pPr>
        <w:spacing w:after="0" w:line="222"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5FC4AF"/>
        </w:rPr>
        <w:t>Three-Year CEO Transition PSU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34290" cy="17145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429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151765</wp:posOffset>
            </wp:positionV>
            <wp:extent cx="4080510" cy="1045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4080510"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60"/>
        <w:spacing w:after="0" w:line="245" w:lineRule="auto"/>
        <w:rPr>
          <w:sz w:val="20"/>
          <w:szCs w:val="20"/>
          <w:color w:val="auto"/>
        </w:rPr>
      </w:pPr>
      <w:r>
        <w:rPr>
          <w:rFonts w:ascii="Arial" w:cs="Arial" w:eastAsia="Arial" w:hAnsi="Arial"/>
          <w:sz w:val="13"/>
          <w:szCs w:val="13"/>
          <w:color w:val="auto"/>
        </w:rPr>
        <w:t>Mr. Goeckeler’s transition PSU award was granted in March 2020. He may earn shares under this award based on our stock performance, assuming reinvestment of dividends, relative to the performance of the S&amp;P 500 constituent companies as of March 9, 2020 (the first day of the performance measurement period). The Compensation and Talent Committee chose S&amp;P 500 constituent companies as the comparator group for the PSU award because these companies represent the broader U.S. equities market and the comparator group provides our Chief Executive Officer with a clear line of sight with respect to our stock performance relative to the broader market.</w:t>
      </w:r>
    </w:p>
    <w:p>
      <w:pPr>
        <w:spacing w:after="0" w:line="181" w:lineRule="exact"/>
        <w:rPr>
          <w:sz w:val="20"/>
          <w:szCs w:val="20"/>
          <w:color w:val="auto"/>
        </w:rPr>
      </w:pPr>
    </w:p>
    <w:p>
      <w:pPr>
        <w:ind w:left="9220"/>
        <w:spacing w:after="0"/>
        <w:tabs>
          <w:tab w:leader="none" w:pos="11020" w:val="left"/>
        </w:tabs>
        <w:rPr>
          <w:sz w:val="20"/>
          <w:szCs w:val="20"/>
          <w:color w:val="auto"/>
        </w:rPr>
      </w:pPr>
      <w:r>
        <w:rPr>
          <w:rFonts w:ascii="Arial" w:cs="Arial" w:eastAsia="Arial" w:hAnsi="Arial"/>
          <w:sz w:val="13"/>
          <w:szCs w:val="13"/>
          <w:color w:val="23628F"/>
        </w:rPr>
        <w:t>2020 PROXY STATEMENT</w:t>
      </w:r>
      <w:r>
        <w:rPr>
          <w:sz w:val="20"/>
          <w:szCs w:val="20"/>
          <w:color w:val="auto"/>
        </w:rPr>
        <w:tab/>
      </w:r>
      <w:r>
        <w:rPr>
          <w:rFonts w:ascii="Arial" w:cs="Arial" w:eastAsia="Arial" w:hAnsi="Arial"/>
          <w:sz w:val="16"/>
          <w:szCs w:val="16"/>
          <w:b w:val="1"/>
          <w:bCs w:val="1"/>
          <w:color w:val="23628F"/>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153275" cy="215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23628F"/>
        </w:rPr>
        <w:t>COMPENSATION DISCUSSION AND ANALYSIS</w:t>
      </w:r>
    </w:p>
    <w:p>
      <w:pPr>
        <w:spacing w:after="0" w:line="222" w:lineRule="exact"/>
        <w:rPr>
          <w:sz w:val="20"/>
          <w:szCs w:val="20"/>
          <w:color w:val="auto"/>
        </w:rPr>
      </w:pPr>
    </w:p>
    <w:p>
      <w:pPr>
        <w:ind w:right="180"/>
        <w:spacing w:after="0"/>
        <w:rPr>
          <w:sz w:val="20"/>
          <w:szCs w:val="20"/>
          <w:color w:val="auto"/>
        </w:rPr>
      </w:pPr>
      <w:r>
        <w:rPr>
          <w:rFonts w:ascii="Arial" w:cs="Arial" w:eastAsia="Arial" w:hAnsi="Arial"/>
          <w:sz w:val="13"/>
          <w:szCs w:val="13"/>
          <w:color w:val="auto"/>
        </w:rPr>
        <w:t xml:space="preserve">The Compensation and Talent Committee established a rigorous target for Mr. Goeckeler’s PSU award, which requires our stock performance to exceed the 57 </w:t>
      </w:r>
      <w:r>
        <w:rPr>
          <w:rFonts w:ascii="Arial" w:cs="Arial" w:eastAsia="Arial" w:hAnsi="Arial"/>
          <w:sz w:val="22"/>
          <w:szCs w:val="22"/>
          <w:color w:val="auto"/>
          <w:vertAlign w:val="superscript"/>
        </w:rPr>
        <w:t>th</w:t>
      </w:r>
      <w:r>
        <w:rPr>
          <w:rFonts w:ascii="Arial" w:cs="Arial" w:eastAsia="Arial" w:hAnsi="Arial"/>
          <w:sz w:val="13"/>
          <w:szCs w:val="13"/>
          <w:color w:val="auto"/>
        </w:rPr>
        <w:t xml:space="preserve"> percentile relative to the peer group companies for Mr. Goeckeler to receive a target payout under the award. Further, the Compensation and Talent Committee determined that median relative TSR performance during this period would result in a meaningfully reduced payout, set at 80% of target. The award is also capped at 150% of the target payout to manage our potential dilution under the award.</w:t>
      </w:r>
    </w:p>
    <w:p>
      <w:pPr>
        <w:spacing w:after="0" w:line="292" w:lineRule="exact"/>
        <w:rPr>
          <w:sz w:val="20"/>
          <w:szCs w:val="20"/>
          <w:color w:val="auto"/>
        </w:rPr>
      </w:pPr>
    </w:p>
    <w:p>
      <w:pPr>
        <w:ind w:right="780"/>
        <w:spacing w:after="0" w:line="258" w:lineRule="auto"/>
        <w:rPr>
          <w:sz w:val="20"/>
          <w:szCs w:val="20"/>
          <w:color w:val="auto"/>
        </w:rPr>
      </w:pPr>
      <w:r>
        <w:rPr>
          <w:rFonts w:ascii="Arial" w:cs="Arial" w:eastAsia="Arial" w:hAnsi="Arial"/>
          <w:sz w:val="13"/>
          <w:szCs w:val="13"/>
          <w:color w:val="auto"/>
        </w:rPr>
        <w:t>The percentage of Mr. Goeckeler’s relative TSR PSUs that can be earned at the end of the three-year performance period is set forth below. Straight-line interpolation is used if performance falls between two points.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40" w:type="dxa"/>
            <w:vAlign w:val="bottom"/>
            <w:tcBorders>
              <w:right w:val="single" w:sz="8" w:color="auto"/>
            </w:tcBorders>
          </w:tcPr>
          <w:p>
            <w:pPr>
              <w:spacing w:after="0"/>
              <w:rPr>
                <w:sz w:val="13"/>
                <w:szCs w:val="13"/>
                <w:color w:val="auto"/>
              </w:rPr>
            </w:pPr>
          </w:p>
        </w:tc>
        <w:tc>
          <w:tcPr>
            <w:tcW w:w="5620" w:type="dxa"/>
            <w:vAlign w:val="bottom"/>
            <w:tcBorders>
              <w:right w:val="single" w:sz="8" w:color="auto"/>
            </w:tcBorders>
          </w:tcPr>
          <w:p>
            <w:pPr>
              <w:ind w:left="60"/>
              <w:spacing w:after="0"/>
              <w:rPr>
                <w:sz w:val="20"/>
                <w:szCs w:val="20"/>
                <w:color w:val="auto"/>
              </w:rPr>
            </w:pPr>
            <w:r>
              <w:rPr>
                <w:rFonts w:ascii="Arial" w:cs="Arial" w:eastAsia="Arial" w:hAnsi="Arial"/>
                <w:sz w:val="13"/>
                <w:szCs w:val="13"/>
                <w:b w:val="1"/>
                <w:bCs w:val="1"/>
                <w:color w:val="auto"/>
              </w:rPr>
              <w:t>Western Digital’s TSR Results Relative to S&amp;P 500</w:t>
            </w:r>
          </w:p>
        </w:tc>
        <w:tc>
          <w:tcPr>
            <w:tcW w:w="2780" w:type="dxa"/>
            <w:vAlign w:val="bottom"/>
          </w:tcPr>
          <w:p>
            <w:pPr>
              <w:jc w:val="right"/>
              <w:ind w:right="13"/>
              <w:spacing w:after="0"/>
              <w:rPr>
                <w:sz w:val="20"/>
                <w:szCs w:val="20"/>
                <w:color w:val="auto"/>
              </w:rPr>
            </w:pPr>
            <w:r>
              <w:rPr>
                <w:rFonts w:ascii="Arial" w:cs="Arial" w:eastAsia="Arial" w:hAnsi="Arial"/>
                <w:sz w:val="13"/>
                <w:szCs w:val="13"/>
                <w:b w:val="1"/>
                <w:bCs w:val="1"/>
                <w:color w:val="auto"/>
              </w:rPr>
              <w:t>Portion of the PSUs Subject to the</w:t>
            </w:r>
          </w:p>
        </w:tc>
      </w:tr>
      <w:tr>
        <w:trPr>
          <w:trHeight w:val="165"/>
        </w:trPr>
        <w:tc>
          <w:tcPr>
            <w:tcW w:w="28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rPr>
              <w:t>Payout Level</w:t>
            </w:r>
          </w:p>
        </w:tc>
        <w:tc>
          <w:tcPr>
            <w:tcW w:w="56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rPr>
              <w:t>Constituent Companies during the Measurement Period</w:t>
            </w:r>
          </w:p>
        </w:tc>
        <w:tc>
          <w:tcPr>
            <w:tcW w:w="27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Award that Become Eligible to Vest</w:t>
            </w:r>
          </w:p>
        </w:tc>
      </w:tr>
      <w:tr>
        <w:trPr>
          <w:trHeight w:val="291"/>
        </w:trPr>
        <w:tc>
          <w:tcPr>
            <w:tcW w:w="2840" w:type="dxa"/>
            <w:vAlign w:val="bottom"/>
            <w:tcBorders>
              <w:bottom w:val="single" w:sz="8" w:color="959595"/>
            </w:tcBorders>
          </w:tcPr>
          <w:p>
            <w:pPr>
              <w:ind w:left="80"/>
              <w:spacing w:after="0"/>
              <w:rPr>
                <w:sz w:val="20"/>
                <w:szCs w:val="20"/>
                <w:color w:val="auto"/>
              </w:rPr>
            </w:pPr>
            <w:r>
              <w:rPr>
                <w:rFonts w:ascii="Arial" w:cs="Arial" w:eastAsia="Arial" w:hAnsi="Arial"/>
                <w:sz w:val="13"/>
                <w:szCs w:val="13"/>
                <w:color w:val="auto"/>
              </w:rPr>
              <w:t>Max</w:t>
            </w:r>
          </w:p>
        </w:tc>
        <w:tc>
          <w:tcPr>
            <w:tcW w:w="5620" w:type="dxa"/>
            <w:vAlign w:val="bottom"/>
            <w:tcBorders>
              <w:bottom w:val="single" w:sz="8" w:color="959595"/>
            </w:tcBorders>
          </w:tcPr>
          <w:p>
            <w:pPr>
              <w:ind w:left="40"/>
              <w:spacing w:after="0"/>
              <w:rPr>
                <w:sz w:val="20"/>
                <w:szCs w:val="20"/>
                <w:color w:val="auto"/>
              </w:rPr>
            </w:pPr>
            <w:r>
              <w:rPr>
                <w:rFonts w:ascii="Arial" w:cs="Arial" w:eastAsia="Arial" w:hAnsi="Arial"/>
                <w:sz w:val="13"/>
                <w:szCs w:val="13"/>
                <w:color w:val="auto"/>
              </w:rPr>
              <w:t>75</w:t>
            </w:r>
            <w:r>
              <w:rPr>
                <w:rFonts w:ascii="Arial" w:cs="Arial" w:eastAsia="Arial" w:hAnsi="Arial"/>
                <w:sz w:val="22"/>
                <w:szCs w:val="22"/>
                <w:color w:val="auto"/>
                <w:vertAlign w:val="superscript"/>
              </w:rPr>
              <w:t>th</w:t>
            </w:r>
            <w:r>
              <w:rPr>
                <w:rFonts w:ascii="Arial" w:cs="Arial" w:eastAsia="Arial" w:hAnsi="Arial"/>
                <w:sz w:val="13"/>
                <w:szCs w:val="13"/>
                <w:color w:val="auto"/>
              </w:rPr>
              <w:t xml:space="preserve"> percentile or greater</w:t>
            </w:r>
          </w:p>
        </w:tc>
        <w:tc>
          <w:tcPr>
            <w:tcW w:w="27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150%</w:t>
            </w:r>
          </w:p>
        </w:tc>
      </w:tr>
      <w:tr>
        <w:trPr>
          <w:trHeight w:val="290"/>
        </w:trPr>
        <w:tc>
          <w:tcPr>
            <w:tcW w:w="2840" w:type="dxa"/>
            <w:vAlign w:val="bottom"/>
            <w:tcBorders>
              <w:bottom w:val="single" w:sz="8" w:color="959595"/>
              <w:right w:val="single" w:sz="8" w:color="D5DEE8"/>
            </w:tcBorders>
            <w:shd w:val="clear" w:color="auto" w:fill="D5DEE8"/>
          </w:tcPr>
          <w:p>
            <w:pPr>
              <w:ind w:left="80"/>
              <w:spacing w:after="0"/>
              <w:rPr>
                <w:sz w:val="20"/>
                <w:szCs w:val="20"/>
                <w:color w:val="auto"/>
              </w:rPr>
            </w:pPr>
            <w:r>
              <w:rPr>
                <w:rFonts w:ascii="Arial" w:cs="Arial" w:eastAsia="Arial" w:hAnsi="Arial"/>
                <w:sz w:val="13"/>
                <w:szCs w:val="13"/>
                <w:color w:val="auto"/>
              </w:rPr>
              <w:t>Target</w:t>
            </w:r>
          </w:p>
        </w:tc>
        <w:tc>
          <w:tcPr>
            <w:tcW w:w="5620" w:type="dxa"/>
            <w:vAlign w:val="bottom"/>
            <w:tcBorders>
              <w:bottom w:val="single" w:sz="8" w:color="959595"/>
              <w:right w:val="single" w:sz="8" w:color="D5DEE8"/>
            </w:tcBorders>
            <w:shd w:val="clear" w:color="auto" w:fill="D5DEE8"/>
          </w:tcPr>
          <w:p>
            <w:pPr>
              <w:ind w:left="40"/>
              <w:spacing w:after="0"/>
              <w:rPr>
                <w:sz w:val="20"/>
                <w:szCs w:val="20"/>
                <w:color w:val="auto"/>
              </w:rPr>
            </w:pPr>
            <w:r>
              <w:rPr>
                <w:rFonts w:ascii="Arial" w:cs="Arial" w:eastAsia="Arial" w:hAnsi="Arial"/>
                <w:sz w:val="13"/>
                <w:szCs w:val="13"/>
                <w:color w:val="auto"/>
              </w:rPr>
              <w:t>57</w:t>
            </w:r>
            <w:r>
              <w:rPr>
                <w:rFonts w:ascii="Arial" w:cs="Arial" w:eastAsia="Arial" w:hAnsi="Arial"/>
                <w:sz w:val="22"/>
                <w:szCs w:val="22"/>
                <w:color w:val="auto"/>
                <w:vertAlign w:val="superscript"/>
              </w:rPr>
              <w:t>th</w:t>
            </w:r>
            <w:r>
              <w:rPr>
                <w:rFonts w:ascii="Arial" w:cs="Arial" w:eastAsia="Arial" w:hAnsi="Arial"/>
                <w:sz w:val="13"/>
                <w:szCs w:val="13"/>
                <w:color w:val="auto"/>
              </w:rPr>
              <w:t xml:space="preserve"> percentile</w:t>
            </w:r>
          </w:p>
        </w:tc>
        <w:tc>
          <w:tcPr>
            <w:tcW w:w="2780" w:type="dxa"/>
            <w:vAlign w:val="bottom"/>
            <w:tcBorders>
              <w:bottom w:val="single" w:sz="8" w:color="959595"/>
            </w:tcBorders>
            <w:shd w:val="clear" w:color="auto" w:fill="D5DEE8"/>
          </w:tcPr>
          <w:p>
            <w:pPr>
              <w:jc w:val="right"/>
              <w:ind w:right="13"/>
              <w:spacing w:after="0"/>
              <w:rPr>
                <w:sz w:val="20"/>
                <w:szCs w:val="20"/>
                <w:color w:val="auto"/>
              </w:rPr>
            </w:pPr>
            <w:r>
              <w:rPr>
                <w:rFonts w:ascii="Arial" w:cs="Arial" w:eastAsia="Arial" w:hAnsi="Arial"/>
                <w:sz w:val="13"/>
                <w:szCs w:val="13"/>
                <w:color w:val="auto"/>
              </w:rPr>
              <w:t>100%</w:t>
            </w:r>
          </w:p>
        </w:tc>
      </w:tr>
      <w:tr>
        <w:trPr>
          <w:trHeight w:val="291"/>
        </w:trPr>
        <w:tc>
          <w:tcPr>
            <w:tcW w:w="2840" w:type="dxa"/>
            <w:vAlign w:val="bottom"/>
            <w:tcBorders>
              <w:bottom w:val="single" w:sz="8" w:color="959595"/>
            </w:tcBorders>
          </w:tcPr>
          <w:p>
            <w:pPr>
              <w:spacing w:after="0"/>
              <w:rPr>
                <w:sz w:val="24"/>
                <w:szCs w:val="24"/>
                <w:color w:val="auto"/>
              </w:rPr>
            </w:pPr>
          </w:p>
        </w:tc>
        <w:tc>
          <w:tcPr>
            <w:tcW w:w="5620" w:type="dxa"/>
            <w:vAlign w:val="bottom"/>
            <w:tcBorders>
              <w:bottom w:val="single" w:sz="8" w:color="959595"/>
            </w:tcBorders>
          </w:tcPr>
          <w:p>
            <w:pPr>
              <w:ind w:left="40"/>
              <w:spacing w:after="0"/>
              <w:rPr>
                <w:sz w:val="20"/>
                <w:szCs w:val="20"/>
                <w:color w:val="auto"/>
              </w:rPr>
            </w:pPr>
            <w:r>
              <w:rPr>
                <w:rFonts w:ascii="Arial" w:cs="Arial" w:eastAsia="Arial" w:hAnsi="Arial"/>
                <w:sz w:val="13"/>
                <w:szCs w:val="13"/>
                <w:color w:val="auto"/>
              </w:rPr>
              <w:t>50</w:t>
            </w:r>
            <w:r>
              <w:rPr>
                <w:rFonts w:ascii="Arial" w:cs="Arial" w:eastAsia="Arial" w:hAnsi="Arial"/>
                <w:sz w:val="22"/>
                <w:szCs w:val="22"/>
                <w:color w:val="auto"/>
                <w:vertAlign w:val="superscript"/>
              </w:rPr>
              <w:t>th</w:t>
            </w:r>
            <w:r>
              <w:rPr>
                <w:rFonts w:ascii="Arial" w:cs="Arial" w:eastAsia="Arial" w:hAnsi="Arial"/>
                <w:sz w:val="13"/>
                <w:szCs w:val="13"/>
                <w:color w:val="auto"/>
              </w:rPr>
              <w:t xml:space="preserve"> percentile</w:t>
            </w:r>
          </w:p>
        </w:tc>
        <w:tc>
          <w:tcPr>
            <w:tcW w:w="27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80%</w:t>
            </w:r>
          </w:p>
        </w:tc>
      </w:tr>
      <w:tr>
        <w:trPr>
          <w:trHeight w:val="290"/>
        </w:trPr>
        <w:tc>
          <w:tcPr>
            <w:tcW w:w="2840" w:type="dxa"/>
            <w:vAlign w:val="bottom"/>
            <w:tcBorders>
              <w:bottom w:val="single" w:sz="8" w:color="959595"/>
            </w:tcBorders>
          </w:tcPr>
          <w:p>
            <w:pPr>
              <w:ind w:left="80"/>
              <w:spacing w:after="0"/>
              <w:rPr>
                <w:sz w:val="20"/>
                <w:szCs w:val="20"/>
                <w:color w:val="auto"/>
              </w:rPr>
            </w:pPr>
            <w:r>
              <w:rPr>
                <w:rFonts w:ascii="Arial" w:cs="Arial" w:eastAsia="Arial" w:hAnsi="Arial"/>
                <w:sz w:val="13"/>
                <w:szCs w:val="13"/>
                <w:color w:val="auto"/>
              </w:rPr>
              <w:t>Threshold</w:t>
            </w:r>
          </w:p>
        </w:tc>
        <w:tc>
          <w:tcPr>
            <w:tcW w:w="5620" w:type="dxa"/>
            <w:vAlign w:val="bottom"/>
            <w:tcBorders>
              <w:bottom w:val="single" w:sz="8" w:color="959595"/>
            </w:tcBorders>
          </w:tcPr>
          <w:p>
            <w:pPr>
              <w:ind w:left="40"/>
              <w:spacing w:after="0"/>
              <w:rPr>
                <w:sz w:val="20"/>
                <w:szCs w:val="20"/>
                <w:color w:val="auto"/>
              </w:rPr>
            </w:pPr>
            <w:r>
              <w:rPr>
                <w:rFonts w:ascii="Arial" w:cs="Arial" w:eastAsia="Arial" w:hAnsi="Arial"/>
                <w:sz w:val="13"/>
                <w:szCs w:val="13"/>
                <w:color w:val="auto"/>
              </w:rPr>
              <w:t>25</w:t>
            </w:r>
            <w:r>
              <w:rPr>
                <w:rFonts w:ascii="Arial" w:cs="Arial" w:eastAsia="Arial" w:hAnsi="Arial"/>
                <w:sz w:val="22"/>
                <w:szCs w:val="22"/>
                <w:color w:val="auto"/>
                <w:vertAlign w:val="superscript"/>
              </w:rPr>
              <w:t>th</w:t>
            </w:r>
            <w:r>
              <w:rPr>
                <w:rFonts w:ascii="Arial" w:cs="Arial" w:eastAsia="Arial" w:hAnsi="Arial"/>
                <w:sz w:val="13"/>
                <w:szCs w:val="13"/>
                <w:color w:val="auto"/>
              </w:rPr>
              <w:t xml:space="preserve"> percentile</w:t>
            </w:r>
          </w:p>
        </w:tc>
        <w:tc>
          <w:tcPr>
            <w:tcW w:w="27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50%</w:t>
            </w:r>
          </w:p>
        </w:tc>
      </w:tr>
      <w:tr>
        <w:trPr>
          <w:trHeight w:val="291"/>
        </w:trPr>
        <w:tc>
          <w:tcPr>
            <w:tcW w:w="2840" w:type="dxa"/>
            <w:vAlign w:val="bottom"/>
            <w:tcBorders>
              <w:bottom w:val="single" w:sz="8" w:color="959595"/>
            </w:tcBorders>
          </w:tcPr>
          <w:p>
            <w:pPr>
              <w:spacing w:after="0"/>
              <w:rPr>
                <w:sz w:val="24"/>
                <w:szCs w:val="24"/>
                <w:color w:val="auto"/>
              </w:rPr>
            </w:pPr>
          </w:p>
        </w:tc>
        <w:tc>
          <w:tcPr>
            <w:tcW w:w="5620" w:type="dxa"/>
            <w:vAlign w:val="bottom"/>
            <w:tcBorders>
              <w:bottom w:val="single" w:sz="8" w:color="959595"/>
            </w:tcBorders>
          </w:tcPr>
          <w:p>
            <w:pPr>
              <w:ind w:left="40"/>
              <w:spacing w:after="0"/>
              <w:rPr>
                <w:sz w:val="20"/>
                <w:szCs w:val="20"/>
                <w:color w:val="auto"/>
              </w:rPr>
            </w:pPr>
            <w:r>
              <w:rPr>
                <w:rFonts w:ascii="Arial" w:cs="Arial" w:eastAsia="Arial" w:hAnsi="Arial"/>
                <w:sz w:val="13"/>
                <w:szCs w:val="13"/>
                <w:color w:val="auto"/>
              </w:rPr>
              <w:t>Less than the 25</w:t>
            </w:r>
            <w:r>
              <w:rPr>
                <w:rFonts w:ascii="Arial" w:cs="Arial" w:eastAsia="Arial" w:hAnsi="Arial"/>
                <w:sz w:val="22"/>
                <w:szCs w:val="22"/>
                <w:color w:val="auto"/>
                <w:vertAlign w:val="superscript"/>
              </w:rPr>
              <w:t>th</w:t>
            </w:r>
            <w:r>
              <w:rPr>
                <w:rFonts w:ascii="Arial" w:cs="Arial" w:eastAsia="Arial" w:hAnsi="Arial"/>
                <w:sz w:val="13"/>
                <w:szCs w:val="13"/>
                <w:color w:val="auto"/>
              </w:rPr>
              <w:t xml:space="preserve"> percentile</w:t>
            </w:r>
          </w:p>
        </w:tc>
        <w:tc>
          <w:tcPr>
            <w:tcW w:w="27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0%</w:t>
            </w:r>
          </w:p>
        </w:tc>
      </w:tr>
    </w:tbl>
    <w:p>
      <w:pPr>
        <w:spacing w:after="0" w:line="206" w:lineRule="exact"/>
        <w:rPr>
          <w:sz w:val="20"/>
          <w:szCs w:val="20"/>
          <w:color w:val="auto"/>
        </w:rPr>
      </w:pPr>
    </w:p>
    <w:p>
      <w:pPr>
        <w:spacing w:after="0"/>
        <w:rPr>
          <w:sz w:val="20"/>
          <w:szCs w:val="20"/>
          <w:color w:val="auto"/>
        </w:rPr>
      </w:pPr>
      <w:r>
        <w:rPr>
          <w:sz w:val="1"/>
          <w:szCs w:val="1"/>
          <w:color w:val="auto"/>
        </w:rPr>
        <w:drawing>
          <wp:inline distT="0" distB="0" distL="0" distR="0">
            <wp:extent cx="34290" cy="171450"/>
            <wp:effectExtent l="0" t="0" r="0" b="0"/>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4290" cy="171450"/>
                    </a:xfrm>
                    <a:prstGeom prst="rect">
                      <a:avLst/>
                    </a:prstGeom>
                    <a:noFill/>
                    <a:ln>
                      <a:noFill/>
                    </a:ln>
                  </pic:spPr>
                </pic:pic>
              </a:graphicData>
            </a:graphic>
          </wp:inline>
        </w:drawing>
      </w:r>
      <w:r>
        <w:rPr>
          <w:rFonts w:ascii="Arial" w:cs="Arial" w:eastAsia="Arial" w:hAnsi="Arial"/>
          <w:sz w:val="22"/>
          <w:szCs w:val="22"/>
          <w:b w:val="1"/>
          <w:bCs w:val="1"/>
          <w:color w:val="5FC4AF"/>
        </w:rPr>
        <w:t xml:space="preserve"> Fiscal 2020–2022 PSU Awards (Named Executive Officers other than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130810</wp:posOffset>
            </wp:positionV>
            <wp:extent cx="5692140" cy="170561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692140" cy="170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right="240"/>
        <w:spacing w:after="0" w:line="248" w:lineRule="auto"/>
        <w:rPr>
          <w:sz w:val="20"/>
          <w:szCs w:val="20"/>
          <w:color w:val="auto"/>
        </w:rPr>
      </w:pPr>
      <w:r>
        <w:rPr>
          <w:rFonts w:ascii="Arial" w:cs="Arial" w:eastAsia="Arial" w:hAnsi="Arial"/>
          <w:sz w:val="13"/>
          <w:szCs w:val="13"/>
          <w:color w:val="auto"/>
        </w:rPr>
        <w:t>The fiscal 2020-2022 PSU awards granted in September 2019 become eligible to vest over a two-year performance period covering fiscal 2020 and 2021 and a three-year performance period covering fiscal 2020 through 2022, as discussed in more detail below. The financial targets included in the fiscal 2020-2022 PSU awards are aligned with our long-range plan and were approved by the Compensation and Talent Committee after comparing those targets to analysts’ projections to validate the rigor of our targets.</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628F"/>
        </w:rPr>
        <w:t>Two-Year Performance Period (12.5% of Target PSU Award)</w:t>
      </w:r>
    </w:p>
    <w:p>
      <w:pPr>
        <w:spacing w:after="0" w:line="231" w:lineRule="exact"/>
        <w:rPr>
          <w:sz w:val="20"/>
          <w:szCs w:val="20"/>
          <w:color w:val="auto"/>
        </w:rPr>
      </w:pPr>
    </w:p>
    <w:p>
      <w:pPr>
        <w:ind w:left="240" w:hanging="232"/>
        <w:spacing w:after="0"/>
        <w:tabs>
          <w:tab w:leader="none" w:pos="240" w:val="left"/>
        </w:tabs>
        <w:numPr>
          <w:ilvl w:val="0"/>
          <w:numId w:val="175"/>
        </w:numPr>
        <w:rPr>
          <w:rFonts w:ascii="Arial" w:cs="Arial" w:eastAsia="Arial" w:hAnsi="Arial"/>
          <w:sz w:val="13"/>
          <w:szCs w:val="13"/>
          <w:color w:val="61C4AF"/>
        </w:rPr>
      </w:pPr>
      <w:r>
        <w:rPr>
          <w:rFonts w:ascii="Arial" w:cs="Arial" w:eastAsia="Arial" w:hAnsi="Arial"/>
          <w:sz w:val="13"/>
          <w:szCs w:val="13"/>
          <w:color w:val="auto"/>
        </w:rPr>
        <w:t>Revenue (6.25% of target award)</w:t>
      </w:r>
    </w:p>
    <w:p>
      <w:pPr>
        <w:spacing w:after="0" w:line="66" w:lineRule="exact"/>
        <w:rPr>
          <w:rFonts w:ascii="Arial" w:cs="Arial" w:eastAsia="Arial" w:hAnsi="Arial"/>
          <w:sz w:val="13"/>
          <w:szCs w:val="13"/>
          <w:color w:val="61C4AF"/>
        </w:rPr>
      </w:pPr>
    </w:p>
    <w:p>
      <w:pPr>
        <w:ind w:left="240" w:hanging="232"/>
        <w:spacing w:after="0"/>
        <w:tabs>
          <w:tab w:leader="none" w:pos="240" w:val="left"/>
        </w:tabs>
        <w:numPr>
          <w:ilvl w:val="0"/>
          <w:numId w:val="175"/>
        </w:numPr>
        <w:rPr>
          <w:rFonts w:ascii="Arial" w:cs="Arial" w:eastAsia="Arial" w:hAnsi="Arial"/>
          <w:sz w:val="13"/>
          <w:szCs w:val="13"/>
          <w:color w:val="61C4AF"/>
        </w:rPr>
      </w:pPr>
      <w:r>
        <w:rPr>
          <w:rFonts w:ascii="Arial" w:cs="Arial" w:eastAsia="Arial" w:hAnsi="Arial"/>
          <w:sz w:val="13"/>
          <w:szCs w:val="13"/>
          <w:color w:val="auto"/>
        </w:rPr>
        <w:t>Non-GAAP EPS (6.25% of target award)</w:t>
      </w:r>
    </w:p>
    <w:p>
      <w:pPr>
        <w:spacing w:after="0" w:line="66" w:lineRule="exact"/>
        <w:rPr>
          <w:rFonts w:ascii="Arial" w:cs="Arial" w:eastAsia="Arial" w:hAnsi="Arial"/>
          <w:sz w:val="13"/>
          <w:szCs w:val="13"/>
          <w:color w:val="61C4AF"/>
        </w:rPr>
      </w:pPr>
    </w:p>
    <w:p>
      <w:pPr>
        <w:ind w:left="240" w:hanging="232"/>
        <w:spacing w:after="0"/>
        <w:tabs>
          <w:tab w:leader="none" w:pos="240" w:val="left"/>
        </w:tabs>
        <w:numPr>
          <w:ilvl w:val="0"/>
          <w:numId w:val="175"/>
        </w:numPr>
        <w:rPr>
          <w:rFonts w:ascii="Arial" w:cs="Arial" w:eastAsia="Arial" w:hAnsi="Arial"/>
          <w:sz w:val="13"/>
          <w:szCs w:val="13"/>
          <w:color w:val="61C4AF"/>
        </w:rPr>
      </w:pPr>
      <w:r>
        <w:rPr>
          <w:rFonts w:ascii="Arial" w:cs="Arial" w:eastAsia="Arial" w:hAnsi="Arial"/>
          <w:sz w:val="13"/>
          <w:szCs w:val="13"/>
          <w:color w:val="auto"/>
        </w:rPr>
        <w:t>Three-year service period (one year beyond the two-year performance period)</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628F"/>
        </w:rPr>
        <w:t>Three-Year Performance Period (87.5% of Target PSU Award)</w:t>
      </w:r>
    </w:p>
    <w:p>
      <w:pPr>
        <w:spacing w:after="0" w:line="231" w:lineRule="exact"/>
        <w:rPr>
          <w:sz w:val="20"/>
          <w:szCs w:val="20"/>
          <w:color w:val="auto"/>
        </w:rPr>
      </w:pPr>
    </w:p>
    <w:p>
      <w:pPr>
        <w:ind w:left="240" w:hanging="232"/>
        <w:spacing w:after="0"/>
        <w:tabs>
          <w:tab w:leader="none" w:pos="240" w:val="left"/>
        </w:tabs>
        <w:numPr>
          <w:ilvl w:val="0"/>
          <w:numId w:val="176"/>
        </w:numPr>
        <w:rPr>
          <w:rFonts w:ascii="Arial" w:cs="Arial" w:eastAsia="Arial" w:hAnsi="Arial"/>
          <w:sz w:val="13"/>
          <w:szCs w:val="13"/>
          <w:color w:val="61C4AF"/>
        </w:rPr>
      </w:pPr>
      <w:r>
        <w:rPr>
          <w:rFonts w:ascii="Arial" w:cs="Arial" w:eastAsia="Arial" w:hAnsi="Arial"/>
          <w:sz w:val="13"/>
          <w:szCs w:val="13"/>
          <w:color w:val="auto"/>
        </w:rPr>
        <w:t>Revenue (18.75% of target award)</w:t>
      </w:r>
    </w:p>
    <w:p>
      <w:pPr>
        <w:spacing w:after="0" w:line="66" w:lineRule="exact"/>
        <w:rPr>
          <w:rFonts w:ascii="Arial" w:cs="Arial" w:eastAsia="Arial" w:hAnsi="Arial"/>
          <w:sz w:val="13"/>
          <w:szCs w:val="13"/>
          <w:color w:val="61C4AF"/>
        </w:rPr>
      </w:pPr>
    </w:p>
    <w:p>
      <w:pPr>
        <w:ind w:left="240" w:hanging="232"/>
        <w:spacing w:after="0"/>
        <w:tabs>
          <w:tab w:leader="none" w:pos="240" w:val="left"/>
        </w:tabs>
        <w:numPr>
          <w:ilvl w:val="0"/>
          <w:numId w:val="176"/>
        </w:numPr>
        <w:rPr>
          <w:rFonts w:ascii="Arial" w:cs="Arial" w:eastAsia="Arial" w:hAnsi="Arial"/>
          <w:sz w:val="13"/>
          <w:szCs w:val="13"/>
          <w:color w:val="61C4AF"/>
        </w:rPr>
      </w:pPr>
      <w:r>
        <w:rPr>
          <w:rFonts w:ascii="Arial" w:cs="Arial" w:eastAsia="Arial" w:hAnsi="Arial"/>
          <w:sz w:val="13"/>
          <w:szCs w:val="13"/>
          <w:color w:val="auto"/>
        </w:rPr>
        <w:t>Non-GAAP EPS (18.75% of target award)</w:t>
      </w:r>
    </w:p>
    <w:p>
      <w:pPr>
        <w:spacing w:after="0" w:line="66" w:lineRule="exact"/>
        <w:rPr>
          <w:rFonts w:ascii="Arial" w:cs="Arial" w:eastAsia="Arial" w:hAnsi="Arial"/>
          <w:sz w:val="13"/>
          <w:szCs w:val="13"/>
          <w:color w:val="61C4AF"/>
        </w:rPr>
      </w:pPr>
    </w:p>
    <w:p>
      <w:pPr>
        <w:ind w:left="240" w:hanging="232"/>
        <w:spacing w:after="0"/>
        <w:tabs>
          <w:tab w:leader="none" w:pos="240" w:val="left"/>
        </w:tabs>
        <w:numPr>
          <w:ilvl w:val="0"/>
          <w:numId w:val="176"/>
        </w:numPr>
        <w:rPr>
          <w:rFonts w:ascii="Arial" w:cs="Arial" w:eastAsia="Arial" w:hAnsi="Arial"/>
          <w:sz w:val="13"/>
          <w:szCs w:val="13"/>
          <w:color w:val="61C4AF"/>
        </w:rPr>
      </w:pPr>
      <w:r>
        <w:rPr>
          <w:rFonts w:ascii="Arial" w:cs="Arial" w:eastAsia="Arial" w:hAnsi="Arial"/>
          <w:sz w:val="13"/>
          <w:szCs w:val="13"/>
          <w:color w:val="auto"/>
        </w:rPr>
        <w:t>Relative TSR (50% of target award)</w:t>
      </w:r>
    </w:p>
    <w:p>
      <w:pPr>
        <w:spacing w:after="0" w:line="211" w:lineRule="exact"/>
        <w:rPr>
          <w:sz w:val="20"/>
          <w:szCs w:val="20"/>
          <w:color w:val="auto"/>
        </w:rPr>
      </w:pPr>
    </w:p>
    <w:p>
      <w:pPr>
        <w:ind w:left="440" w:hanging="432"/>
        <w:spacing w:after="0"/>
        <w:tabs>
          <w:tab w:leader="none" w:pos="440" w:val="left"/>
        </w:tabs>
        <w:numPr>
          <w:ilvl w:val="0"/>
          <w:numId w:val="177"/>
        </w:numPr>
        <w:rPr>
          <w:rFonts w:ascii="Arial" w:cs="Arial" w:eastAsia="Arial" w:hAnsi="Arial"/>
          <w:sz w:val="18"/>
          <w:szCs w:val="18"/>
          <w:b w:val="1"/>
          <w:bCs w:val="1"/>
          <w:color w:val="23628F"/>
        </w:rPr>
      </w:pPr>
      <w:r>
        <w:rPr>
          <w:rFonts w:ascii="Arial" w:cs="Arial" w:eastAsia="Arial" w:hAnsi="Arial"/>
          <w:sz w:val="13"/>
          <w:szCs w:val="13"/>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153275" cy="209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ind w:left="8260"/>
        <w:spacing w:after="0"/>
        <w:rPr>
          <w:sz w:val="20"/>
          <w:szCs w:val="20"/>
          <w:color w:val="auto"/>
        </w:rPr>
      </w:pPr>
      <w:r>
        <w:rPr>
          <w:rFonts w:ascii="Arial" w:cs="Arial" w:eastAsia="Arial" w:hAnsi="Arial"/>
          <w:sz w:val="13"/>
          <w:szCs w:val="13"/>
          <w:color w:val="23628F"/>
        </w:rPr>
        <w:t>COMPENSATION DISCUSSION AND ANALYSIS</w:t>
      </w:r>
    </w:p>
    <w:p>
      <w:pPr>
        <w:spacing w:after="0" w:line="215" w:lineRule="exact"/>
        <w:rPr>
          <w:sz w:val="20"/>
          <w:szCs w:val="20"/>
          <w:color w:val="auto"/>
        </w:rPr>
      </w:pPr>
    </w:p>
    <w:p>
      <w:pPr>
        <w:ind w:right="120"/>
        <w:spacing w:after="0" w:line="248" w:lineRule="auto"/>
        <w:rPr>
          <w:sz w:val="20"/>
          <w:szCs w:val="20"/>
          <w:color w:val="auto"/>
        </w:rPr>
      </w:pPr>
      <w:r>
        <w:rPr>
          <w:rFonts w:ascii="Arial" w:cs="Arial" w:eastAsia="Arial" w:hAnsi="Arial"/>
          <w:sz w:val="13"/>
          <w:szCs w:val="13"/>
          <w:color w:val="auto"/>
        </w:rPr>
        <w:t>The Compensation and Talent Committee selected these performance metrics for the PSUs because non-GAAP EPS helps measure the effectiveness of our capital allocation strategy, revenue helps focus our executives on sustainable long-term corporate growth, and the relative TSR metric aligns our executives with our stockholders by rewarding our executives based on our stock performance relative to a comparison group of semiconductor and hardware and equipment companies over a multi-year period.</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628F"/>
        </w:rPr>
        <w:t>Performance Period and Payout Range</w:t>
      </w:r>
    </w:p>
    <w:p>
      <w:pPr>
        <w:spacing w:after="0" w:line="231" w:lineRule="exact"/>
        <w:rPr>
          <w:sz w:val="20"/>
          <w:szCs w:val="20"/>
          <w:color w:val="auto"/>
        </w:rPr>
      </w:pPr>
    </w:p>
    <w:p>
      <w:pPr>
        <w:ind w:right="40"/>
        <w:spacing w:after="0" w:line="243" w:lineRule="auto"/>
        <w:rPr>
          <w:sz w:val="20"/>
          <w:szCs w:val="20"/>
          <w:color w:val="auto"/>
        </w:rPr>
      </w:pPr>
      <w:r>
        <w:rPr>
          <w:rFonts w:ascii="Arial" w:cs="Arial" w:eastAsia="Arial" w:hAnsi="Arial"/>
          <w:sz w:val="13"/>
          <w:szCs w:val="13"/>
          <w:color w:val="auto"/>
        </w:rPr>
        <w:t>PSU awards granted prior to the fiscal 2019-2021 PSU awards included a two-year performance period. The fiscal 2019-2021 PSU awards extended the performance period for 87.5% of the target award to three years and retained a two-year performance period for just 12.5% of the target PSUs. The portion of the PSUs that include a two-year performance period also include a three-year service period (one year beyond the two-year performance period), which means 100% of the target PSUs will vest after three years. This design served as a transition to a full three-year performance period. The Compensation and Talent Committee retained this transition design for the fiscal 2020-2022 PSUs. As discussed in more detail below, the fiscal 2021-2023 PSUs granted in September 2020 include a full three-year performance period for 100% of the award.</w:t>
      </w:r>
    </w:p>
    <w:p>
      <w:pPr>
        <w:spacing w:after="0" w:line="202" w:lineRule="exact"/>
        <w:rPr>
          <w:sz w:val="20"/>
          <w:szCs w:val="20"/>
          <w:color w:val="auto"/>
        </w:rPr>
      </w:pPr>
    </w:p>
    <w:p>
      <w:pPr>
        <w:ind w:right="60"/>
        <w:spacing w:after="0" w:line="248" w:lineRule="auto"/>
        <w:rPr>
          <w:sz w:val="20"/>
          <w:szCs w:val="20"/>
          <w:color w:val="auto"/>
        </w:rPr>
      </w:pPr>
      <w:r>
        <w:rPr>
          <w:rFonts w:ascii="Arial" w:cs="Arial" w:eastAsia="Arial" w:hAnsi="Arial"/>
          <w:sz w:val="13"/>
          <w:szCs w:val="13"/>
          <w:color w:val="auto"/>
        </w:rPr>
        <w:t>The actual number of shares that may become earned and payable under the fiscal 2020-2022 PSU awards will range from 0% to 200% of the target number of stock units based on achievement of the specified performance goals. However, if our absolute TSR for the three-year performance period is negative, payout of the PSUs allocated to the TSR metric is capped at 100% of the target number of stock units.</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628F"/>
        </w:rPr>
        <w:t>Relative Market Performance Adjustment for Financial Metrics</w:t>
      </w:r>
    </w:p>
    <w:p>
      <w:pPr>
        <w:spacing w:after="0" w:line="231" w:lineRule="exact"/>
        <w:rPr>
          <w:sz w:val="20"/>
          <w:szCs w:val="20"/>
          <w:color w:val="auto"/>
        </w:rPr>
      </w:pPr>
    </w:p>
    <w:p>
      <w:pPr>
        <w:ind w:right="60"/>
        <w:spacing w:after="0" w:line="245" w:lineRule="auto"/>
        <w:rPr>
          <w:sz w:val="20"/>
          <w:szCs w:val="20"/>
          <w:color w:val="auto"/>
        </w:rPr>
      </w:pPr>
      <w:r>
        <w:rPr>
          <w:rFonts w:ascii="Arial" w:cs="Arial" w:eastAsia="Arial" w:hAnsi="Arial"/>
          <w:sz w:val="13"/>
          <w:szCs w:val="13"/>
          <w:color w:val="auto"/>
        </w:rPr>
        <w:t>The cumulative PSU financial goals are subject to a pre-established, objective adjustment at the end of the applicable performance period in a relative proportion (up or down) by which the total market for our products (measured by revenue) during the period exceeds or falls short of the total market forecast approved by the Compensation and Talent Committee at the time the goals are established, as reported by International Data Corporation (IDC), Forward Insights and Gartner. We refer to the relative market performance adjustment in this Proxy Statement as “relative MPA.”</w:t>
      </w:r>
    </w:p>
    <w:p>
      <w:pPr>
        <w:spacing w:after="0" w:line="352" w:lineRule="exact"/>
        <w:rPr>
          <w:sz w:val="20"/>
          <w:szCs w:val="20"/>
          <w:color w:val="auto"/>
        </w:rPr>
      </w:pPr>
    </w:p>
    <w:p>
      <w:pPr>
        <w:ind w:left="240" w:right="320" w:hanging="232"/>
        <w:spacing w:after="0" w:line="258" w:lineRule="auto"/>
        <w:tabs>
          <w:tab w:leader="none" w:pos="240" w:val="left"/>
        </w:tabs>
        <w:numPr>
          <w:ilvl w:val="0"/>
          <w:numId w:val="178"/>
        </w:numPr>
        <w:rPr>
          <w:rFonts w:ascii="Arial" w:cs="Arial" w:eastAsia="Arial" w:hAnsi="Arial"/>
          <w:sz w:val="13"/>
          <w:szCs w:val="13"/>
          <w:color w:val="61C4AF"/>
        </w:rPr>
      </w:pPr>
      <w:r>
        <w:rPr>
          <w:rFonts w:ascii="Arial" w:cs="Arial" w:eastAsia="Arial" w:hAnsi="Arial"/>
          <w:sz w:val="13"/>
          <w:szCs w:val="13"/>
          <w:color w:val="auto"/>
        </w:rPr>
        <w:t>Relative MPA is a pre-established modifier approved at the time the performance goals are set by the Compensation and Committee and not subject to discretion as to whether the adjustment should be applied.</w:t>
      </w:r>
    </w:p>
    <w:p>
      <w:pPr>
        <w:spacing w:after="0" w:line="29" w:lineRule="exact"/>
        <w:rPr>
          <w:rFonts w:ascii="Arial" w:cs="Arial" w:eastAsia="Arial" w:hAnsi="Arial"/>
          <w:sz w:val="13"/>
          <w:szCs w:val="13"/>
          <w:color w:val="61C4AF"/>
        </w:rPr>
      </w:pPr>
    </w:p>
    <w:p>
      <w:pPr>
        <w:ind w:left="240" w:right="120" w:hanging="232"/>
        <w:spacing w:after="0" w:line="252" w:lineRule="auto"/>
        <w:tabs>
          <w:tab w:leader="none" w:pos="240" w:val="left"/>
        </w:tabs>
        <w:numPr>
          <w:ilvl w:val="0"/>
          <w:numId w:val="178"/>
        </w:numPr>
        <w:rPr>
          <w:rFonts w:ascii="Arial" w:cs="Arial" w:eastAsia="Arial" w:hAnsi="Arial"/>
          <w:sz w:val="13"/>
          <w:szCs w:val="13"/>
          <w:color w:val="61C4AF"/>
        </w:rPr>
      </w:pPr>
      <w:r>
        <w:rPr>
          <w:rFonts w:ascii="Arial" w:cs="Arial" w:eastAsia="Arial" w:hAnsi="Arial"/>
          <w:sz w:val="13"/>
          <w:szCs w:val="13"/>
          <w:i w:val="1"/>
          <w:iCs w:val="1"/>
          <w:color w:val="auto"/>
        </w:rPr>
        <w:t xml:space="preserve">Rationale: </w:t>
      </w:r>
      <w:r>
        <w:rPr>
          <w:rFonts w:ascii="Arial" w:cs="Arial" w:eastAsia="Arial" w:hAnsi="Arial"/>
          <w:sz w:val="13"/>
          <w:szCs w:val="13"/>
          <w:color w:val="auto"/>
        </w:rPr>
        <w:t>We believe the relative MPA is an important element of our PSU program to help ensure we are paying for performance relative to the market demand and opportunity</w:t>
      </w:r>
      <w:r>
        <w:rPr>
          <w:rFonts w:ascii="Arial" w:cs="Arial" w:eastAsia="Arial" w:hAnsi="Arial"/>
          <w:sz w:val="13"/>
          <w:szCs w:val="13"/>
          <w:i w:val="1"/>
          <w:iCs w:val="1"/>
          <w:color w:val="auto"/>
        </w:rPr>
        <w:t xml:space="preserve"> </w:t>
      </w:r>
      <w:r>
        <w:rPr>
          <w:rFonts w:ascii="Arial" w:cs="Arial" w:eastAsia="Arial" w:hAnsi="Arial"/>
          <w:sz w:val="13"/>
          <w:szCs w:val="13"/>
          <w:color w:val="auto"/>
        </w:rPr>
        <w:t>available to us and not due to unforeseen swings in the market. For example, if there is a significant demand in the market that was not forecasted at the beginning of the performance period when the Compensation and Talent Committee approved the performance goals, the adjustment factor would automatically increase the goals – and make them harder to achieve – to ensure that our executives are not benefitting from the unforeseen upswing in demand.</w:t>
      </w:r>
    </w:p>
    <w:p>
      <w:pPr>
        <w:spacing w:after="0" w:line="18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23628F"/>
        </w:rPr>
        <w:t>Relative TSR Metric</w:t>
      </w:r>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auto"/>
        </w:rPr>
        <w:t>The relative TSR metric measures our stock performance, assuming reinvestment of dividends, relative to two high-tech indices over a three-year performance period: the S&amp;P 500</w:t>
      </w:r>
    </w:p>
    <w:p>
      <w:pPr>
        <w:spacing w:after="0"/>
        <w:rPr>
          <w:sz w:val="20"/>
          <w:szCs w:val="20"/>
          <w:color w:val="auto"/>
        </w:rPr>
      </w:pPr>
      <w:r>
        <w:rPr>
          <w:rFonts w:ascii="Arial" w:cs="Arial" w:eastAsia="Arial" w:hAnsi="Arial"/>
          <w:sz w:val="13"/>
          <w:szCs w:val="13"/>
          <w:color w:val="auto"/>
        </w:rPr>
        <w:t>Technology Hardware &amp; Equipment Index (comprised of 17 companies as of the grant date) and the PHLX Semiconductor Sector Index (comprised of 30 companies as of the grant date).</w:t>
      </w:r>
    </w:p>
    <w:p>
      <w:pPr>
        <w:spacing w:after="0"/>
        <w:rPr>
          <w:sz w:val="20"/>
          <w:szCs w:val="20"/>
          <w:color w:val="auto"/>
        </w:rPr>
      </w:pPr>
      <w:r>
        <w:rPr>
          <w:rFonts w:ascii="Arial" w:cs="Arial" w:eastAsia="Arial" w:hAnsi="Arial"/>
          <w:sz w:val="13"/>
          <w:szCs w:val="13"/>
          <w:color w:val="auto"/>
        </w:rPr>
        <w:t>The 47 companies within these indices as of the fiscal 2020-2022 PSU grant consist of the following:</w:t>
      </w:r>
    </w:p>
    <w:p>
      <w:pPr>
        <w:sectPr>
          <w:pgSz w:w="11900" w:h="16838" w:orient="portrait"/>
          <w:cols w:equalWidth="0" w:num="1">
            <w:col w:w="11240"/>
          </w:cols>
          <w:pgMar w:left="320" w:top="121" w:right="339" w:bottom="1440" w:gutter="0" w:footer="0" w:header="0"/>
        </w:sect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360" w:type="dxa"/>
            <w:vAlign w:val="bottom"/>
            <w:tcBorders>
              <w:right w:val="single" w:sz="8" w:color="auto"/>
            </w:tcBorders>
          </w:tcPr>
          <w:p>
            <w:pPr>
              <w:ind w:left="80"/>
              <w:spacing w:after="0"/>
              <w:rPr>
                <w:sz w:val="20"/>
                <w:szCs w:val="20"/>
                <w:color w:val="auto"/>
              </w:rPr>
            </w:pPr>
            <w:r>
              <w:rPr>
                <w:rFonts w:ascii="Arial" w:cs="Arial" w:eastAsia="Arial" w:hAnsi="Arial"/>
                <w:sz w:val="13"/>
                <w:szCs w:val="13"/>
                <w:b w:val="1"/>
                <w:bCs w:val="1"/>
                <w:color w:val="auto"/>
              </w:rPr>
              <w:t>Company</w:t>
            </w: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Applicable Index</w:t>
            </w:r>
          </w:p>
        </w:tc>
      </w:tr>
      <w:tr>
        <w:trPr>
          <w:trHeight w:val="41"/>
        </w:trPr>
        <w:tc>
          <w:tcPr>
            <w:tcW w:w="436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95"/>
        </w:trPr>
        <w:tc>
          <w:tcPr>
            <w:tcW w:w="4360" w:type="dxa"/>
            <w:vAlign w:val="bottom"/>
          </w:tcPr>
          <w:p>
            <w:pPr>
              <w:ind w:left="80"/>
              <w:spacing w:after="0"/>
              <w:rPr>
                <w:sz w:val="20"/>
                <w:szCs w:val="20"/>
                <w:color w:val="auto"/>
              </w:rPr>
            </w:pPr>
            <w:r>
              <w:rPr>
                <w:rFonts w:ascii="Arial" w:cs="Arial" w:eastAsia="Arial" w:hAnsi="Arial"/>
                <w:sz w:val="13"/>
                <w:szCs w:val="13"/>
                <w:color w:val="auto"/>
              </w:rPr>
              <w:t>Advanced Micro Devices, Inc.</w:t>
            </w:r>
          </w:p>
        </w:tc>
        <w:tc>
          <w:tcPr>
            <w:tcW w:w="1140" w:type="dxa"/>
            <w:vAlign w:val="bottom"/>
          </w:tcPr>
          <w:p>
            <w:pPr>
              <w:jc w:val="right"/>
              <w:spacing w:after="0"/>
              <w:rPr>
                <w:sz w:val="20"/>
                <w:szCs w:val="20"/>
                <w:color w:val="auto"/>
              </w:rPr>
            </w:pPr>
            <w:r>
              <w:rPr>
                <w:rFonts w:ascii="Arial" w:cs="Arial" w:eastAsia="Arial" w:hAnsi="Arial"/>
                <w:sz w:val="13"/>
                <w:szCs w:val="13"/>
                <w:color w:val="auto"/>
              </w:rPr>
              <w:t>PHLX</w:t>
            </w:r>
          </w:p>
        </w:tc>
      </w:tr>
      <w:tr>
        <w:trPr>
          <w:trHeight w:val="41"/>
        </w:trPr>
        <w:tc>
          <w:tcPr>
            <w:tcW w:w="4360" w:type="dxa"/>
            <w:vAlign w:val="bottom"/>
            <w:tcBorders>
              <w:bottom w:val="single" w:sz="8" w:color="959595"/>
            </w:tcBorders>
          </w:tcPr>
          <w:p>
            <w:pPr>
              <w:spacing w:after="0"/>
              <w:rPr>
                <w:sz w:val="3"/>
                <w:szCs w:val="3"/>
                <w:color w:val="auto"/>
              </w:rPr>
            </w:pPr>
          </w:p>
        </w:tc>
        <w:tc>
          <w:tcPr>
            <w:tcW w:w="1140" w:type="dxa"/>
            <w:vAlign w:val="bottom"/>
            <w:tcBorders>
              <w:bottom w:val="single" w:sz="8" w:color="959595"/>
            </w:tcBorders>
          </w:tcPr>
          <w:p>
            <w:pPr>
              <w:spacing w:after="0"/>
              <w:rPr>
                <w:sz w:val="3"/>
                <w:szCs w:val="3"/>
                <w:color w:val="auto"/>
              </w:rPr>
            </w:pPr>
          </w:p>
        </w:tc>
      </w:tr>
      <w:tr>
        <w:trPr>
          <w:trHeight w:val="195"/>
        </w:trPr>
        <w:tc>
          <w:tcPr>
            <w:tcW w:w="4360" w:type="dxa"/>
            <w:vAlign w:val="bottom"/>
          </w:tcPr>
          <w:p>
            <w:pPr>
              <w:ind w:left="80"/>
              <w:spacing w:after="0"/>
              <w:rPr>
                <w:sz w:val="20"/>
                <w:szCs w:val="20"/>
                <w:color w:val="auto"/>
              </w:rPr>
            </w:pPr>
            <w:r>
              <w:rPr>
                <w:rFonts w:ascii="Arial" w:cs="Arial" w:eastAsia="Arial" w:hAnsi="Arial"/>
                <w:sz w:val="13"/>
                <w:szCs w:val="13"/>
                <w:color w:val="auto"/>
              </w:rPr>
              <w:t>Amphenol Corporation</w:t>
            </w:r>
          </w:p>
        </w:tc>
        <w:tc>
          <w:tcPr>
            <w:tcW w:w="1140" w:type="dxa"/>
            <w:vAlign w:val="bottom"/>
          </w:tcPr>
          <w:p>
            <w:pPr>
              <w:jc w:val="right"/>
              <w:spacing w:after="0"/>
              <w:rPr>
                <w:sz w:val="20"/>
                <w:szCs w:val="20"/>
                <w:color w:val="auto"/>
              </w:rPr>
            </w:pPr>
            <w:r>
              <w:rPr>
                <w:rFonts w:ascii="Arial" w:cs="Arial" w:eastAsia="Arial" w:hAnsi="Arial"/>
                <w:sz w:val="13"/>
                <w:szCs w:val="13"/>
                <w:color w:val="auto"/>
              </w:rPr>
              <w:t>S&amp;P 500 TH&amp;E</w:t>
            </w:r>
          </w:p>
        </w:tc>
      </w:tr>
      <w:tr>
        <w:trPr>
          <w:trHeight w:val="41"/>
        </w:trPr>
        <w:tc>
          <w:tcPr>
            <w:tcW w:w="4360" w:type="dxa"/>
            <w:vAlign w:val="bottom"/>
            <w:tcBorders>
              <w:bottom w:val="single" w:sz="8" w:color="959595"/>
            </w:tcBorders>
          </w:tcPr>
          <w:p>
            <w:pPr>
              <w:spacing w:after="0"/>
              <w:rPr>
                <w:sz w:val="3"/>
                <w:szCs w:val="3"/>
                <w:color w:val="auto"/>
              </w:rPr>
            </w:pPr>
          </w:p>
        </w:tc>
        <w:tc>
          <w:tcPr>
            <w:tcW w:w="1140" w:type="dxa"/>
            <w:vAlign w:val="bottom"/>
            <w:tcBorders>
              <w:bottom w:val="single" w:sz="8" w:color="959595"/>
            </w:tcBorders>
          </w:tcPr>
          <w:p>
            <w:pPr>
              <w:spacing w:after="0"/>
              <w:rPr>
                <w:sz w:val="3"/>
                <w:szCs w:val="3"/>
                <w:color w:val="auto"/>
              </w:rPr>
            </w:pPr>
          </w:p>
        </w:tc>
      </w:tr>
      <w:tr>
        <w:trPr>
          <w:trHeight w:val="195"/>
        </w:trPr>
        <w:tc>
          <w:tcPr>
            <w:tcW w:w="4360" w:type="dxa"/>
            <w:vAlign w:val="bottom"/>
          </w:tcPr>
          <w:p>
            <w:pPr>
              <w:ind w:left="80"/>
              <w:spacing w:after="0"/>
              <w:rPr>
                <w:sz w:val="20"/>
                <w:szCs w:val="20"/>
                <w:color w:val="auto"/>
              </w:rPr>
            </w:pPr>
            <w:r>
              <w:rPr>
                <w:rFonts w:ascii="Arial" w:cs="Arial" w:eastAsia="Arial" w:hAnsi="Arial"/>
                <w:sz w:val="13"/>
                <w:szCs w:val="13"/>
                <w:color w:val="auto"/>
              </w:rPr>
              <w:t>Analog Devices, Inc.</w:t>
            </w:r>
          </w:p>
        </w:tc>
        <w:tc>
          <w:tcPr>
            <w:tcW w:w="1140" w:type="dxa"/>
            <w:vAlign w:val="bottom"/>
          </w:tcPr>
          <w:p>
            <w:pPr>
              <w:jc w:val="right"/>
              <w:spacing w:after="0"/>
              <w:rPr>
                <w:sz w:val="20"/>
                <w:szCs w:val="20"/>
                <w:color w:val="auto"/>
              </w:rPr>
            </w:pPr>
            <w:r>
              <w:rPr>
                <w:rFonts w:ascii="Arial" w:cs="Arial" w:eastAsia="Arial" w:hAnsi="Arial"/>
                <w:sz w:val="13"/>
                <w:szCs w:val="13"/>
                <w:color w:val="auto"/>
              </w:rPr>
              <w:t>PHLX</w:t>
            </w:r>
          </w:p>
        </w:tc>
      </w:tr>
      <w:tr>
        <w:trPr>
          <w:trHeight w:val="41"/>
        </w:trPr>
        <w:tc>
          <w:tcPr>
            <w:tcW w:w="4360" w:type="dxa"/>
            <w:vAlign w:val="bottom"/>
            <w:tcBorders>
              <w:bottom w:val="single" w:sz="8" w:color="959595"/>
            </w:tcBorders>
          </w:tcPr>
          <w:p>
            <w:pPr>
              <w:spacing w:after="0"/>
              <w:rPr>
                <w:sz w:val="3"/>
                <w:szCs w:val="3"/>
                <w:color w:val="auto"/>
              </w:rPr>
            </w:pPr>
          </w:p>
        </w:tc>
        <w:tc>
          <w:tcPr>
            <w:tcW w:w="1140" w:type="dxa"/>
            <w:vAlign w:val="bottom"/>
            <w:tcBorders>
              <w:bottom w:val="single" w:sz="8" w:color="959595"/>
            </w:tcBorders>
          </w:tcPr>
          <w:p>
            <w:pPr>
              <w:spacing w:after="0"/>
              <w:rPr>
                <w:sz w:val="3"/>
                <w:szCs w:val="3"/>
                <w:color w:val="auto"/>
              </w:rPr>
            </w:pPr>
          </w:p>
        </w:tc>
      </w:tr>
      <w:tr>
        <w:trPr>
          <w:trHeight w:val="195"/>
        </w:trPr>
        <w:tc>
          <w:tcPr>
            <w:tcW w:w="4360" w:type="dxa"/>
            <w:vAlign w:val="bottom"/>
          </w:tcPr>
          <w:p>
            <w:pPr>
              <w:ind w:left="80"/>
              <w:spacing w:after="0"/>
              <w:rPr>
                <w:sz w:val="20"/>
                <w:szCs w:val="20"/>
                <w:color w:val="auto"/>
              </w:rPr>
            </w:pPr>
            <w:r>
              <w:rPr>
                <w:rFonts w:ascii="Arial" w:cs="Arial" w:eastAsia="Arial" w:hAnsi="Arial"/>
                <w:sz w:val="13"/>
                <w:szCs w:val="13"/>
                <w:color w:val="auto"/>
              </w:rPr>
              <w:t>Apple Inc.</w:t>
            </w:r>
          </w:p>
        </w:tc>
        <w:tc>
          <w:tcPr>
            <w:tcW w:w="1140" w:type="dxa"/>
            <w:vAlign w:val="bottom"/>
          </w:tcPr>
          <w:p>
            <w:pPr>
              <w:jc w:val="right"/>
              <w:spacing w:after="0"/>
              <w:rPr>
                <w:sz w:val="20"/>
                <w:szCs w:val="20"/>
                <w:color w:val="auto"/>
              </w:rPr>
            </w:pPr>
            <w:r>
              <w:rPr>
                <w:rFonts w:ascii="Arial" w:cs="Arial" w:eastAsia="Arial" w:hAnsi="Arial"/>
                <w:sz w:val="13"/>
                <w:szCs w:val="13"/>
                <w:color w:val="auto"/>
              </w:rPr>
              <w:t>S&amp;P 500 TH&amp;E</w:t>
            </w:r>
          </w:p>
        </w:tc>
      </w:tr>
      <w:tr>
        <w:trPr>
          <w:trHeight w:val="41"/>
        </w:trPr>
        <w:tc>
          <w:tcPr>
            <w:tcW w:w="4360" w:type="dxa"/>
            <w:vAlign w:val="bottom"/>
            <w:tcBorders>
              <w:bottom w:val="single" w:sz="8" w:color="959595"/>
            </w:tcBorders>
          </w:tcPr>
          <w:p>
            <w:pPr>
              <w:spacing w:after="0"/>
              <w:rPr>
                <w:sz w:val="3"/>
                <w:szCs w:val="3"/>
                <w:color w:val="auto"/>
              </w:rPr>
            </w:pPr>
          </w:p>
        </w:tc>
        <w:tc>
          <w:tcPr>
            <w:tcW w:w="1140" w:type="dxa"/>
            <w:vAlign w:val="bottom"/>
            <w:tcBorders>
              <w:bottom w:val="single" w:sz="8" w:color="959595"/>
            </w:tcBorders>
          </w:tcPr>
          <w:p>
            <w:pPr>
              <w:spacing w:after="0"/>
              <w:rPr>
                <w:sz w:val="3"/>
                <w:szCs w:val="3"/>
                <w:color w:val="auto"/>
              </w:rPr>
            </w:pPr>
          </w:p>
        </w:tc>
      </w:tr>
      <w:tr>
        <w:trPr>
          <w:trHeight w:val="195"/>
        </w:trPr>
        <w:tc>
          <w:tcPr>
            <w:tcW w:w="4360" w:type="dxa"/>
            <w:vAlign w:val="bottom"/>
          </w:tcPr>
          <w:p>
            <w:pPr>
              <w:ind w:left="80"/>
              <w:spacing w:after="0"/>
              <w:rPr>
                <w:sz w:val="20"/>
                <w:szCs w:val="20"/>
                <w:color w:val="auto"/>
              </w:rPr>
            </w:pPr>
            <w:r>
              <w:rPr>
                <w:rFonts w:ascii="Arial" w:cs="Arial" w:eastAsia="Arial" w:hAnsi="Arial"/>
                <w:sz w:val="13"/>
                <w:szCs w:val="13"/>
                <w:color w:val="auto"/>
              </w:rPr>
              <w:t>Applied Materials, Inc.</w:t>
            </w:r>
          </w:p>
        </w:tc>
        <w:tc>
          <w:tcPr>
            <w:tcW w:w="1140" w:type="dxa"/>
            <w:vAlign w:val="bottom"/>
          </w:tcPr>
          <w:p>
            <w:pPr>
              <w:jc w:val="right"/>
              <w:spacing w:after="0"/>
              <w:rPr>
                <w:sz w:val="20"/>
                <w:szCs w:val="20"/>
                <w:color w:val="auto"/>
              </w:rPr>
            </w:pPr>
            <w:r>
              <w:rPr>
                <w:rFonts w:ascii="Arial" w:cs="Arial" w:eastAsia="Arial" w:hAnsi="Arial"/>
                <w:sz w:val="13"/>
                <w:szCs w:val="13"/>
                <w:color w:val="auto"/>
              </w:rPr>
              <w:t>PHLX</w:t>
            </w:r>
          </w:p>
        </w:tc>
      </w:tr>
      <w:tr>
        <w:trPr>
          <w:trHeight w:val="41"/>
        </w:trPr>
        <w:tc>
          <w:tcPr>
            <w:tcW w:w="4360" w:type="dxa"/>
            <w:vAlign w:val="bottom"/>
            <w:tcBorders>
              <w:bottom w:val="single" w:sz="8" w:color="959595"/>
            </w:tcBorders>
          </w:tcPr>
          <w:p>
            <w:pPr>
              <w:spacing w:after="0"/>
              <w:rPr>
                <w:sz w:val="3"/>
                <w:szCs w:val="3"/>
                <w:color w:val="auto"/>
              </w:rPr>
            </w:pPr>
          </w:p>
        </w:tc>
        <w:tc>
          <w:tcPr>
            <w:tcW w:w="1140" w:type="dxa"/>
            <w:vAlign w:val="bottom"/>
            <w:tcBorders>
              <w:bottom w:val="single" w:sz="8" w:color="959595"/>
            </w:tcBorders>
          </w:tcPr>
          <w:p>
            <w:pPr>
              <w:spacing w:after="0"/>
              <w:rPr>
                <w:sz w:val="3"/>
                <w:szCs w:val="3"/>
                <w:color w:val="auto"/>
              </w:rPr>
            </w:pPr>
          </w:p>
        </w:tc>
      </w:tr>
      <w:tr>
        <w:trPr>
          <w:trHeight w:val="195"/>
        </w:trPr>
        <w:tc>
          <w:tcPr>
            <w:tcW w:w="4360" w:type="dxa"/>
            <w:vAlign w:val="bottom"/>
          </w:tcPr>
          <w:p>
            <w:pPr>
              <w:ind w:left="80"/>
              <w:spacing w:after="0"/>
              <w:rPr>
                <w:sz w:val="20"/>
                <w:szCs w:val="20"/>
                <w:color w:val="auto"/>
              </w:rPr>
            </w:pPr>
            <w:r>
              <w:rPr>
                <w:rFonts w:ascii="Arial" w:cs="Arial" w:eastAsia="Arial" w:hAnsi="Arial"/>
                <w:sz w:val="13"/>
                <w:szCs w:val="13"/>
                <w:color w:val="auto"/>
              </w:rPr>
              <w:t>Arista Networks</w:t>
            </w:r>
          </w:p>
        </w:tc>
        <w:tc>
          <w:tcPr>
            <w:tcW w:w="1140" w:type="dxa"/>
            <w:vAlign w:val="bottom"/>
          </w:tcPr>
          <w:p>
            <w:pPr>
              <w:jc w:val="right"/>
              <w:spacing w:after="0"/>
              <w:rPr>
                <w:sz w:val="20"/>
                <w:szCs w:val="20"/>
                <w:color w:val="auto"/>
              </w:rPr>
            </w:pPr>
            <w:r>
              <w:rPr>
                <w:rFonts w:ascii="Arial" w:cs="Arial" w:eastAsia="Arial" w:hAnsi="Arial"/>
                <w:sz w:val="13"/>
                <w:szCs w:val="13"/>
                <w:color w:val="auto"/>
              </w:rPr>
              <w:t>S&amp;P 500 TH&amp;E</w:t>
            </w:r>
          </w:p>
        </w:tc>
      </w:tr>
      <w:tr>
        <w:trPr>
          <w:trHeight w:val="41"/>
        </w:trPr>
        <w:tc>
          <w:tcPr>
            <w:tcW w:w="4360" w:type="dxa"/>
            <w:vAlign w:val="bottom"/>
            <w:tcBorders>
              <w:bottom w:val="single" w:sz="8" w:color="959595"/>
            </w:tcBorders>
          </w:tcPr>
          <w:p>
            <w:pPr>
              <w:spacing w:after="0"/>
              <w:rPr>
                <w:sz w:val="3"/>
                <w:szCs w:val="3"/>
                <w:color w:val="auto"/>
              </w:rPr>
            </w:pPr>
          </w:p>
        </w:tc>
        <w:tc>
          <w:tcPr>
            <w:tcW w:w="1140" w:type="dxa"/>
            <w:vAlign w:val="bottom"/>
            <w:tcBorders>
              <w:bottom w:val="single" w:sz="8" w:color="959595"/>
            </w:tcBorders>
          </w:tcPr>
          <w:p>
            <w:pPr>
              <w:spacing w:after="0"/>
              <w:rPr>
                <w:sz w:val="3"/>
                <w:szCs w:val="3"/>
                <w:color w:val="auto"/>
              </w:rPr>
            </w:pPr>
          </w:p>
        </w:tc>
      </w:tr>
      <w:tr>
        <w:trPr>
          <w:trHeight w:val="196"/>
        </w:trPr>
        <w:tc>
          <w:tcPr>
            <w:tcW w:w="4360" w:type="dxa"/>
            <w:vAlign w:val="bottom"/>
          </w:tcPr>
          <w:p>
            <w:pPr>
              <w:ind w:left="80"/>
              <w:spacing w:after="0"/>
              <w:rPr>
                <w:sz w:val="20"/>
                <w:szCs w:val="20"/>
                <w:color w:val="auto"/>
              </w:rPr>
            </w:pPr>
            <w:r>
              <w:rPr>
                <w:rFonts w:ascii="Arial" w:cs="Arial" w:eastAsia="Arial" w:hAnsi="Arial"/>
                <w:sz w:val="13"/>
                <w:szCs w:val="13"/>
                <w:color w:val="auto"/>
              </w:rPr>
              <w:t>ASML Holding N.V.</w:t>
            </w:r>
          </w:p>
        </w:tc>
        <w:tc>
          <w:tcPr>
            <w:tcW w:w="1140" w:type="dxa"/>
            <w:vAlign w:val="bottom"/>
          </w:tcPr>
          <w:p>
            <w:pPr>
              <w:jc w:val="right"/>
              <w:spacing w:after="0"/>
              <w:rPr>
                <w:sz w:val="20"/>
                <w:szCs w:val="20"/>
                <w:color w:val="auto"/>
              </w:rPr>
            </w:pPr>
            <w:r>
              <w:rPr>
                <w:rFonts w:ascii="Arial" w:cs="Arial" w:eastAsia="Arial" w:hAnsi="Arial"/>
                <w:sz w:val="13"/>
                <w:szCs w:val="13"/>
                <w:color w:val="auto"/>
              </w:rPr>
              <w:t>PHLX</w:t>
            </w:r>
          </w:p>
        </w:tc>
      </w:tr>
      <w:tr>
        <w:trPr>
          <w:trHeight w:val="41"/>
        </w:trPr>
        <w:tc>
          <w:tcPr>
            <w:tcW w:w="4360" w:type="dxa"/>
            <w:vAlign w:val="bottom"/>
            <w:tcBorders>
              <w:bottom w:val="single" w:sz="8" w:color="959595"/>
            </w:tcBorders>
          </w:tcPr>
          <w:p>
            <w:pPr>
              <w:spacing w:after="0"/>
              <w:rPr>
                <w:sz w:val="3"/>
                <w:szCs w:val="3"/>
                <w:color w:val="auto"/>
              </w:rPr>
            </w:pPr>
          </w:p>
        </w:tc>
        <w:tc>
          <w:tcPr>
            <w:tcW w:w="1140" w:type="dxa"/>
            <w:vAlign w:val="bottom"/>
            <w:tcBorders>
              <w:bottom w:val="single" w:sz="8" w:color="959595"/>
            </w:tcBorders>
          </w:tcPr>
          <w:p>
            <w:pPr>
              <w:spacing w:after="0"/>
              <w:rPr>
                <w:sz w:val="3"/>
                <w:szCs w:val="3"/>
                <w:color w:val="auto"/>
              </w:rPr>
            </w:pPr>
          </w:p>
        </w:tc>
      </w:tr>
      <w:tr>
        <w:trPr>
          <w:trHeight w:val="195"/>
        </w:trPr>
        <w:tc>
          <w:tcPr>
            <w:tcW w:w="4360" w:type="dxa"/>
            <w:vAlign w:val="bottom"/>
          </w:tcPr>
          <w:p>
            <w:pPr>
              <w:ind w:left="80"/>
              <w:spacing w:after="0"/>
              <w:rPr>
                <w:sz w:val="20"/>
                <w:szCs w:val="20"/>
                <w:color w:val="auto"/>
              </w:rPr>
            </w:pPr>
            <w:r>
              <w:rPr>
                <w:rFonts w:ascii="Arial" w:cs="Arial" w:eastAsia="Arial" w:hAnsi="Arial"/>
                <w:sz w:val="13"/>
                <w:szCs w:val="13"/>
                <w:color w:val="auto"/>
              </w:rPr>
              <w:t>Broadcom Inc.</w:t>
            </w:r>
          </w:p>
        </w:tc>
        <w:tc>
          <w:tcPr>
            <w:tcW w:w="1140" w:type="dxa"/>
            <w:vAlign w:val="bottom"/>
          </w:tcPr>
          <w:p>
            <w:pPr>
              <w:jc w:val="right"/>
              <w:spacing w:after="0"/>
              <w:rPr>
                <w:sz w:val="20"/>
                <w:szCs w:val="20"/>
                <w:color w:val="auto"/>
              </w:rPr>
            </w:pPr>
            <w:r>
              <w:rPr>
                <w:rFonts w:ascii="Arial" w:cs="Arial" w:eastAsia="Arial" w:hAnsi="Arial"/>
                <w:sz w:val="13"/>
                <w:szCs w:val="13"/>
                <w:color w:val="auto"/>
              </w:rPr>
              <w:t>PHLX</w:t>
            </w:r>
          </w:p>
        </w:tc>
      </w:tr>
      <w:tr>
        <w:trPr>
          <w:trHeight w:val="41"/>
        </w:trPr>
        <w:tc>
          <w:tcPr>
            <w:tcW w:w="4360" w:type="dxa"/>
            <w:vAlign w:val="bottom"/>
            <w:tcBorders>
              <w:bottom w:val="single" w:sz="8" w:color="959595"/>
            </w:tcBorders>
          </w:tcPr>
          <w:p>
            <w:pPr>
              <w:spacing w:after="0"/>
              <w:rPr>
                <w:sz w:val="3"/>
                <w:szCs w:val="3"/>
                <w:color w:val="auto"/>
              </w:rPr>
            </w:pPr>
          </w:p>
        </w:tc>
        <w:tc>
          <w:tcPr>
            <w:tcW w:w="1140" w:type="dxa"/>
            <w:vAlign w:val="bottom"/>
            <w:tcBorders>
              <w:bottom w:val="single" w:sz="8" w:color="959595"/>
            </w:tcBorders>
          </w:tcPr>
          <w:p>
            <w:pPr>
              <w:spacing w:after="0"/>
              <w:rPr>
                <w:sz w:val="3"/>
                <w:szCs w:val="3"/>
                <w:color w:val="auto"/>
              </w:rPr>
            </w:pPr>
          </w:p>
        </w:tc>
      </w:tr>
    </w:tbl>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2820" w:type="dxa"/>
            <w:vAlign w:val="bottom"/>
          </w:tcPr>
          <w:p>
            <w:pPr>
              <w:ind w:left="60"/>
              <w:spacing w:after="0"/>
              <w:rPr>
                <w:sz w:val="20"/>
                <w:szCs w:val="20"/>
                <w:color w:val="auto"/>
              </w:rPr>
            </w:pPr>
            <w:r>
              <w:rPr>
                <w:rFonts w:ascii="Arial" w:cs="Arial" w:eastAsia="Arial" w:hAnsi="Arial"/>
                <w:sz w:val="13"/>
                <w:szCs w:val="13"/>
                <w:b w:val="1"/>
                <w:bCs w:val="1"/>
                <w:color w:val="auto"/>
              </w:rPr>
              <w:t>Company</w:t>
            </w:r>
          </w:p>
        </w:tc>
        <w:tc>
          <w:tcPr>
            <w:tcW w:w="1440" w:type="dxa"/>
            <w:vAlign w:val="bottom"/>
            <w:tcBorders>
              <w:right w:val="single" w:sz="8" w:color="auto"/>
            </w:tcBorders>
          </w:tcPr>
          <w:p>
            <w:pPr>
              <w:spacing w:after="0"/>
              <w:rPr>
                <w:sz w:val="17"/>
                <w:szCs w:val="17"/>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Applicable Index</w:t>
            </w:r>
          </w:p>
        </w:tc>
      </w:tr>
      <w:tr>
        <w:trPr>
          <w:trHeight w:val="41"/>
        </w:trPr>
        <w:tc>
          <w:tcPr>
            <w:tcW w:w="2820" w:type="dxa"/>
            <w:vAlign w:val="bottom"/>
            <w:tcBorders>
              <w:bottom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195"/>
        </w:trPr>
        <w:tc>
          <w:tcPr>
            <w:tcW w:w="2820" w:type="dxa"/>
            <w:vAlign w:val="bottom"/>
          </w:tcPr>
          <w:p>
            <w:pPr>
              <w:ind w:left="60"/>
              <w:spacing w:after="0"/>
              <w:rPr>
                <w:sz w:val="20"/>
                <w:szCs w:val="20"/>
                <w:color w:val="auto"/>
              </w:rPr>
            </w:pPr>
            <w:r>
              <w:rPr>
                <w:rFonts w:ascii="Arial" w:cs="Arial" w:eastAsia="Arial" w:hAnsi="Arial"/>
                <w:sz w:val="13"/>
                <w:szCs w:val="13"/>
                <w:color w:val="auto"/>
              </w:rPr>
              <w:t>Marvell Technology Group Ltd.</w:t>
            </w:r>
          </w:p>
        </w:tc>
        <w:tc>
          <w:tcPr>
            <w:tcW w:w="1440" w:type="dxa"/>
            <w:vAlign w:val="bottom"/>
          </w:tcPr>
          <w:p>
            <w:pPr>
              <w:spacing w:after="0"/>
              <w:rPr>
                <w:sz w:val="17"/>
                <w:szCs w:val="17"/>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3"/>
                <w:szCs w:val="13"/>
                <w:color w:val="auto"/>
              </w:rPr>
              <w:t>PHLX</w:t>
            </w:r>
          </w:p>
        </w:tc>
      </w:tr>
      <w:tr>
        <w:trPr>
          <w:trHeight w:val="41"/>
        </w:trPr>
        <w:tc>
          <w:tcPr>
            <w:tcW w:w="2820" w:type="dxa"/>
            <w:vAlign w:val="bottom"/>
            <w:tcBorders>
              <w:bottom w:val="single" w:sz="8" w:color="959595"/>
            </w:tcBorders>
          </w:tcPr>
          <w:p>
            <w:pPr>
              <w:spacing w:after="0"/>
              <w:rPr>
                <w:sz w:val="3"/>
                <w:szCs w:val="3"/>
                <w:color w:val="auto"/>
              </w:rPr>
            </w:pPr>
          </w:p>
        </w:tc>
        <w:tc>
          <w:tcPr>
            <w:tcW w:w="144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c>
          <w:tcPr>
            <w:tcW w:w="20" w:type="dxa"/>
            <w:vAlign w:val="bottom"/>
          </w:tcPr>
          <w:p>
            <w:pPr>
              <w:spacing w:after="0"/>
              <w:rPr>
                <w:sz w:val="3"/>
                <w:szCs w:val="3"/>
                <w:color w:val="auto"/>
              </w:rPr>
            </w:pPr>
          </w:p>
        </w:tc>
      </w:tr>
      <w:tr>
        <w:trPr>
          <w:trHeight w:val="195"/>
        </w:trPr>
        <w:tc>
          <w:tcPr>
            <w:tcW w:w="2820" w:type="dxa"/>
            <w:vAlign w:val="bottom"/>
          </w:tcPr>
          <w:p>
            <w:pPr>
              <w:ind w:left="60"/>
              <w:spacing w:after="0"/>
              <w:rPr>
                <w:sz w:val="20"/>
                <w:szCs w:val="20"/>
                <w:color w:val="auto"/>
              </w:rPr>
            </w:pPr>
            <w:r>
              <w:rPr>
                <w:rFonts w:ascii="Arial" w:cs="Arial" w:eastAsia="Arial" w:hAnsi="Arial"/>
                <w:sz w:val="13"/>
                <w:szCs w:val="13"/>
                <w:color w:val="auto"/>
              </w:rPr>
              <w:t>Maxim Integrated Products, Inc.</w:t>
            </w:r>
          </w:p>
        </w:tc>
        <w:tc>
          <w:tcPr>
            <w:tcW w:w="1440" w:type="dxa"/>
            <w:vAlign w:val="bottom"/>
          </w:tcPr>
          <w:p>
            <w:pPr>
              <w:spacing w:after="0"/>
              <w:rPr>
                <w:sz w:val="17"/>
                <w:szCs w:val="17"/>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3"/>
                <w:szCs w:val="13"/>
                <w:color w:val="auto"/>
              </w:rPr>
              <w:t>PHLX</w:t>
            </w:r>
          </w:p>
        </w:tc>
      </w:tr>
      <w:tr>
        <w:trPr>
          <w:trHeight w:val="41"/>
        </w:trPr>
        <w:tc>
          <w:tcPr>
            <w:tcW w:w="2820" w:type="dxa"/>
            <w:vAlign w:val="bottom"/>
            <w:tcBorders>
              <w:bottom w:val="single" w:sz="8" w:color="959595"/>
            </w:tcBorders>
          </w:tcPr>
          <w:p>
            <w:pPr>
              <w:spacing w:after="0"/>
              <w:rPr>
                <w:sz w:val="3"/>
                <w:szCs w:val="3"/>
                <w:color w:val="auto"/>
              </w:rPr>
            </w:pPr>
          </w:p>
        </w:tc>
        <w:tc>
          <w:tcPr>
            <w:tcW w:w="144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c>
          <w:tcPr>
            <w:tcW w:w="20" w:type="dxa"/>
            <w:vAlign w:val="bottom"/>
          </w:tcPr>
          <w:p>
            <w:pPr>
              <w:spacing w:after="0"/>
              <w:rPr>
                <w:sz w:val="3"/>
                <w:szCs w:val="3"/>
                <w:color w:val="auto"/>
              </w:rPr>
            </w:pPr>
          </w:p>
        </w:tc>
      </w:tr>
      <w:tr>
        <w:trPr>
          <w:trHeight w:val="195"/>
        </w:trPr>
        <w:tc>
          <w:tcPr>
            <w:tcW w:w="2820" w:type="dxa"/>
            <w:vAlign w:val="bottom"/>
          </w:tcPr>
          <w:p>
            <w:pPr>
              <w:ind w:left="60"/>
              <w:spacing w:after="0"/>
              <w:rPr>
                <w:sz w:val="20"/>
                <w:szCs w:val="20"/>
                <w:color w:val="auto"/>
              </w:rPr>
            </w:pPr>
            <w:r>
              <w:rPr>
                <w:rFonts w:ascii="Arial" w:cs="Arial" w:eastAsia="Arial" w:hAnsi="Arial"/>
                <w:sz w:val="13"/>
                <w:szCs w:val="13"/>
                <w:color w:val="auto"/>
              </w:rPr>
              <w:t>Microchip Technology Incorporated</w:t>
            </w:r>
          </w:p>
        </w:tc>
        <w:tc>
          <w:tcPr>
            <w:tcW w:w="1440" w:type="dxa"/>
            <w:vAlign w:val="bottom"/>
          </w:tcPr>
          <w:p>
            <w:pPr>
              <w:spacing w:after="0"/>
              <w:rPr>
                <w:sz w:val="17"/>
                <w:szCs w:val="17"/>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3"/>
                <w:szCs w:val="13"/>
                <w:color w:val="auto"/>
              </w:rPr>
              <w:t>PHLX</w:t>
            </w:r>
          </w:p>
        </w:tc>
      </w:tr>
      <w:tr>
        <w:trPr>
          <w:trHeight w:val="41"/>
        </w:trPr>
        <w:tc>
          <w:tcPr>
            <w:tcW w:w="2820" w:type="dxa"/>
            <w:vAlign w:val="bottom"/>
            <w:tcBorders>
              <w:bottom w:val="single" w:sz="8" w:color="959595"/>
            </w:tcBorders>
          </w:tcPr>
          <w:p>
            <w:pPr>
              <w:spacing w:after="0"/>
              <w:rPr>
                <w:sz w:val="3"/>
                <w:szCs w:val="3"/>
                <w:color w:val="auto"/>
              </w:rPr>
            </w:pPr>
          </w:p>
        </w:tc>
        <w:tc>
          <w:tcPr>
            <w:tcW w:w="144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c>
          <w:tcPr>
            <w:tcW w:w="20" w:type="dxa"/>
            <w:vAlign w:val="bottom"/>
          </w:tcPr>
          <w:p>
            <w:pPr>
              <w:spacing w:after="0"/>
              <w:rPr>
                <w:sz w:val="3"/>
                <w:szCs w:val="3"/>
                <w:color w:val="auto"/>
              </w:rPr>
            </w:pPr>
          </w:p>
        </w:tc>
      </w:tr>
      <w:tr>
        <w:trPr>
          <w:trHeight w:val="195"/>
        </w:trPr>
        <w:tc>
          <w:tcPr>
            <w:tcW w:w="2820" w:type="dxa"/>
            <w:vAlign w:val="bottom"/>
          </w:tcPr>
          <w:p>
            <w:pPr>
              <w:ind w:left="60"/>
              <w:spacing w:after="0"/>
              <w:rPr>
                <w:sz w:val="20"/>
                <w:szCs w:val="20"/>
                <w:color w:val="auto"/>
              </w:rPr>
            </w:pPr>
            <w:r>
              <w:rPr>
                <w:rFonts w:ascii="Arial" w:cs="Arial" w:eastAsia="Arial" w:hAnsi="Arial"/>
                <w:sz w:val="13"/>
                <w:szCs w:val="13"/>
                <w:color w:val="auto"/>
              </w:rPr>
              <w:t>Micron Technology, Inc.</w:t>
            </w:r>
          </w:p>
        </w:tc>
        <w:tc>
          <w:tcPr>
            <w:tcW w:w="1440" w:type="dxa"/>
            <w:vAlign w:val="bottom"/>
          </w:tcPr>
          <w:p>
            <w:pPr>
              <w:spacing w:after="0"/>
              <w:rPr>
                <w:sz w:val="17"/>
                <w:szCs w:val="17"/>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3"/>
                <w:szCs w:val="13"/>
                <w:color w:val="auto"/>
              </w:rPr>
              <w:t>PHLX</w:t>
            </w:r>
          </w:p>
        </w:tc>
      </w:tr>
      <w:tr>
        <w:trPr>
          <w:trHeight w:val="41"/>
        </w:trPr>
        <w:tc>
          <w:tcPr>
            <w:tcW w:w="2820" w:type="dxa"/>
            <w:vAlign w:val="bottom"/>
            <w:tcBorders>
              <w:bottom w:val="single" w:sz="8" w:color="959595"/>
            </w:tcBorders>
          </w:tcPr>
          <w:p>
            <w:pPr>
              <w:spacing w:after="0"/>
              <w:rPr>
                <w:sz w:val="3"/>
                <w:szCs w:val="3"/>
                <w:color w:val="auto"/>
              </w:rPr>
            </w:pPr>
          </w:p>
        </w:tc>
        <w:tc>
          <w:tcPr>
            <w:tcW w:w="144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c>
          <w:tcPr>
            <w:tcW w:w="20" w:type="dxa"/>
            <w:vAlign w:val="bottom"/>
          </w:tcPr>
          <w:p>
            <w:pPr>
              <w:spacing w:after="0"/>
              <w:rPr>
                <w:sz w:val="3"/>
                <w:szCs w:val="3"/>
                <w:color w:val="auto"/>
              </w:rPr>
            </w:pPr>
          </w:p>
        </w:tc>
      </w:tr>
      <w:tr>
        <w:trPr>
          <w:trHeight w:val="195"/>
        </w:trPr>
        <w:tc>
          <w:tcPr>
            <w:tcW w:w="2820" w:type="dxa"/>
            <w:vAlign w:val="bottom"/>
          </w:tcPr>
          <w:p>
            <w:pPr>
              <w:ind w:left="60"/>
              <w:spacing w:after="0"/>
              <w:rPr>
                <w:sz w:val="20"/>
                <w:szCs w:val="20"/>
                <w:color w:val="auto"/>
              </w:rPr>
            </w:pPr>
            <w:r>
              <w:rPr>
                <w:rFonts w:ascii="Arial" w:cs="Arial" w:eastAsia="Arial" w:hAnsi="Arial"/>
                <w:sz w:val="13"/>
                <w:szCs w:val="13"/>
                <w:color w:val="auto"/>
              </w:rPr>
              <w:t>MKS Instruments, Inc.</w:t>
            </w:r>
          </w:p>
        </w:tc>
        <w:tc>
          <w:tcPr>
            <w:tcW w:w="1440" w:type="dxa"/>
            <w:vAlign w:val="bottom"/>
          </w:tcPr>
          <w:p>
            <w:pPr>
              <w:spacing w:after="0"/>
              <w:rPr>
                <w:sz w:val="17"/>
                <w:szCs w:val="17"/>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3"/>
                <w:szCs w:val="13"/>
                <w:color w:val="auto"/>
              </w:rPr>
              <w:t>PHLX</w:t>
            </w:r>
          </w:p>
        </w:tc>
      </w:tr>
      <w:tr>
        <w:trPr>
          <w:trHeight w:val="41"/>
        </w:trPr>
        <w:tc>
          <w:tcPr>
            <w:tcW w:w="2820" w:type="dxa"/>
            <w:vAlign w:val="bottom"/>
            <w:tcBorders>
              <w:bottom w:val="single" w:sz="8" w:color="959595"/>
            </w:tcBorders>
          </w:tcPr>
          <w:p>
            <w:pPr>
              <w:spacing w:after="0"/>
              <w:rPr>
                <w:sz w:val="3"/>
                <w:szCs w:val="3"/>
                <w:color w:val="auto"/>
              </w:rPr>
            </w:pPr>
          </w:p>
        </w:tc>
        <w:tc>
          <w:tcPr>
            <w:tcW w:w="144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c>
          <w:tcPr>
            <w:tcW w:w="20" w:type="dxa"/>
            <w:vAlign w:val="bottom"/>
          </w:tcPr>
          <w:p>
            <w:pPr>
              <w:spacing w:after="0"/>
              <w:rPr>
                <w:sz w:val="3"/>
                <w:szCs w:val="3"/>
                <w:color w:val="auto"/>
              </w:rPr>
            </w:pPr>
          </w:p>
        </w:tc>
      </w:tr>
      <w:tr>
        <w:trPr>
          <w:trHeight w:val="195"/>
        </w:trPr>
        <w:tc>
          <w:tcPr>
            <w:tcW w:w="2820" w:type="dxa"/>
            <w:vAlign w:val="bottom"/>
          </w:tcPr>
          <w:p>
            <w:pPr>
              <w:ind w:left="60"/>
              <w:spacing w:after="0"/>
              <w:rPr>
                <w:sz w:val="20"/>
                <w:szCs w:val="20"/>
                <w:color w:val="auto"/>
              </w:rPr>
            </w:pPr>
            <w:r>
              <w:rPr>
                <w:rFonts w:ascii="Arial" w:cs="Arial" w:eastAsia="Arial" w:hAnsi="Arial"/>
                <w:sz w:val="13"/>
                <w:szCs w:val="13"/>
                <w:color w:val="auto"/>
              </w:rPr>
              <w:t>Monolithic Power Systems, Inc.</w:t>
            </w:r>
          </w:p>
        </w:tc>
        <w:tc>
          <w:tcPr>
            <w:tcW w:w="1440" w:type="dxa"/>
            <w:vAlign w:val="bottom"/>
          </w:tcPr>
          <w:p>
            <w:pPr>
              <w:spacing w:after="0"/>
              <w:rPr>
                <w:sz w:val="17"/>
                <w:szCs w:val="17"/>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3"/>
                <w:szCs w:val="13"/>
                <w:color w:val="auto"/>
              </w:rPr>
              <w:t>PHLX</w:t>
            </w:r>
          </w:p>
        </w:tc>
      </w:tr>
      <w:tr>
        <w:trPr>
          <w:trHeight w:val="41"/>
        </w:trPr>
        <w:tc>
          <w:tcPr>
            <w:tcW w:w="2820" w:type="dxa"/>
            <w:vAlign w:val="bottom"/>
            <w:tcBorders>
              <w:bottom w:val="single" w:sz="8" w:color="959595"/>
            </w:tcBorders>
          </w:tcPr>
          <w:p>
            <w:pPr>
              <w:spacing w:after="0"/>
              <w:rPr>
                <w:sz w:val="3"/>
                <w:szCs w:val="3"/>
                <w:color w:val="auto"/>
              </w:rPr>
            </w:pPr>
          </w:p>
        </w:tc>
        <w:tc>
          <w:tcPr>
            <w:tcW w:w="144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c>
          <w:tcPr>
            <w:tcW w:w="20" w:type="dxa"/>
            <w:vAlign w:val="bottom"/>
          </w:tcPr>
          <w:p>
            <w:pPr>
              <w:spacing w:after="0"/>
              <w:rPr>
                <w:sz w:val="3"/>
                <w:szCs w:val="3"/>
                <w:color w:val="auto"/>
              </w:rPr>
            </w:pPr>
          </w:p>
        </w:tc>
      </w:tr>
      <w:tr>
        <w:trPr>
          <w:trHeight w:val="196"/>
        </w:trPr>
        <w:tc>
          <w:tcPr>
            <w:tcW w:w="2820" w:type="dxa"/>
            <w:vAlign w:val="bottom"/>
          </w:tcPr>
          <w:p>
            <w:pPr>
              <w:ind w:left="60"/>
              <w:spacing w:after="0"/>
              <w:rPr>
                <w:sz w:val="20"/>
                <w:szCs w:val="20"/>
                <w:color w:val="auto"/>
              </w:rPr>
            </w:pPr>
            <w:r>
              <w:rPr>
                <w:rFonts w:ascii="Arial" w:cs="Arial" w:eastAsia="Arial" w:hAnsi="Arial"/>
                <w:sz w:val="13"/>
                <w:szCs w:val="13"/>
                <w:color w:val="auto"/>
              </w:rPr>
              <w:t>Motorola Solutions, Inc.</w:t>
            </w:r>
          </w:p>
        </w:tc>
        <w:tc>
          <w:tcPr>
            <w:tcW w:w="1440" w:type="dxa"/>
            <w:vAlign w:val="bottom"/>
          </w:tcPr>
          <w:p>
            <w:pPr>
              <w:spacing w:after="0"/>
              <w:rPr>
                <w:sz w:val="17"/>
                <w:szCs w:val="17"/>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3"/>
                <w:szCs w:val="13"/>
                <w:color w:val="auto"/>
              </w:rPr>
              <w:t>S&amp;P 500 TH&amp;E</w:t>
            </w:r>
          </w:p>
        </w:tc>
      </w:tr>
      <w:tr>
        <w:trPr>
          <w:trHeight w:val="41"/>
        </w:trPr>
        <w:tc>
          <w:tcPr>
            <w:tcW w:w="2820" w:type="dxa"/>
            <w:vAlign w:val="bottom"/>
            <w:tcBorders>
              <w:bottom w:val="single" w:sz="8" w:color="959595"/>
            </w:tcBorders>
          </w:tcPr>
          <w:p>
            <w:pPr>
              <w:spacing w:after="0"/>
              <w:rPr>
                <w:sz w:val="3"/>
                <w:szCs w:val="3"/>
                <w:color w:val="auto"/>
              </w:rPr>
            </w:pPr>
          </w:p>
        </w:tc>
        <w:tc>
          <w:tcPr>
            <w:tcW w:w="144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c>
          <w:tcPr>
            <w:tcW w:w="20" w:type="dxa"/>
            <w:vAlign w:val="bottom"/>
          </w:tcPr>
          <w:p>
            <w:pPr>
              <w:spacing w:after="0"/>
              <w:rPr>
                <w:sz w:val="3"/>
                <w:szCs w:val="3"/>
                <w:color w:val="auto"/>
              </w:rPr>
            </w:pPr>
          </w:p>
        </w:tc>
      </w:tr>
      <w:tr>
        <w:trPr>
          <w:trHeight w:val="195"/>
        </w:trPr>
        <w:tc>
          <w:tcPr>
            <w:tcW w:w="2820" w:type="dxa"/>
            <w:vAlign w:val="bottom"/>
          </w:tcPr>
          <w:p>
            <w:pPr>
              <w:ind w:left="60"/>
              <w:spacing w:after="0"/>
              <w:rPr>
                <w:sz w:val="20"/>
                <w:szCs w:val="20"/>
                <w:color w:val="auto"/>
              </w:rPr>
            </w:pPr>
            <w:r>
              <w:rPr>
                <w:rFonts w:ascii="Arial" w:cs="Arial" w:eastAsia="Arial" w:hAnsi="Arial"/>
                <w:sz w:val="13"/>
                <w:szCs w:val="13"/>
                <w:color w:val="auto"/>
              </w:rPr>
              <w:t>NetApp, Inc.</w:t>
            </w:r>
          </w:p>
        </w:tc>
        <w:tc>
          <w:tcPr>
            <w:tcW w:w="1440" w:type="dxa"/>
            <w:vAlign w:val="bottom"/>
          </w:tcPr>
          <w:p>
            <w:pPr>
              <w:spacing w:after="0"/>
              <w:rPr>
                <w:sz w:val="17"/>
                <w:szCs w:val="17"/>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3"/>
                <w:szCs w:val="13"/>
                <w:color w:val="auto"/>
              </w:rPr>
              <w:t>S&amp;P 500 TH&amp;E</w:t>
            </w:r>
          </w:p>
        </w:tc>
      </w:tr>
      <w:tr>
        <w:trPr>
          <w:trHeight w:val="41"/>
        </w:trPr>
        <w:tc>
          <w:tcPr>
            <w:tcW w:w="2820" w:type="dxa"/>
            <w:vAlign w:val="bottom"/>
            <w:tcBorders>
              <w:bottom w:val="single" w:sz="8" w:color="959595"/>
            </w:tcBorders>
          </w:tcPr>
          <w:p>
            <w:pPr>
              <w:spacing w:after="0"/>
              <w:rPr>
                <w:sz w:val="3"/>
                <w:szCs w:val="3"/>
                <w:color w:val="auto"/>
              </w:rPr>
            </w:pPr>
          </w:p>
        </w:tc>
        <w:tc>
          <w:tcPr>
            <w:tcW w:w="144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c>
          <w:tcPr>
            <w:tcW w:w="20" w:type="dxa"/>
            <w:vAlign w:val="bottom"/>
          </w:tcPr>
          <w:p>
            <w:pPr>
              <w:spacing w:after="0"/>
              <w:rPr>
                <w:sz w:val="3"/>
                <w:szCs w:val="3"/>
                <w:color w:val="auto"/>
              </w:rPr>
            </w:pPr>
          </w:p>
        </w:tc>
      </w:tr>
      <w:tr>
        <w:trPr>
          <w:trHeight w:val="424"/>
        </w:trPr>
        <w:tc>
          <w:tcPr>
            <w:tcW w:w="2820" w:type="dxa"/>
            <w:vAlign w:val="bottom"/>
          </w:tcPr>
          <w:p>
            <w:pPr>
              <w:spacing w:after="0"/>
              <w:rPr>
                <w:sz w:val="24"/>
                <w:szCs w:val="24"/>
                <w:color w:val="auto"/>
              </w:rPr>
            </w:pPr>
          </w:p>
        </w:tc>
        <w:tc>
          <w:tcPr>
            <w:tcW w:w="2680" w:type="dxa"/>
            <w:vAlign w:val="bottom"/>
            <w:gridSpan w:val="3"/>
          </w:tcPr>
          <w:p>
            <w:pPr>
              <w:ind w:left="660"/>
              <w:spacing w:after="0"/>
              <w:rPr>
                <w:sz w:val="20"/>
                <w:szCs w:val="20"/>
                <w:color w:val="auto"/>
              </w:rPr>
            </w:pPr>
            <w:r>
              <w:rPr>
                <w:rFonts w:ascii="Arial" w:cs="Arial" w:eastAsia="Arial" w:hAnsi="Arial"/>
                <w:sz w:val="13"/>
                <w:szCs w:val="13"/>
                <w:color w:val="23628F"/>
              </w:rPr>
              <w:t xml:space="preserve">2020 PROXY STATEMENT   </w:t>
            </w:r>
            <w:r>
              <w:rPr>
                <w:rFonts w:ascii="Arial" w:cs="Arial" w:eastAsia="Arial" w:hAnsi="Arial"/>
                <w:sz w:val="17"/>
                <w:szCs w:val="17"/>
                <w:b w:val="1"/>
                <w:bCs w:val="1"/>
                <w:color w:val="23628F"/>
              </w:rPr>
              <w:t>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127635</wp:posOffset>
            </wp:positionV>
            <wp:extent cx="7153275" cy="209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2">
            <w:col w:w="5500" w:space="240"/>
            <w:col w:w="5500"/>
          </w:cols>
          <w:pgMar w:left="320" w:top="121" w:right="339" w:bottom="1440" w:gutter="0" w:footer="0" w:header="0"/>
          <w:type w:val="continuous"/>
        </w:sectPr>
      </w:pPr>
    </w:p>
    <w:bookmarkStart w:id="73" w:name="page74"/>
    <w:bookmarkEnd w:id="73"/>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20"/>
          </w:cols>
          <w:pgMar w:left="320" w:top="121" w:right="359" w:bottom="1440" w:gutter="0" w:footer="0" w:header="0"/>
        </w:sect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40" w:type="dxa"/>
            <w:vAlign w:val="bottom"/>
          </w:tcPr>
          <w:p>
            <w:pPr>
              <w:spacing w:after="0"/>
              <w:rPr>
                <w:sz w:val="20"/>
                <w:szCs w:val="20"/>
                <w:color w:val="auto"/>
              </w:rPr>
            </w:pPr>
            <w:r>
              <w:rPr>
                <w:rFonts w:ascii="Arial" w:cs="Arial" w:eastAsia="Arial" w:hAnsi="Arial"/>
                <w:sz w:val="13"/>
                <w:szCs w:val="13"/>
                <w:color w:val="23628F"/>
              </w:rPr>
              <w:t>COMPENSATION DISCUSSION AND ANALYSIS</w:t>
            </w: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34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Company</w:t>
            </w:r>
          </w:p>
        </w:tc>
        <w:tc>
          <w:tcPr>
            <w:tcW w:w="2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Applicable Index</w:t>
            </w:r>
          </w:p>
        </w:tc>
        <w:tc>
          <w:tcPr>
            <w:tcW w:w="0" w:type="dxa"/>
            <w:vAlign w:val="bottom"/>
          </w:tcPr>
          <w:p>
            <w:pPr>
              <w:spacing w:after="0"/>
              <w:rPr>
                <w:sz w:val="1"/>
                <w:szCs w:val="1"/>
                <w:color w:val="auto"/>
              </w:rPr>
            </w:pPr>
          </w:p>
        </w:tc>
      </w:tr>
      <w:tr>
        <w:trPr>
          <w:trHeight w:val="202"/>
        </w:trPr>
        <w:tc>
          <w:tcPr>
            <w:tcW w:w="4340" w:type="dxa"/>
            <w:vAlign w:val="bottom"/>
            <w:vMerge w:val="continue"/>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43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shd w:val="clear" w:color="auto" w:fill="000000"/>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4340" w:type="dxa"/>
            <w:vAlign w:val="bottom"/>
          </w:tcPr>
          <w:p>
            <w:pPr>
              <w:ind w:left="80"/>
              <w:spacing w:after="0"/>
              <w:rPr>
                <w:sz w:val="20"/>
                <w:szCs w:val="20"/>
                <w:color w:val="auto"/>
              </w:rPr>
            </w:pPr>
            <w:r>
              <w:rPr>
                <w:rFonts w:ascii="Arial" w:cs="Arial" w:eastAsia="Arial" w:hAnsi="Arial"/>
                <w:sz w:val="13"/>
                <w:szCs w:val="13"/>
                <w:color w:val="auto"/>
              </w:rPr>
              <w:t>Cisco Systems, Inc.</w:t>
            </w:r>
          </w:p>
        </w:tc>
        <w:tc>
          <w:tcPr>
            <w:tcW w:w="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S&amp;P 500 TH&amp;E</w:t>
            </w:r>
          </w:p>
        </w:tc>
        <w:tc>
          <w:tcPr>
            <w:tcW w:w="0" w:type="dxa"/>
            <w:vAlign w:val="bottom"/>
          </w:tcPr>
          <w:p>
            <w:pPr>
              <w:spacing w:after="0"/>
              <w:rPr>
                <w:sz w:val="1"/>
                <w:szCs w:val="1"/>
                <w:color w:val="auto"/>
              </w:rPr>
            </w:pPr>
          </w:p>
        </w:tc>
      </w:tr>
      <w:tr>
        <w:trPr>
          <w:trHeight w:val="41"/>
        </w:trPr>
        <w:tc>
          <w:tcPr>
            <w:tcW w:w="4340" w:type="dxa"/>
            <w:vAlign w:val="bottom"/>
            <w:tcBorders>
              <w:bottom w:val="single" w:sz="8" w:color="959595"/>
            </w:tcBorders>
          </w:tcPr>
          <w:p>
            <w:pPr>
              <w:spacing w:after="0"/>
              <w:rPr>
                <w:sz w:val="3"/>
                <w:szCs w:val="3"/>
                <w:color w:val="auto"/>
              </w:rPr>
            </w:pPr>
          </w:p>
        </w:tc>
        <w:tc>
          <w:tcPr>
            <w:tcW w:w="20" w:type="dxa"/>
            <w:vAlign w:val="bottom"/>
            <w:tcBorders>
              <w:bottom w:val="single" w:sz="8" w:color="959595"/>
            </w:tcBorders>
          </w:tcPr>
          <w:p>
            <w:pPr>
              <w:spacing w:after="0"/>
              <w:rPr>
                <w:sz w:val="3"/>
                <w:szCs w:val="3"/>
                <w:color w:val="auto"/>
              </w:rPr>
            </w:pPr>
          </w:p>
        </w:tc>
        <w:tc>
          <w:tcPr>
            <w:tcW w:w="114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4340" w:type="dxa"/>
            <w:vAlign w:val="bottom"/>
          </w:tcPr>
          <w:p>
            <w:pPr>
              <w:ind w:left="80"/>
              <w:spacing w:after="0"/>
              <w:rPr>
                <w:sz w:val="20"/>
                <w:szCs w:val="20"/>
                <w:color w:val="auto"/>
              </w:rPr>
            </w:pPr>
            <w:r>
              <w:rPr>
                <w:rFonts w:ascii="Arial" w:cs="Arial" w:eastAsia="Arial" w:hAnsi="Arial"/>
                <w:sz w:val="13"/>
                <w:szCs w:val="13"/>
                <w:color w:val="auto"/>
              </w:rPr>
              <w:t>Corning Incorporated</w:t>
            </w:r>
          </w:p>
        </w:tc>
        <w:tc>
          <w:tcPr>
            <w:tcW w:w="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S&amp;P 500 TH&amp;E</w:t>
            </w:r>
          </w:p>
        </w:tc>
        <w:tc>
          <w:tcPr>
            <w:tcW w:w="0" w:type="dxa"/>
            <w:vAlign w:val="bottom"/>
          </w:tcPr>
          <w:p>
            <w:pPr>
              <w:spacing w:after="0"/>
              <w:rPr>
                <w:sz w:val="1"/>
                <w:szCs w:val="1"/>
                <w:color w:val="auto"/>
              </w:rPr>
            </w:pPr>
          </w:p>
        </w:tc>
      </w:tr>
      <w:tr>
        <w:trPr>
          <w:trHeight w:val="41"/>
        </w:trPr>
        <w:tc>
          <w:tcPr>
            <w:tcW w:w="4340" w:type="dxa"/>
            <w:vAlign w:val="bottom"/>
            <w:tcBorders>
              <w:bottom w:val="single" w:sz="8" w:color="959595"/>
            </w:tcBorders>
          </w:tcPr>
          <w:p>
            <w:pPr>
              <w:spacing w:after="0"/>
              <w:rPr>
                <w:sz w:val="3"/>
                <w:szCs w:val="3"/>
                <w:color w:val="auto"/>
              </w:rPr>
            </w:pPr>
          </w:p>
        </w:tc>
        <w:tc>
          <w:tcPr>
            <w:tcW w:w="20" w:type="dxa"/>
            <w:vAlign w:val="bottom"/>
            <w:tcBorders>
              <w:bottom w:val="single" w:sz="8" w:color="959595"/>
            </w:tcBorders>
          </w:tcPr>
          <w:p>
            <w:pPr>
              <w:spacing w:after="0"/>
              <w:rPr>
                <w:sz w:val="3"/>
                <w:szCs w:val="3"/>
                <w:color w:val="auto"/>
              </w:rPr>
            </w:pPr>
          </w:p>
        </w:tc>
        <w:tc>
          <w:tcPr>
            <w:tcW w:w="114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4340" w:type="dxa"/>
            <w:vAlign w:val="bottom"/>
          </w:tcPr>
          <w:p>
            <w:pPr>
              <w:ind w:left="80"/>
              <w:spacing w:after="0"/>
              <w:rPr>
                <w:sz w:val="20"/>
                <w:szCs w:val="20"/>
                <w:color w:val="auto"/>
              </w:rPr>
            </w:pPr>
            <w:r>
              <w:rPr>
                <w:rFonts w:ascii="Arial" w:cs="Arial" w:eastAsia="Arial" w:hAnsi="Arial"/>
                <w:sz w:val="13"/>
                <w:szCs w:val="13"/>
                <w:color w:val="auto"/>
              </w:rPr>
              <w:t>Cree, Inc.</w:t>
            </w:r>
          </w:p>
        </w:tc>
        <w:tc>
          <w:tcPr>
            <w:tcW w:w="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PHLX</w:t>
            </w:r>
          </w:p>
        </w:tc>
        <w:tc>
          <w:tcPr>
            <w:tcW w:w="0" w:type="dxa"/>
            <w:vAlign w:val="bottom"/>
          </w:tcPr>
          <w:p>
            <w:pPr>
              <w:spacing w:after="0"/>
              <w:rPr>
                <w:sz w:val="1"/>
                <w:szCs w:val="1"/>
                <w:color w:val="auto"/>
              </w:rPr>
            </w:pPr>
          </w:p>
        </w:tc>
      </w:tr>
      <w:tr>
        <w:trPr>
          <w:trHeight w:val="41"/>
        </w:trPr>
        <w:tc>
          <w:tcPr>
            <w:tcW w:w="4340" w:type="dxa"/>
            <w:vAlign w:val="bottom"/>
            <w:tcBorders>
              <w:bottom w:val="single" w:sz="8" w:color="959595"/>
            </w:tcBorders>
          </w:tcPr>
          <w:p>
            <w:pPr>
              <w:spacing w:after="0"/>
              <w:rPr>
                <w:sz w:val="3"/>
                <w:szCs w:val="3"/>
                <w:color w:val="auto"/>
              </w:rPr>
            </w:pPr>
          </w:p>
        </w:tc>
        <w:tc>
          <w:tcPr>
            <w:tcW w:w="20" w:type="dxa"/>
            <w:vAlign w:val="bottom"/>
            <w:tcBorders>
              <w:bottom w:val="single" w:sz="8" w:color="959595"/>
            </w:tcBorders>
          </w:tcPr>
          <w:p>
            <w:pPr>
              <w:spacing w:after="0"/>
              <w:rPr>
                <w:sz w:val="3"/>
                <w:szCs w:val="3"/>
                <w:color w:val="auto"/>
              </w:rPr>
            </w:pPr>
          </w:p>
        </w:tc>
        <w:tc>
          <w:tcPr>
            <w:tcW w:w="114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4340" w:type="dxa"/>
            <w:vAlign w:val="bottom"/>
          </w:tcPr>
          <w:p>
            <w:pPr>
              <w:ind w:left="80"/>
              <w:spacing w:after="0"/>
              <w:rPr>
                <w:sz w:val="20"/>
                <w:szCs w:val="20"/>
                <w:color w:val="auto"/>
              </w:rPr>
            </w:pPr>
            <w:r>
              <w:rPr>
                <w:rFonts w:ascii="Arial" w:cs="Arial" w:eastAsia="Arial" w:hAnsi="Arial"/>
                <w:sz w:val="13"/>
                <w:szCs w:val="13"/>
                <w:color w:val="auto"/>
              </w:rPr>
              <w:t>Cypress Semiconductor Corporation</w:t>
            </w:r>
          </w:p>
        </w:tc>
        <w:tc>
          <w:tcPr>
            <w:tcW w:w="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PHLX</w:t>
            </w:r>
          </w:p>
        </w:tc>
        <w:tc>
          <w:tcPr>
            <w:tcW w:w="0" w:type="dxa"/>
            <w:vAlign w:val="bottom"/>
          </w:tcPr>
          <w:p>
            <w:pPr>
              <w:spacing w:after="0"/>
              <w:rPr>
                <w:sz w:val="1"/>
                <w:szCs w:val="1"/>
                <w:color w:val="auto"/>
              </w:rPr>
            </w:pPr>
          </w:p>
        </w:tc>
      </w:tr>
      <w:tr>
        <w:trPr>
          <w:trHeight w:val="41"/>
        </w:trPr>
        <w:tc>
          <w:tcPr>
            <w:tcW w:w="4340" w:type="dxa"/>
            <w:vAlign w:val="bottom"/>
            <w:tcBorders>
              <w:bottom w:val="single" w:sz="8" w:color="959595"/>
            </w:tcBorders>
          </w:tcPr>
          <w:p>
            <w:pPr>
              <w:spacing w:after="0"/>
              <w:rPr>
                <w:sz w:val="3"/>
                <w:szCs w:val="3"/>
                <w:color w:val="auto"/>
              </w:rPr>
            </w:pPr>
          </w:p>
        </w:tc>
        <w:tc>
          <w:tcPr>
            <w:tcW w:w="20" w:type="dxa"/>
            <w:vAlign w:val="bottom"/>
            <w:tcBorders>
              <w:bottom w:val="single" w:sz="8" w:color="959595"/>
            </w:tcBorders>
          </w:tcPr>
          <w:p>
            <w:pPr>
              <w:spacing w:after="0"/>
              <w:rPr>
                <w:sz w:val="3"/>
                <w:szCs w:val="3"/>
                <w:color w:val="auto"/>
              </w:rPr>
            </w:pPr>
          </w:p>
        </w:tc>
        <w:tc>
          <w:tcPr>
            <w:tcW w:w="114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4340" w:type="dxa"/>
            <w:vAlign w:val="bottom"/>
          </w:tcPr>
          <w:p>
            <w:pPr>
              <w:ind w:left="80"/>
              <w:spacing w:after="0"/>
              <w:rPr>
                <w:sz w:val="20"/>
                <w:szCs w:val="20"/>
                <w:color w:val="auto"/>
              </w:rPr>
            </w:pPr>
            <w:r>
              <w:rPr>
                <w:rFonts w:ascii="Arial" w:cs="Arial" w:eastAsia="Arial" w:hAnsi="Arial"/>
                <w:sz w:val="13"/>
                <w:szCs w:val="13"/>
                <w:color w:val="auto"/>
              </w:rPr>
              <w:t>Entegris, Inc.</w:t>
            </w:r>
          </w:p>
        </w:tc>
        <w:tc>
          <w:tcPr>
            <w:tcW w:w="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PHLX</w:t>
            </w:r>
          </w:p>
        </w:tc>
        <w:tc>
          <w:tcPr>
            <w:tcW w:w="0" w:type="dxa"/>
            <w:vAlign w:val="bottom"/>
          </w:tcPr>
          <w:p>
            <w:pPr>
              <w:spacing w:after="0"/>
              <w:rPr>
                <w:sz w:val="1"/>
                <w:szCs w:val="1"/>
                <w:color w:val="auto"/>
              </w:rPr>
            </w:pPr>
          </w:p>
        </w:tc>
      </w:tr>
      <w:tr>
        <w:trPr>
          <w:trHeight w:val="41"/>
        </w:trPr>
        <w:tc>
          <w:tcPr>
            <w:tcW w:w="4340" w:type="dxa"/>
            <w:vAlign w:val="bottom"/>
            <w:tcBorders>
              <w:bottom w:val="single" w:sz="8" w:color="959595"/>
            </w:tcBorders>
          </w:tcPr>
          <w:p>
            <w:pPr>
              <w:spacing w:after="0"/>
              <w:rPr>
                <w:sz w:val="3"/>
                <w:szCs w:val="3"/>
                <w:color w:val="auto"/>
              </w:rPr>
            </w:pPr>
          </w:p>
        </w:tc>
        <w:tc>
          <w:tcPr>
            <w:tcW w:w="20" w:type="dxa"/>
            <w:vAlign w:val="bottom"/>
            <w:tcBorders>
              <w:bottom w:val="single" w:sz="8" w:color="959595"/>
            </w:tcBorders>
          </w:tcPr>
          <w:p>
            <w:pPr>
              <w:spacing w:after="0"/>
              <w:rPr>
                <w:sz w:val="3"/>
                <w:szCs w:val="3"/>
                <w:color w:val="auto"/>
              </w:rPr>
            </w:pPr>
          </w:p>
        </w:tc>
        <w:tc>
          <w:tcPr>
            <w:tcW w:w="114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4340" w:type="dxa"/>
            <w:vAlign w:val="bottom"/>
          </w:tcPr>
          <w:p>
            <w:pPr>
              <w:ind w:left="80"/>
              <w:spacing w:after="0"/>
              <w:rPr>
                <w:sz w:val="20"/>
                <w:szCs w:val="20"/>
                <w:color w:val="auto"/>
              </w:rPr>
            </w:pPr>
            <w:r>
              <w:rPr>
                <w:rFonts w:ascii="Arial" w:cs="Arial" w:eastAsia="Arial" w:hAnsi="Arial"/>
                <w:sz w:val="13"/>
                <w:szCs w:val="13"/>
                <w:color w:val="auto"/>
              </w:rPr>
              <w:t>F5 Networks, Inc.</w:t>
            </w:r>
          </w:p>
        </w:tc>
        <w:tc>
          <w:tcPr>
            <w:tcW w:w="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S&amp;P 500 TH&amp;E</w:t>
            </w:r>
          </w:p>
        </w:tc>
        <w:tc>
          <w:tcPr>
            <w:tcW w:w="0" w:type="dxa"/>
            <w:vAlign w:val="bottom"/>
          </w:tcPr>
          <w:p>
            <w:pPr>
              <w:spacing w:after="0"/>
              <w:rPr>
                <w:sz w:val="1"/>
                <w:szCs w:val="1"/>
                <w:color w:val="auto"/>
              </w:rPr>
            </w:pPr>
          </w:p>
        </w:tc>
      </w:tr>
      <w:tr>
        <w:trPr>
          <w:trHeight w:val="41"/>
        </w:trPr>
        <w:tc>
          <w:tcPr>
            <w:tcW w:w="4340" w:type="dxa"/>
            <w:vAlign w:val="bottom"/>
            <w:tcBorders>
              <w:bottom w:val="single" w:sz="8" w:color="959595"/>
            </w:tcBorders>
          </w:tcPr>
          <w:p>
            <w:pPr>
              <w:spacing w:after="0"/>
              <w:rPr>
                <w:sz w:val="3"/>
                <w:szCs w:val="3"/>
                <w:color w:val="auto"/>
              </w:rPr>
            </w:pPr>
          </w:p>
        </w:tc>
        <w:tc>
          <w:tcPr>
            <w:tcW w:w="20" w:type="dxa"/>
            <w:vAlign w:val="bottom"/>
            <w:tcBorders>
              <w:bottom w:val="single" w:sz="8" w:color="959595"/>
            </w:tcBorders>
          </w:tcPr>
          <w:p>
            <w:pPr>
              <w:spacing w:after="0"/>
              <w:rPr>
                <w:sz w:val="3"/>
                <w:szCs w:val="3"/>
                <w:color w:val="auto"/>
              </w:rPr>
            </w:pPr>
          </w:p>
        </w:tc>
        <w:tc>
          <w:tcPr>
            <w:tcW w:w="114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4340" w:type="dxa"/>
            <w:vAlign w:val="bottom"/>
          </w:tcPr>
          <w:p>
            <w:pPr>
              <w:ind w:left="80"/>
              <w:spacing w:after="0"/>
              <w:rPr>
                <w:sz w:val="20"/>
                <w:szCs w:val="20"/>
                <w:color w:val="auto"/>
              </w:rPr>
            </w:pPr>
            <w:r>
              <w:rPr>
                <w:rFonts w:ascii="Arial" w:cs="Arial" w:eastAsia="Arial" w:hAnsi="Arial"/>
                <w:sz w:val="13"/>
                <w:szCs w:val="13"/>
                <w:color w:val="auto"/>
              </w:rPr>
              <w:t>FLIR Systems, Inc.</w:t>
            </w:r>
          </w:p>
        </w:tc>
        <w:tc>
          <w:tcPr>
            <w:tcW w:w="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S&amp;P 500 TH&amp;E</w:t>
            </w:r>
          </w:p>
        </w:tc>
        <w:tc>
          <w:tcPr>
            <w:tcW w:w="0" w:type="dxa"/>
            <w:vAlign w:val="bottom"/>
          </w:tcPr>
          <w:p>
            <w:pPr>
              <w:spacing w:after="0"/>
              <w:rPr>
                <w:sz w:val="1"/>
                <w:szCs w:val="1"/>
                <w:color w:val="auto"/>
              </w:rPr>
            </w:pPr>
          </w:p>
        </w:tc>
      </w:tr>
      <w:tr>
        <w:trPr>
          <w:trHeight w:val="41"/>
        </w:trPr>
        <w:tc>
          <w:tcPr>
            <w:tcW w:w="4340" w:type="dxa"/>
            <w:vAlign w:val="bottom"/>
            <w:tcBorders>
              <w:bottom w:val="single" w:sz="8" w:color="959595"/>
            </w:tcBorders>
          </w:tcPr>
          <w:p>
            <w:pPr>
              <w:spacing w:after="0"/>
              <w:rPr>
                <w:sz w:val="3"/>
                <w:szCs w:val="3"/>
                <w:color w:val="auto"/>
              </w:rPr>
            </w:pPr>
          </w:p>
        </w:tc>
        <w:tc>
          <w:tcPr>
            <w:tcW w:w="20" w:type="dxa"/>
            <w:vAlign w:val="bottom"/>
            <w:tcBorders>
              <w:bottom w:val="single" w:sz="8" w:color="959595"/>
            </w:tcBorders>
          </w:tcPr>
          <w:p>
            <w:pPr>
              <w:spacing w:after="0"/>
              <w:rPr>
                <w:sz w:val="3"/>
                <w:szCs w:val="3"/>
                <w:color w:val="auto"/>
              </w:rPr>
            </w:pPr>
          </w:p>
        </w:tc>
        <w:tc>
          <w:tcPr>
            <w:tcW w:w="114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4340" w:type="dxa"/>
            <w:vAlign w:val="bottom"/>
          </w:tcPr>
          <w:p>
            <w:pPr>
              <w:ind w:left="80"/>
              <w:spacing w:after="0"/>
              <w:rPr>
                <w:sz w:val="20"/>
                <w:szCs w:val="20"/>
                <w:color w:val="auto"/>
              </w:rPr>
            </w:pPr>
            <w:r>
              <w:rPr>
                <w:rFonts w:ascii="Arial" w:cs="Arial" w:eastAsia="Arial" w:hAnsi="Arial"/>
                <w:sz w:val="13"/>
                <w:szCs w:val="13"/>
                <w:color w:val="auto"/>
              </w:rPr>
              <w:t>Hewlett Packard Enterprise Company</w:t>
            </w:r>
          </w:p>
        </w:tc>
        <w:tc>
          <w:tcPr>
            <w:tcW w:w="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S&amp;P 500 TH&amp;E</w:t>
            </w:r>
          </w:p>
        </w:tc>
        <w:tc>
          <w:tcPr>
            <w:tcW w:w="0" w:type="dxa"/>
            <w:vAlign w:val="bottom"/>
          </w:tcPr>
          <w:p>
            <w:pPr>
              <w:spacing w:after="0"/>
              <w:rPr>
                <w:sz w:val="1"/>
                <w:szCs w:val="1"/>
                <w:color w:val="auto"/>
              </w:rPr>
            </w:pPr>
          </w:p>
        </w:tc>
      </w:tr>
      <w:tr>
        <w:trPr>
          <w:trHeight w:val="41"/>
        </w:trPr>
        <w:tc>
          <w:tcPr>
            <w:tcW w:w="4340" w:type="dxa"/>
            <w:vAlign w:val="bottom"/>
            <w:tcBorders>
              <w:bottom w:val="single" w:sz="8" w:color="959595"/>
            </w:tcBorders>
          </w:tcPr>
          <w:p>
            <w:pPr>
              <w:spacing w:after="0"/>
              <w:rPr>
                <w:sz w:val="3"/>
                <w:szCs w:val="3"/>
                <w:color w:val="auto"/>
              </w:rPr>
            </w:pPr>
          </w:p>
        </w:tc>
        <w:tc>
          <w:tcPr>
            <w:tcW w:w="20" w:type="dxa"/>
            <w:vAlign w:val="bottom"/>
            <w:tcBorders>
              <w:bottom w:val="single" w:sz="8" w:color="959595"/>
            </w:tcBorders>
          </w:tcPr>
          <w:p>
            <w:pPr>
              <w:spacing w:after="0"/>
              <w:rPr>
                <w:sz w:val="3"/>
                <w:szCs w:val="3"/>
                <w:color w:val="auto"/>
              </w:rPr>
            </w:pPr>
          </w:p>
        </w:tc>
        <w:tc>
          <w:tcPr>
            <w:tcW w:w="114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4340" w:type="dxa"/>
            <w:vAlign w:val="bottom"/>
          </w:tcPr>
          <w:p>
            <w:pPr>
              <w:ind w:left="80"/>
              <w:spacing w:after="0"/>
              <w:rPr>
                <w:sz w:val="20"/>
                <w:szCs w:val="20"/>
                <w:color w:val="auto"/>
              </w:rPr>
            </w:pPr>
            <w:r>
              <w:rPr>
                <w:rFonts w:ascii="Arial" w:cs="Arial" w:eastAsia="Arial" w:hAnsi="Arial"/>
                <w:sz w:val="13"/>
                <w:szCs w:val="13"/>
                <w:color w:val="auto"/>
              </w:rPr>
              <w:t>HP Inc.</w:t>
            </w:r>
          </w:p>
        </w:tc>
        <w:tc>
          <w:tcPr>
            <w:tcW w:w="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S&amp;P 500 TH&amp;E</w:t>
            </w:r>
          </w:p>
        </w:tc>
        <w:tc>
          <w:tcPr>
            <w:tcW w:w="0" w:type="dxa"/>
            <w:vAlign w:val="bottom"/>
          </w:tcPr>
          <w:p>
            <w:pPr>
              <w:spacing w:after="0"/>
              <w:rPr>
                <w:sz w:val="1"/>
                <w:szCs w:val="1"/>
                <w:color w:val="auto"/>
              </w:rPr>
            </w:pPr>
          </w:p>
        </w:tc>
      </w:tr>
      <w:tr>
        <w:trPr>
          <w:trHeight w:val="41"/>
        </w:trPr>
        <w:tc>
          <w:tcPr>
            <w:tcW w:w="4340" w:type="dxa"/>
            <w:vAlign w:val="bottom"/>
            <w:tcBorders>
              <w:bottom w:val="single" w:sz="8" w:color="959595"/>
            </w:tcBorders>
          </w:tcPr>
          <w:p>
            <w:pPr>
              <w:spacing w:after="0"/>
              <w:rPr>
                <w:sz w:val="3"/>
                <w:szCs w:val="3"/>
                <w:color w:val="auto"/>
              </w:rPr>
            </w:pPr>
          </w:p>
        </w:tc>
        <w:tc>
          <w:tcPr>
            <w:tcW w:w="20" w:type="dxa"/>
            <w:vAlign w:val="bottom"/>
            <w:tcBorders>
              <w:bottom w:val="single" w:sz="8" w:color="959595"/>
            </w:tcBorders>
          </w:tcPr>
          <w:p>
            <w:pPr>
              <w:spacing w:after="0"/>
              <w:rPr>
                <w:sz w:val="3"/>
                <w:szCs w:val="3"/>
                <w:color w:val="auto"/>
              </w:rPr>
            </w:pPr>
          </w:p>
        </w:tc>
        <w:tc>
          <w:tcPr>
            <w:tcW w:w="114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4340" w:type="dxa"/>
            <w:vAlign w:val="bottom"/>
          </w:tcPr>
          <w:p>
            <w:pPr>
              <w:ind w:left="80"/>
              <w:spacing w:after="0"/>
              <w:rPr>
                <w:sz w:val="20"/>
                <w:szCs w:val="20"/>
                <w:color w:val="auto"/>
              </w:rPr>
            </w:pPr>
            <w:r>
              <w:rPr>
                <w:rFonts w:ascii="Arial" w:cs="Arial" w:eastAsia="Arial" w:hAnsi="Arial"/>
                <w:sz w:val="13"/>
                <w:szCs w:val="13"/>
                <w:color w:val="auto"/>
              </w:rPr>
              <w:t>Inphi Corporation</w:t>
            </w:r>
          </w:p>
        </w:tc>
        <w:tc>
          <w:tcPr>
            <w:tcW w:w="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PHLX</w:t>
            </w:r>
          </w:p>
        </w:tc>
        <w:tc>
          <w:tcPr>
            <w:tcW w:w="0" w:type="dxa"/>
            <w:vAlign w:val="bottom"/>
          </w:tcPr>
          <w:p>
            <w:pPr>
              <w:spacing w:after="0"/>
              <w:rPr>
                <w:sz w:val="1"/>
                <w:szCs w:val="1"/>
                <w:color w:val="auto"/>
              </w:rPr>
            </w:pPr>
          </w:p>
        </w:tc>
      </w:tr>
      <w:tr>
        <w:trPr>
          <w:trHeight w:val="41"/>
        </w:trPr>
        <w:tc>
          <w:tcPr>
            <w:tcW w:w="4340" w:type="dxa"/>
            <w:vAlign w:val="bottom"/>
            <w:tcBorders>
              <w:bottom w:val="single" w:sz="8" w:color="959595"/>
            </w:tcBorders>
          </w:tcPr>
          <w:p>
            <w:pPr>
              <w:spacing w:after="0"/>
              <w:rPr>
                <w:sz w:val="3"/>
                <w:szCs w:val="3"/>
                <w:color w:val="auto"/>
              </w:rPr>
            </w:pPr>
          </w:p>
        </w:tc>
        <w:tc>
          <w:tcPr>
            <w:tcW w:w="20" w:type="dxa"/>
            <w:vAlign w:val="bottom"/>
            <w:tcBorders>
              <w:bottom w:val="single" w:sz="8" w:color="959595"/>
            </w:tcBorders>
          </w:tcPr>
          <w:p>
            <w:pPr>
              <w:spacing w:after="0"/>
              <w:rPr>
                <w:sz w:val="3"/>
                <w:szCs w:val="3"/>
                <w:color w:val="auto"/>
              </w:rPr>
            </w:pPr>
          </w:p>
        </w:tc>
        <w:tc>
          <w:tcPr>
            <w:tcW w:w="114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4340" w:type="dxa"/>
            <w:vAlign w:val="bottom"/>
          </w:tcPr>
          <w:p>
            <w:pPr>
              <w:ind w:left="80"/>
              <w:spacing w:after="0"/>
              <w:rPr>
                <w:sz w:val="20"/>
                <w:szCs w:val="20"/>
                <w:color w:val="auto"/>
              </w:rPr>
            </w:pPr>
            <w:r>
              <w:rPr>
                <w:rFonts w:ascii="Arial" w:cs="Arial" w:eastAsia="Arial" w:hAnsi="Arial"/>
                <w:sz w:val="13"/>
                <w:szCs w:val="13"/>
                <w:color w:val="auto"/>
              </w:rPr>
              <w:t>Intel Corporation</w:t>
            </w:r>
          </w:p>
        </w:tc>
        <w:tc>
          <w:tcPr>
            <w:tcW w:w="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PHLX</w:t>
            </w:r>
          </w:p>
        </w:tc>
        <w:tc>
          <w:tcPr>
            <w:tcW w:w="0" w:type="dxa"/>
            <w:vAlign w:val="bottom"/>
          </w:tcPr>
          <w:p>
            <w:pPr>
              <w:spacing w:after="0"/>
              <w:rPr>
                <w:sz w:val="1"/>
                <w:szCs w:val="1"/>
                <w:color w:val="auto"/>
              </w:rPr>
            </w:pPr>
          </w:p>
        </w:tc>
      </w:tr>
      <w:tr>
        <w:trPr>
          <w:trHeight w:val="41"/>
        </w:trPr>
        <w:tc>
          <w:tcPr>
            <w:tcW w:w="4340" w:type="dxa"/>
            <w:vAlign w:val="bottom"/>
            <w:tcBorders>
              <w:bottom w:val="single" w:sz="8" w:color="959595"/>
            </w:tcBorders>
          </w:tcPr>
          <w:p>
            <w:pPr>
              <w:spacing w:after="0"/>
              <w:rPr>
                <w:sz w:val="3"/>
                <w:szCs w:val="3"/>
                <w:color w:val="auto"/>
              </w:rPr>
            </w:pPr>
          </w:p>
        </w:tc>
        <w:tc>
          <w:tcPr>
            <w:tcW w:w="20" w:type="dxa"/>
            <w:vAlign w:val="bottom"/>
            <w:tcBorders>
              <w:bottom w:val="single" w:sz="8" w:color="959595"/>
            </w:tcBorders>
          </w:tcPr>
          <w:p>
            <w:pPr>
              <w:spacing w:after="0"/>
              <w:rPr>
                <w:sz w:val="3"/>
                <w:szCs w:val="3"/>
                <w:color w:val="auto"/>
              </w:rPr>
            </w:pPr>
          </w:p>
        </w:tc>
        <w:tc>
          <w:tcPr>
            <w:tcW w:w="114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4340" w:type="dxa"/>
            <w:vAlign w:val="bottom"/>
          </w:tcPr>
          <w:p>
            <w:pPr>
              <w:ind w:left="80"/>
              <w:spacing w:after="0"/>
              <w:rPr>
                <w:sz w:val="20"/>
                <w:szCs w:val="20"/>
                <w:color w:val="auto"/>
              </w:rPr>
            </w:pPr>
            <w:r>
              <w:rPr>
                <w:rFonts w:ascii="Arial" w:cs="Arial" w:eastAsia="Arial" w:hAnsi="Arial"/>
                <w:sz w:val="13"/>
                <w:szCs w:val="13"/>
                <w:color w:val="auto"/>
              </w:rPr>
              <w:t>IPG Photonics Corporation</w:t>
            </w:r>
          </w:p>
        </w:tc>
        <w:tc>
          <w:tcPr>
            <w:tcW w:w="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S&amp;P 500 TH&amp;E</w:t>
            </w:r>
          </w:p>
        </w:tc>
        <w:tc>
          <w:tcPr>
            <w:tcW w:w="0" w:type="dxa"/>
            <w:vAlign w:val="bottom"/>
          </w:tcPr>
          <w:p>
            <w:pPr>
              <w:spacing w:after="0"/>
              <w:rPr>
                <w:sz w:val="1"/>
                <w:szCs w:val="1"/>
                <w:color w:val="auto"/>
              </w:rPr>
            </w:pPr>
          </w:p>
        </w:tc>
      </w:tr>
      <w:tr>
        <w:trPr>
          <w:trHeight w:val="41"/>
        </w:trPr>
        <w:tc>
          <w:tcPr>
            <w:tcW w:w="4340" w:type="dxa"/>
            <w:vAlign w:val="bottom"/>
            <w:tcBorders>
              <w:bottom w:val="single" w:sz="8" w:color="959595"/>
            </w:tcBorders>
          </w:tcPr>
          <w:p>
            <w:pPr>
              <w:spacing w:after="0"/>
              <w:rPr>
                <w:sz w:val="3"/>
                <w:szCs w:val="3"/>
                <w:color w:val="auto"/>
              </w:rPr>
            </w:pPr>
          </w:p>
        </w:tc>
        <w:tc>
          <w:tcPr>
            <w:tcW w:w="20" w:type="dxa"/>
            <w:vAlign w:val="bottom"/>
            <w:tcBorders>
              <w:bottom w:val="single" w:sz="8" w:color="959595"/>
            </w:tcBorders>
          </w:tcPr>
          <w:p>
            <w:pPr>
              <w:spacing w:after="0"/>
              <w:rPr>
                <w:sz w:val="3"/>
                <w:szCs w:val="3"/>
                <w:color w:val="auto"/>
              </w:rPr>
            </w:pPr>
          </w:p>
        </w:tc>
        <w:tc>
          <w:tcPr>
            <w:tcW w:w="114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4340" w:type="dxa"/>
            <w:vAlign w:val="bottom"/>
          </w:tcPr>
          <w:p>
            <w:pPr>
              <w:ind w:left="80"/>
              <w:spacing w:after="0"/>
              <w:rPr>
                <w:sz w:val="20"/>
                <w:szCs w:val="20"/>
                <w:color w:val="auto"/>
              </w:rPr>
            </w:pPr>
            <w:r>
              <w:rPr>
                <w:rFonts w:ascii="Arial" w:cs="Arial" w:eastAsia="Arial" w:hAnsi="Arial"/>
                <w:sz w:val="13"/>
                <w:szCs w:val="13"/>
                <w:color w:val="auto"/>
              </w:rPr>
              <w:t>Juniper Networks, Inc.</w:t>
            </w:r>
          </w:p>
        </w:tc>
        <w:tc>
          <w:tcPr>
            <w:tcW w:w="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S&amp;P 500 TH&amp;E</w:t>
            </w:r>
          </w:p>
        </w:tc>
        <w:tc>
          <w:tcPr>
            <w:tcW w:w="0" w:type="dxa"/>
            <w:vAlign w:val="bottom"/>
          </w:tcPr>
          <w:p>
            <w:pPr>
              <w:spacing w:after="0"/>
              <w:rPr>
                <w:sz w:val="1"/>
                <w:szCs w:val="1"/>
                <w:color w:val="auto"/>
              </w:rPr>
            </w:pPr>
          </w:p>
        </w:tc>
      </w:tr>
      <w:tr>
        <w:trPr>
          <w:trHeight w:val="41"/>
        </w:trPr>
        <w:tc>
          <w:tcPr>
            <w:tcW w:w="4340" w:type="dxa"/>
            <w:vAlign w:val="bottom"/>
            <w:tcBorders>
              <w:bottom w:val="single" w:sz="8" w:color="959595"/>
            </w:tcBorders>
          </w:tcPr>
          <w:p>
            <w:pPr>
              <w:spacing w:after="0"/>
              <w:rPr>
                <w:sz w:val="3"/>
                <w:szCs w:val="3"/>
                <w:color w:val="auto"/>
              </w:rPr>
            </w:pPr>
          </w:p>
        </w:tc>
        <w:tc>
          <w:tcPr>
            <w:tcW w:w="20" w:type="dxa"/>
            <w:vAlign w:val="bottom"/>
            <w:tcBorders>
              <w:bottom w:val="single" w:sz="8" w:color="959595"/>
            </w:tcBorders>
          </w:tcPr>
          <w:p>
            <w:pPr>
              <w:spacing w:after="0"/>
              <w:rPr>
                <w:sz w:val="3"/>
                <w:szCs w:val="3"/>
                <w:color w:val="auto"/>
              </w:rPr>
            </w:pPr>
          </w:p>
        </w:tc>
        <w:tc>
          <w:tcPr>
            <w:tcW w:w="114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4340" w:type="dxa"/>
            <w:vAlign w:val="bottom"/>
          </w:tcPr>
          <w:p>
            <w:pPr>
              <w:ind w:left="80"/>
              <w:spacing w:after="0"/>
              <w:rPr>
                <w:sz w:val="20"/>
                <w:szCs w:val="20"/>
                <w:color w:val="auto"/>
              </w:rPr>
            </w:pPr>
            <w:r>
              <w:rPr>
                <w:rFonts w:ascii="Arial" w:cs="Arial" w:eastAsia="Arial" w:hAnsi="Arial"/>
                <w:sz w:val="13"/>
                <w:szCs w:val="13"/>
                <w:color w:val="auto"/>
              </w:rPr>
              <w:t>Keysight Technologies</w:t>
            </w:r>
          </w:p>
        </w:tc>
        <w:tc>
          <w:tcPr>
            <w:tcW w:w="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S&amp;P 500 TH&amp;E</w:t>
            </w:r>
          </w:p>
        </w:tc>
        <w:tc>
          <w:tcPr>
            <w:tcW w:w="0" w:type="dxa"/>
            <w:vAlign w:val="bottom"/>
          </w:tcPr>
          <w:p>
            <w:pPr>
              <w:spacing w:after="0"/>
              <w:rPr>
                <w:sz w:val="1"/>
                <w:szCs w:val="1"/>
                <w:color w:val="auto"/>
              </w:rPr>
            </w:pPr>
          </w:p>
        </w:tc>
      </w:tr>
      <w:tr>
        <w:trPr>
          <w:trHeight w:val="41"/>
        </w:trPr>
        <w:tc>
          <w:tcPr>
            <w:tcW w:w="4340" w:type="dxa"/>
            <w:vAlign w:val="bottom"/>
            <w:tcBorders>
              <w:bottom w:val="single" w:sz="8" w:color="959595"/>
            </w:tcBorders>
          </w:tcPr>
          <w:p>
            <w:pPr>
              <w:spacing w:after="0"/>
              <w:rPr>
                <w:sz w:val="3"/>
                <w:szCs w:val="3"/>
                <w:color w:val="auto"/>
              </w:rPr>
            </w:pPr>
          </w:p>
        </w:tc>
        <w:tc>
          <w:tcPr>
            <w:tcW w:w="20" w:type="dxa"/>
            <w:vAlign w:val="bottom"/>
            <w:tcBorders>
              <w:bottom w:val="single" w:sz="8" w:color="959595"/>
            </w:tcBorders>
          </w:tcPr>
          <w:p>
            <w:pPr>
              <w:spacing w:after="0"/>
              <w:rPr>
                <w:sz w:val="3"/>
                <w:szCs w:val="3"/>
                <w:color w:val="auto"/>
              </w:rPr>
            </w:pPr>
          </w:p>
        </w:tc>
        <w:tc>
          <w:tcPr>
            <w:tcW w:w="114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4340" w:type="dxa"/>
            <w:vAlign w:val="bottom"/>
          </w:tcPr>
          <w:p>
            <w:pPr>
              <w:ind w:left="80"/>
              <w:spacing w:after="0"/>
              <w:rPr>
                <w:sz w:val="20"/>
                <w:szCs w:val="20"/>
                <w:color w:val="auto"/>
              </w:rPr>
            </w:pPr>
            <w:r>
              <w:rPr>
                <w:rFonts w:ascii="Arial" w:cs="Arial" w:eastAsia="Arial" w:hAnsi="Arial"/>
                <w:sz w:val="13"/>
                <w:szCs w:val="13"/>
                <w:color w:val="auto"/>
              </w:rPr>
              <w:t>KLA-Tencor Corporation</w:t>
            </w:r>
          </w:p>
        </w:tc>
        <w:tc>
          <w:tcPr>
            <w:tcW w:w="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PHLX</w:t>
            </w:r>
          </w:p>
        </w:tc>
        <w:tc>
          <w:tcPr>
            <w:tcW w:w="0" w:type="dxa"/>
            <w:vAlign w:val="bottom"/>
          </w:tcPr>
          <w:p>
            <w:pPr>
              <w:spacing w:after="0"/>
              <w:rPr>
                <w:sz w:val="1"/>
                <w:szCs w:val="1"/>
                <w:color w:val="auto"/>
              </w:rPr>
            </w:pPr>
          </w:p>
        </w:tc>
      </w:tr>
      <w:tr>
        <w:trPr>
          <w:trHeight w:val="41"/>
        </w:trPr>
        <w:tc>
          <w:tcPr>
            <w:tcW w:w="4340" w:type="dxa"/>
            <w:vAlign w:val="bottom"/>
            <w:tcBorders>
              <w:bottom w:val="single" w:sz="8" w:color="959595"/>
            </w:tcBorders>
          </w:tcPr>
          <w:p>
            <w:pPr>
              <w:spacing w:after="0"/>
              <w:rPr>
                <w:sz w:val="3"/>
                <w:szCs w:val="3"/>
                <w:color w:val="auto"/>
              </w:rPr>
            </w:pPr>
          </w:p>
        </w:tc>
        <w:tc>
          <w:tcPr>
            <w:tcW w:w="20" w:type="dxa"/>
            <w:vAlign w:val="bottom"/>
            <w:tcBorders>
              <w:bottom w:val="single" w:sz="8" w:color="959595"/>
            </w:tcBorders>
          </w:tcPr>
          <w:p>
            <w:pPr>
              <w:spacing w:after="0"/>
              <w:rPr>
                <w:sz w:val="3"/>
                <w:szCs w:val="3"/>
                <w:color w:val="auto"/>
              </w:rPr>
            </w:pPr>
          </w:p>
        </w:tc>
        <w:tc>
          <w:tcPr>
            <w:tcW w:w="114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4340" w:type="dxa"/>
            <w:vAlign w:val="bottom"/>
          </w:tcPr>
          <w:p>
            <w:pPr>
              <w:ind w:left="80"/>
              <w:spacing w:after="0"/>
              <w:rPr>
                <w:sz w:val="20"/>
                <w:szCs w:val="20"/>
                <w:color w:val="auto"/>
              </w:rPr>
            </w:pPr>
            <w:r>
              <w:rPr>
                <w:rFonts w:ascii="Arial" w:cs="Arial" w:eastAsia="Arial" w:hAnsi="Arial"/>
                <w:sz w:val="13"/>
                <w:szCs w:val="13"/>
                <w:color w:val="auto"/>
              </w:rPr>
              <w:t>Lam Research Corporation</w:t>
            </w:r>
          </w:p>
        </w:tc>
        <w:tc>
          <w:tcPr>
            <w:tcW w:w="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PHLX</w:t>
            </w:r>
          </w:p>
        </w:tc>
        <w:tc>
          <w:tcPr>
            <w:tcW w:w="0" w:type="dxa"/>
            <w:vAlign w:val="bottom"/>
          </w:tcPr>
          <w:p>
            <w:pPr>
              <w:spacing w:after="0"/>
              <w:rPr>
                <w:sz w:val="1"/>
                <w:szCs w:val="1"/>
                <w:color w:val="auto"/>
              </w:rPr>
            </w:pPr>
          </w:p>
        </w:tc>
      </w:tr>
      <w:tr>
        <w:trPr>
          <w:trHeight w:val="41"/>
        </w:trPr>
        <w:tc>
          <w:tcPr>
            <w:tcW w:w="4340" w:type="dxa"/>
            <w:vAlign w:val="bottom"/>
            <w:tcBorders>
              <w:bottom w:val="single" w:sz="8" w:color="959595"/>
            </w:tcBorders>
          </w:tcPr>
          <w:p>
            <w:pPr>
              <w:spacing w:after="0"/>
              <w:rPr>
                <w:sz w:val="3"/>
                <w:szCs w:val="3"/>
                <w:color w:val="auto"/>
              </w:rPr>
            </w:pPr>
          </w:p>
        </w:tc>
        <w:tc>
          <w:tcPr>
            <w:tcW w:w="20" w:type="dxa"/>
            <w:vAlign w:val="bottom"/>
            <w:tcBorders>
              <w:bottom w:val="single" w:sz="8" w:color="959595"/>
            </w:tcBorders>
          </w:tcPr>
          <w:p>
            <w:pPr>
              <w:spacing w:after="0"/>
              <w:rPr>
                <w:sz w:val="3"/>
                <w:szCs w:val="3"/>
                <w:color w:val="auto"/>
              </w:rPr>
            </w:pPr>
          </w:p>
        </w:tc>
        <w:tc>
          <w:tcPr>
            <w:tcW w:w="114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4260" w:type="dxa"/>
            <w:vAlign w:val="bottom"/>
            <w:tcBorders>
              <w:right w:val="single" w:sz="8" w:color="auto"/>
            </w:tcBorders>
          </w:tcPr>
          <w:p>
            <w:pPr>
              <w:ind w:left="60"/>
              <w:spacing w:after="0"/>
              <w:rPr>
                <w:sz w:val="20"/>
                <w:szCs w:val="20"/>
                <w:color w:val="auto"/>
              </w:rPr>
            </w:pPr>
            <w:r>
              <w:rPr>
                <w:rFonts w:ascii="Arial" w:cs="Arial" w:eastAsia="Arial" w:hAnsi="Arial"/>
                <w:sz w:val="13"/>
                <w:szCs w:val="13"/>
                <w:b w:val="1"/>
                <w:bCs w:val="1"/>
                <w:color w:val="auto"/>
              </w:rPr>
              <w:t>Company</w:t>
            </w:r>
          </w:p>
        </w:tc>
        <w:tc>
          <w:tcPr>
            <w:tcW w:w="1220" w:type="dxa"/>
            <w:vAlign w:val="bottom"/>
          </w:tcPr>
          <w:p>
            <w:pPr>
              <w:jc w:val="right"/>
              <w:spacing w:after="0"/>
              <w:rPr>
                <w:sz w:val="20"/>
                <w:szCs w:val="20"/>
                <w:color w:val="auto"/>
              </w:rPr>
            </w:pPr>
            <w:r>
              <w:rPr>
                <w:rFonts w:ascii="Arial" w:cs="Arial" w:eastAsia="Arial" w:hAnsi="Arial"/>
                <w:sz w:val="13"/>
                <w:szCs w:val="13"/>
                <w:b w:val="1"/>
                <w:bCs w:val="1"/>
                <w:color w:val="auto"/>
              </w:rPr>
              <w:t>Applicable Index</w:t>
            </w:r>
          </w:p>
        </w:tc>
      </w:tr>
      <w:tr>
        <w:trPr>
          <w:trHeight w:val="41"/>
        </w:trPr>
        <w:tc>
          <w:tcPr>
            <w:tcW w:w="426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96"/>
        </w:trPr>
        <w:tc>
          <w:tcPr>
            <w:tcW w:w="4260" w:type="dxa"/>
            <w:vAlign w:val="bottom"/>
          </w:tcPr>
          <w:p>
            <w:pPr>
              <w:ind w:left="60"/>
              <w:spacing w:after="0"/>
              <w:rPr>
                <w:sz w:val="20"/>
                <w:szCs w:val="20"/>
                <w:color w:val="auto"/>
              </w:rPr>
            </w:pPr>
            <w:r>
              <w:rPr>
                <w:rFonts w:ascii="Arial" w:cs="Arial" w:eastAsia="Arial" w:hAnsi="Arial"/>
                <w:sz w:val="13"/>
                <w:szCs w:val="13"/>
                <w:color w:val="auto"/>
              </w:rPr>
              <w:t>NVIDIA Corporation</w:t>
            </w:r>
          </w:p>
        </w:tc>
        <w:tc>
          <w:tcPr>
            <w:tcW w:w="1220" w:type="dxa"/>
            <w:vAlign w:val="bottom"/>
          </w:tcPr>
          <w:p>
            <w:pPr>
              <w:jc w:val="right"/>
              <w:spacing w:after="0"/>
              <w:rPr>
                <w:sz w:val="20"/>
                <w:szCs w:val="20"/>
                <w:color w:val="auto"/>
              </w:rPr>
            </w:pPr>
            <w:r>
              <w:rPr>
                <w:rFonts w:ascii="Arial" w:cs="Arial" w:eastAsia="Arial" w:hAnsi="Arial"/>
                <w:sz w:val="13"/>
                <w:szCs w:val="13"/>
                <w:color w:val="auto"/>
              </w:rPr>
              <w:t>PHLX</w:t>
            </w:r>
          </w:p>
        </w:tc>
      </w:tr>
      <w:tr>
        <w:trPr>
          <w:trHeight w:val="41"/>
        </w:trPr>
        <w:tc>
          <w:tcPr>
            <w:tcW w:w="426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r>
      <w:tr>
        <w:trPr>
          <w:trHeight w:val="196"/>
        </w:trPr>
        <w:tc>
          <w:tcPr>
            <w:tcW w:w="4260" w:type="dxa"/>
            <w:vAlign w:val="bottom"/>
          </w:tcPr>
          <w:p>
            <w:pPr>
              <w:ind w:left="60"/>
              <w:spacing w:after="0"/>
              <w:rPr>
                <w:sz w:val="20"/>
                <w:szCs w:val="20"/>
                <w:color w:val="auto"/>
              </w:rPr>
            </w:pPr>
            <w:r>
              <w:rPr>
                <w:rFonts w:ascii="Arial" w:cs="Arial" w:eastAsia="Arial" w:hAnsi="Arial"/>
                <w:sz w:val="13"/>
                <w:szCs w:val="13"/>
                <w:color w:val="auto"/>
              </w:rPr>
              <w:t>NXP Semiconductors N.V.</w:t>
            </w:r>
          </w:p>
        </w:tc>
        <w:tc>
          <w:tcPr>
            <w:tcW w:w="1220" w:type="dxa"/>
            <w:vAlign w:val="bottom"/>
          </w:tcPr>
          <w:p>
            <w:pPr>
              <w:jc w:val="right"/>
              <w:spacing w:after="0"/>
              <w:rPr>
                <w:sz w:val="20"/>
                <w:szCs w:val="20"/>
                <w:color w:val="auto"/>
              </w:rPr>
            </w:pPr>
            <w:r>
              <w:rPr>
                <w:rFonts w:ascii="Arial" w:cs="Arial" w:eastAsia="Arial" w:hAnsi="Arial"/>
                <w:sz w:val="13"/>
                <w:szCs w:val="13"/>
                <w:color w:val="auto"/>
              </w:rPr>
              <w:t>PHLX</w:t>
            </w:r>
          </w:p>
        </w:tc>
      </w:tr>
      <w:tr>
        <w:trPr>
          <w:trHeight w:val="41"/>
        </w:trPr>
        <w:tc>
          <w:tcPr>
            <w:tcW w:w="426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r>
      <w:tr>
        <w:trPr>
          <w:trHeight w:val="196"/>
        </w:trPr>
        <w:tc>
          <w:tcPr>
            <w:tcW w:w="4260" w:type="dxa"/>
            <w:vAlign w:val="bottom"/>
          </w:tcPr>
          <w:p>
            <w:pPr>
              <w:ind w:left="60"/>
              <w:spacing w:after="0"/>
              <w:rPr>
                <w:sz w:val="20"/>
                <w:szCs w:val="20"/>
                <w:color w:val="auto"/>
              </w:rPr>
            </w:pPr>
            <w:r>
              <w:rPr>
                <w:rFonts w:ascii="Arial" w:cs="Arial" w:eastAsia="Arial" w:hAnsi="Arial"/>
                <w:sz w:val="13"/>
                <w:szCs w:val="13"/>
                <w:color w:val="auto"/>
              </w:rPr>
              <w:t>ON Semiconductor Corporation</w:t>
            </w:r>
          </w:p>
        </w:tc>
        <w:tc>
          <w:tcPr>
            <w:tcW w:w="1220" w:type="dxa"/>
            <w:vAlign w:val="bottom"/>
          </w:tcPr>
          <w:p>
            <w:pPr>
              <w:jc w:val="right"/>
              <w:spacing w:after="0"/>
              <w:rPr>
                <w:sz w:val="20"/>
                <w:szCs w:val="20"/>
                <w:color w:val="auto"/>
              </w:rPr>
            </w:pPr>
            <w:r>
              <w:rPr>
                <w:rFonts w:ascii="Arial" w:cs="Arial" w:eastAsia="Arial" w:hAnsi="Arial"/>
                <w:sz w:val="13"/>
                <w:szCs w:val="13"/>
                <w:color w:val="auto"/>
              </w:rPr>
              <w:t>PHLX</w:t>
            </w:r>
          </w:p>
        </w:tc>
      </w:tr>
      <w:tr>
        <w:trPr>
          <w:trHeight w:val="41"/>
        </w:trPr>
        <w:tc>
          <w:tcPr>
            <w:tcW w:w="426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r>
      <w:tr>
        <w:trPr>
          <w:trHeight w:val="195"/>
        </w:trPr>
        <w:tc>
          <w:tcPr>
            <w:tcW w:w="4260" w:type="dxa"/>
            <w:vAlign w:val="bottom"/>
          </w:tcPr>
          <w:p>
            <w:pPr>
              <w:ind w:left="60"/>
              <w:spacing w:after="0"/>
              <w:rPr>
                <w:sz w:val="20"/>
                <w:szCs w:val="20"/>
                <w:color w:val="auto"/>
              </w:rPr>
            </w:pPr>
            <w:r>
              <w:rPr>
                <w:rFonts w:ascii="Arial" w:cs="Arial" w:eastAsia="Arial" w:hAnsi="Arial"/>
                <w:sz w:val="13"/>
                <w:szCs w:val="13"/>
                <w:color w:val="auto"/>
              </w:rPr>
              <w:t>Qorvo, Inc.</w:t>
            </w:r>
          </w:p>
        </w:tc>
        <w:tc>
          <w:tcPr>
            <w:tcW w:w="1220" w:type="dxa"/>
            <w:vAlign w:val="bottom"/>
          </w:tcPr>
          <w:p>
            <w:pPr>
              <w:jc w:val="right"/>
              <w:spacing w:after="0"/>
              <w:rPr>
                <w:sz w:val="20"/>
                <w:szCs w:val="20"/>
                <w:color w:val="auto"/>
              </w:rPr>
            </w:pPr>
            <w:r>
              <w:rPr>
                <w:rFonts w:ascii="Arial" w:cs="Arial" w:eastAsia="Arial" w:hAnsi="Arial"/>
                <w:sz w:val="13"/>
                <w:szCs w:val="13"/>
                <w:color w:val="auto"/>
              </w:rPr>
              <w:t>PHLX</w:t>
            </w:r>
          </w:p>
        </w:tc>
      </w:tr>
      <w:tr>
        <w:trPr>
          <w:trHeight w:val="41"/>
        </w:trPr>
        <w:tc>
          <w:tcPr>
            <w:tcW w:w="426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r>
      <w:tr>
        <w:trPr>
          <w:trHeight w:val="195"/>
        </w:trPr>
        <w:tc>
          <w:tcPr>
            <w:tcW w:w="4260" w:type="dxa"/>
            <w:vAlign w:val="bottom"/>
          </w:tcPr>
          <w:p>
            <w:pPr>
              <w:ind w:left="60"/>
              <w:spacing w:after="0"/>
              <w:rPr>
                <w:sz w:val="20"/>
                <w:szCs w:val="20"/>
                <w:color w:val="auto"/>
              </w:rPr>
            </w:pPr>
            <w:r>
              <w:rPr>
                <w:rFonts w:ascii="Arial" w:cs="Arial" w:eastAsia="Arial" w:hAnsi="Arial"/>
                <w:sz w:val="13"/>
                <w:szCs w:val="13"/>
                <w:color w:val="auto"/>
              </w:rPr>
              <w:t>QUALCOMM Incorporated</w:t>
            </w:r>
          </w:p>
        </w:tc>
        <w:tc>
          <w:tcPr>
            <w:tcW w:w="1220" w:type="dxa"/>
            <w:vAlign w:val="bottom"/>
          </w:tcPr>
          <w:p>
            <w:pPr>
              <w:jc w:val="right"/>
              <w:spacing w:after="0"/>
              <w:rPr>
                <w:sz w:val="20"/>
                <w:szCs w:val="20"/>
                <w:color w:val="auto"/>
              </w:rPr>
            </w:pPr>
            <w:r>
              <w:rPr>
                <w:rFonts w:ascii="Arial" w:cs="Arial" w:eastAsia="Arial" w:hAnsi="Arial"/>
                <w:sz w:val="13"/>
                <w:szCs w:val="13"/>
                <w:color w:val="auto"/>
              </w:rPr>
              <w:t>PHLX</w:t>
            </w:r>
          </w:p>
        </w:tc>
      </w:tr>
      <w:tr>
        <w:trPr>
          <w:trHeight w:val="41"/>
        </w:trPr>
        <w:tc>
          <w:tcPr>
            <w:tcW w:w="426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r>
      <w:tr>
        <w:trPr>
          <w:trHeight w:val="196"/>
        </w:trPr>
        <w:tc>
          <w:tcPr>
            <w:tcW w:w="4260" w:type="dxa"/>
            <w:vAlign w:val="bottom"/>
          </w:tcPr>
          <w:p>
            <w:pPr>
              <w:ind w:left="60"/>
              <w:spacing w:after="0"/>
              <w:rPr>
                <w:sz w:val="20"/>
                <w:szCs w:val="20"/>
                <w:color w:val="auto"/>
              </w:rPr>
            </w:pPr>
            <w:r>
              <w:rPr>
                <w:rFonts w:ascii="Arial" w:cs="Arial" w:eastAsia="Arial" w:hAnsi="Arial"/>
                <w:sz w:val="13"/>
                <w:szCs w:val="13"/>
                <w:color w:val="auto"/>
              </w:rPr>
              <w:t>Seagate Technology plc</w:t>
            </w:r>
          </w:p>
        </w:tc>
        <w:tc>
          <w:tcPr>
            <w:tcW w:w="1220" w:type="dxa"/>
            <w:vAlign w:val="bottom"/>
          </w:tcPr>
          <w:p>
            <w:pPr>
              <w:jc w:val="right"/>
              <w:spacing w:after="0"/>
              <w:rPr>
                <w:sz w:val="20"/>
                <w:szCs w:val="20"/>
                <w:color w:val="auto"/>
              </w:rPr>
            </w:pPr>
            <w:r>
              <w:rPr>
                <w:rFonts w:ascii="Arial" w:cs="Arial" w:eastAsia="Arial" w:hAnsi="Arial"/>
                <w:sz w:val="13"/>
                <w:szCs w:val="13"/>
                <w:color w:val="auto"/>
              </w:rPr>
              <w:t>S&amp;P 500 TH&amp;E</w:t>
            </w:r>
          </w:p>
        </w:tc>
      </w:tr>
      <w:tr>
        <w:trPr>
          <w:trHeight w:val="41"/>
        </w:trPr>
        <w:tc>
          <w:tcPr>
            <w:tcW w:w="426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r>
      <w:tr>
        <w:trPr>
          <w:trHeight w:val="196"/>
        </w:trPr>
        <w:tc>
          <w:tcPr>
            <w:tcW w:w="4260" w:type="dxa"/>
            <w:vAlign w:val="bottom"/>
          </w:tcPr>
          <w:p>
            <w:pPr>
              <w:ind w:left="60"/>
              <w:spacing w:after="0"/>
              <w:rPr>
                <w:sz w:val="20"/>
                <w:szCs w:val="20"/>
                <w:color w:val="auto"/>
              </w:rPr>
            </w:pPr>
            <w:r>
              <w:rPr>
                <w:rFonts w:ascii="Arial" w:cs="Arial" w:eastAsia="Arial" w:hAnsi="Arial"/>
                <w:sz w:val="13"/>
                <w:szCs w:val="13"/>
                <w:color w:val="auto"/>
              </w:rPr>
              <w:t>Silicon Laboratories Inc.</w:t>
            </w:r>
          </w:p>
        </w:tc>
        <w:tc>
          <w:tcPr>
            <w:tcW w:w="1220" w:type="dxa"/>
            <w:vAlign w:val="bottom"/>
          </w:tcPr>
          <w:p>
            <w:pPr>
              <w:jc w:val="right"/>
              <w:spacing w:after="0"/>
              <w:rPr>
                <w:sz w:val="20"/>
                <w:szCs w:val="20"/>
                <w:color w:val="auto"/>
              </w:rPr>
            </w:pPr>
            <w:r>
              <w:rPr>
                <w:rFonts w:ascii="Arial" w:cs="Arial" w:eastAsia="Arial" w:hAnsi="Arial"/>
                <w:sz w:val="13"/>
                <w:szCs w:val="13"/>
                <w:color w:val="auto"/>
              </w:rPr>
              <w:t>PHLX</w:t>
            </w:r>
          </w:p>
        </w:tc>
      </w:tr>
      <w:tr>
        <w:trPr>
          <w:trHeight w:val="41"/>
        </w:trPr>
        <w:tc>
          <w:tcPr>
            <w:tcW w:w="426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r>
      <w:tr>
        <w:trPr>
          <w:trHeight w:val="195"/>
        </w:trPr>
        <w:tc>
          <w:tcPr>
            <w:tcW w:w="4260" w:type="dxa"/>
            <w:vAlign w:val="bottom"/>
          </w:tcPr>
          <w:p>
            <w:pPr>
              <w:ind w:left="60"/>
              <w:spacing w:after="0"/>
              <w:rPr>
                <w:sz w:val="20"/>
                <w:szCs w:val="20"/>
                <w:color w:val="auto"/>
              </w:rPr>
            </w:pPr>
            <w:r>
              <w:rPr>
                <w:rFonts w:ascii="Arial" w:cs="Arial" w:eastAsia="Arial" w:hAnsi="Arial"/>
                <w:sz w:val="13"/>
                <w:szCs w:val="13"/>
                <w:color w:val="auto"/>
              </w:rPr>
              <w:t>Silicon Motion Technology Corporation</w:t>
            </w:r>
          </w:p>
        </w:tc>
        <w:tc>
          <w:tcPr>
            <w:tcW w:w="1220" w:type="dxa"/>
            <w:vAlign w:val="bottom"/>
          </w:tcPr>
          <w:p>
            <w:pPr>
              <w:jc w:val="right"/>
              <w:spacing w:after="0"/>
              <w:rPr>
                <w:sz w:val="20"/>
                <w:szCs w:val="20"/>
                <w:color w:val="auto"/>
              </w:rPr>
            </w:pPr>
            <w:r>
              <w:rPr>
                <w:rFonts w:ascii="Arial" w:cs="Arial" w:eastAsia="Arial" w:hAnsi="Arial"/>
                <w:sz w:val="13"/>
                <w:szCs w:val="13"/>
                <w:color w:val="auto"/>
              </w:rPr>
              <w:t>PHLX</w:t>
            </w:r>
          </w:p>
        </w:tc>
      </w:tr>
      <w:tr>
        <w:trPr>
          <w:trHeight w:val="41"/>
        </w:trPr>
        <w:tc>
          <w:tcPr>
            <w:tcW w:w="426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r>
      <w:tr>
        <w:trPr>
          <w:trHeight w:val="195"/>
        </w:trPr>
        <w:tc>
          <w:tcPr>
            <w:tcW w:w="4260" w:type="dxa"/>
            <w:vAlign w:val="bottom"/>
          </w:tcPr>
          <w:p>
            <w:pPr>
              <w:ind w:left="60"/>
              <w:spacing w:after="0"/>
              <w:rPr>
                <w:sz w:val="20"/>
                <w:szCs w:val="20"/>
                <w:color w:val="auto"/>
              </w:rPr>
            </w:pPr>
            <w:r>
              <w:rPr>
                <w:rFonts w:ascii="Arial" w:cs="Arial" w:eastAsia="Arial" w:hAnsi="Arial"/>
                <w:sz w:val="13"/>
                <w:szCs w:val="13"/>
                <w:color w:val="auto"/>
              </w:rPr>
              <w:t>Skyworks Solutions, Inc.</w:t>
            </w:r>
          </w:p>
        </w:tc>
        <w:tc>
          <w:tcPr>
            <w:tcW w:w="1220" w:type="dxa"/>
            <w:vAlign w:val="bottom"/>
          </w:tcPr>
          <w:p>
            <w:pPr>
              <w:jc w:val="right"/>
              <w:spacing w:after="0"/>
              <w:rPr>
                <w:sz w:val="20"/>
                <w:szCs w:val="20"/>
                <w:color w:val="auto"/>
              </w:rPr>
            </w:pPr>
            <w:r>
              <w:rPr>
                <w:rFonts w:ascii="Arial" w:cs="Arial" w:eastAsia="Arial" w:hAnsi="Arial"/>
                <w:sz w:val="13"/>
                <w:szCs w:val="13"/>
                <w:color w:val="auto"/>
              </w:rPr>
              <w:t>PHLX</w:t>
            </w:r>
          </w:p>
        </w:tc>
      </w:tr>
      <w:tr>
        <w:trPr>
          <w:trHeight w:val="41"/>
        </w:trPr>
        <w:tc>
          <w:tcPr>
            <w:tcW w:w="426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r>
      <w:tr>
        <w:trPr>
          <w:trHeight w:val="196"/>
        </w:trPr>
        <w:tc>
          <w:tcPr>
            <w:tcW w:w="4260" w:type="dxa"/>
            <w:vAlign w:val="bottom"/>
          </w:tcPr>
          <w:p>
            <w:pPr>
              <w:ind w:left="60"/>
              <w:spacing w:after="0"/>
              <w:rPr>
                <w:sz w:val="20"/>
                <w:szCs w:val="20"/>
                <w:color w:val="auto"/>
              </w:rPr>
            </w:pPr>
            <w:r>
              <w:rPr>
                <w:rFonts w:ascii="Arial" w:cs="Arial" w:eastAsia="Arial" w:hAnsi="Arial"/>
                <w:sz w:val="13"/>
                <w:szCs w:val="13"/>
                <w:color w:val="auto"/>
              </w:rPr>
              <w:t>Taiwan Semiconductor Manufacturing</w:t>
            </w:r>
          </w:p>
        </w:tc>
        <w:tc>
          <w:tcPr>
            <w:tcW w:w="1220" w:type="dxa"/>
            <w:vAlign w:val="bottom"/>
          </w:tcPr>
          <w:p>
            <w:pPr>
              <w:jc w:val="right"/>
              <w:spacing w:after="0"/>
              <w:rPr>
                <w:sz w:val="20"/>
                <w:szCs w:val="20"/>
                <w:color w:val="auto"/>
              </w:rPr>
            </w:pPr>
            <w:r>
              <w:rPr>
                <w:rFonts w:ascii="Arial" w:cs="Arial" w:eastAsia="Arial" w:hAnsi="Arial"/>
                <w:sz w:val="13"/>
                <w:szCs w:val="13"/>
                <w:color w:val="auto"/>
              </w:rPr>
              <w:t>PHLX</w:t>
            </w:r>
          </w:p>
        </w:tc>
      </w:tr>
      <w:tr>
        <w:trPr>
          <w:trHeight w:val="41"/>
        </w:trPr>
        <w:tc>
          <w:tcPr>
            <w:tcW w:w="426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r>
      <w:tr>
        <w:trPr>
          <w:trHeight w:val="196"/>
        </w:trPr>
        <w:tc>
          <w:tcPr>
            <w:tcW w:w="4260" w:type="dxa"/>
            <w:vAlign w:val="bottom"/>
          </w:tcPr>
          <w:p>
            <w:pPr>
              <w:ind w:left="60"/>
              <w:spacing w:after="0"/>
              <w:rPr>
                <w:sz w:val="20"/>
                <w:szCs w:val="20"/>
                <w:color w:val="auto"/>
              </w:rPr>
            </w:pPr>
            <w:r>
              <w:rPr>
                <w:rFonts w:ascii="Arial" w:cs="Arial" w:eastAsia="Arial" w:hAnsi="Arial"/>
                <w:sz w:val="13"/>
                <w:szCs w:val="13"/>
                <w:color w:val="auto"/>
              </w:rPr>
              <w:t>TE Connectivity Ltd.</w:t>
            </w:r>
          </w:p>
        </w:tc>
        <w:tc>
          <w:tcPr>
            <w:tcW w:w="1220" w:type="dxa"/>
            <w:vAlign w:val="bottom"/>
          </w:tcPr>
          <w:p>
            <w:pPr>
              <w:jc w:val="right"/>
              <w:spacing w:after="0"/>
              <w:rPr>
                <w:sz w:val="20"/>
                <w:szCs w:val="20"/>
                <w:color w:val="auto"/>
              </w:rPr>
            </w:pPr>
            <w:r>
              <w:rPr>
                <w:rFonts w:ascii="Arial" w:cs="Arial" w:eastAsia="Arial" w:hAnsi="Arial"/>
                <w:sz w:val="13"/>
                <w:szCs w:val="13"/>
                <w:color w:val="auto"/>
              </w:rPr>
              <w:t>S&amp;P 500 TH&amp;E</w:t>
            </w:r>
          </w:p>
        </w:tc>
      </w:tr>
      <w:tr>
        <w:trPr>
          <w:trHeight w:val="41"/>
        </w:trPr>
        <w:tc>
          <w:tcPr>
            <w:tcW w:w="426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r>
      <w:tr>
        <w:trPr>
          <w:trHeight w:val="196"/>
        </w:trPr>
        <w:tc>
          <w:tcPr>
            <w:tcW w:w="4260" w:type="dxa"/>
            <w:vAlign w:val="bottom"/>
          </w:tcPr>
          <w:p>
            <w:pPr>
              <w:ind w:left="60"/>
              <w:spacing w:after="0"/>
              <w:rPr>
                <w:sz w:val="20"/>
                <w:szCs w:val="20"/>
                <w:color w:val="auto"/>
              </w:rPr>
            </w:pPr>
            <w:r>
              <w:rPr>
                <w:rFonts w:ascii="Arial" w:cs="Arial" w:eastAsia="Arial" w:hAnsi="Arial"/>
                <w:sz w:val="13"/>
                <w:szCs w:val="13"/>
                <w:color w:val="auto"/>
              </w:rPr>
              <w:t>Teradyne, Inc.</w:t>
            </w:r>
          </w:p>
        </w:tc>
        <w:tc>
          <w:tcPr>
            <w:tcW w:w="1220" w:type="dxa"/>
            <w:vAlign w:val="bottom"/>
          </w:tcPr>
          <w:p>
            <w:pPr>
              <w:jc w:val="right"/>
              <w:spacing w:after="0"/>
              <w:rPr>
                <w:sz w:val="20"/>
                <w:szCs w:val="20"/>
                <w:color w:val="auto"/>
              </w:rPr>
            </w:pPr>
            <w:r>
              <w:rPr>
                <w:rFonts w:ascii="Arial" w:cs="Arial" w:eastAsia="Arial" w:hAnsi="Arial"/>
                <w:sz w:val="13"/>
                <w:szCs w:val="13"/>
                <w:color w:val="auto"/>
              </w:rPr>
              <w:t>PHLX</w:t>
            </w:r>
          </w:p>
        </w:tc>
      </w:tr>
      <w:tr>
        <w:trPr>
          <w:trHeight w:val="41"/>
        </w:trPr>
        <w:tc>
          <w:tcPr>
            <w:tcW w:w="426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r>
      <w:tr>
        <w:trPr>
          <w:trHeight w:val="195"/>
        </w:trPr>
        <w:tc>
          <w:tcPr>
            <w:tcW w:w="4260" w:type="dxa"/>
            <w:vAlign w:val="bottom"/>
          </w:tcPr>
          <w:p>
            <w:pPr>
              <w:ind w:left="60"/>
              <w:spacing w:after="0"/>
              <w:rPr>
                <w:sz w:val="20"/>
                <w:szCs w:val="20"/>
                <w:color w:val="auto"/>
              </w:rPr>
            </w:pPr>
            <w:r>
              <w:rPr>
                <w:rFonts w:ascii="Arial" w:cs="Arial" w:eastAsia="Arial" w:hAnsi="Arial"/>
                <w:sz w:val="13"/>
                <w:szCs w:val="13"/>
                <w:color w:val="auto"/>
              </w:rPr>
              <w:t>Texas Instruments Incorporated</w:t>
            </w:r>
          </w:p>
        </w:tc>
        <w:tc>
          <w:tcPr>
            <w:tcW w:w="1220" w:type="dxa"/>
            <w:vAlign w:val="bottom"/>
          </w:tcPr>
          <w:p>
            <w:pPr>
              <w:jc w:val="right"/>
              <w:spacing w:after="0"/>
              <w:rPr>
                <w:sz w:val="20"/>
                <w:szCs w:val="20"/>
                <w:color w:val="auto"/>
              </w:rPr>
            </w:pPr>
            <w:r>
              <w:rPr>
                <w:rFonts w:ascii="Arial" w:cs="Arial" w:eastAsia="Arial" w:hAnsi="Arial"/>
                <w:sz w:val="13"/>
                <w:szCs w:val="13"/>
                <w:color w:val="auto"/>
              </w:rPr>
              <w:t>PHLX</w:t>
            </w:r>
          </w:p>
        </w:tc>
      </w:tr>
      <w:tr>
        <w:trPr>
          <w:trHeight w:val="41"/>
        </w:trPr>
        <w:tc>
          <w:tcPr>
            <w:tcW w:w="426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r>
      <w:tr>
        <w:trPr>
          <w:trHeight w:val="196"/>
        </w:trPr>
        <w:tc>
          <w:tcPr>
            <w:tcW w:w="4260" w:type="dxa"/>
            <w:vAlign w:val="bottom"/>
          </w:tcPr>
          <w:p>
            <w:pPr>
              <w:ind w:left="60"/>
              <w:spacing w:after="0"/>
              <w:rPr>
                <w:sz w:val="20"/>
                <w:szCs w:val="20"/>
                <w:color w:val="auto"/>
              </w:rPr>
            </w:pPr>
            <w:r>
              <w:rPr>
                <w:rFonts w:ascii="Arial" w:cs="Arial" w:eastAsia="Arial" w:hAnsi="Arial"/>
                <w:sz w:val="13"/>
                <w:szCs w:val="13"/>
                <w:color w:val="auto"/>
              </w:rPr>
              <w:t>Xerox Holdings Corporation</w:t>
            </w:r>
          </w:p>
        </w:tc>
        <w:tc>
          <w:tcPr>
            <w:tcW w:w="1220" w:type="dxa"/>
            <w:vAlign w:val="bottom"/>
          </w:tcPr>
          <w:p>
            <w:pPr>
              <w:jc w:val="right"/>
              <w:spacing w:after="0"/>
              <w:rPr>
                <w:sz w:val="20"/>
                <w:szCs w:val="20"/>
                <w:color w:val="auto"/>
              </w:rPr>
            </w:pPr>
            <w:r>
              <w:rPr>
                <w:rFonts w:ascii="Arial" w:cs="Arial" w:eastAsia="Arial" w:hAnsi="Arial"/>
                <w:sz w:val="13"/>
                <w:szCs w:val="13"/>
                <w:color w:val="auto"/>
              </w:rPr>
              <w:t>S&amp;P 500 TH&amp;E</w:t>
            </w:r>
          </w:p>
        </w:tc>
      </w:tr>
      <w:tr>
        <w:trPr>
          <w:trHeight w:val="41"/>
        </w:trPr>
        <w:tc>
          <w:tcPr>
            <w:tcW w:w="426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r>
      <w:tr>
        <w:trPr>
          <w:trHeight w:val="196"/>
        </w:trPr>
        <w:tc>
          <w:tcPr>
            <w:tcW w:w="4260" w:type="dxa"/>
            <w:vAlign w:val="bottom"/>
          </w:tcPr>
          <w:p>
            <w:pPr>
              <w:ind w:left="60"/>
              <w:spacing w:after="0"/>
              <w:rPr>
                <w:sz w:val="20"/>
                <w:szCs w:val="20"/>
                <w:color w:val="auto"/>
              </w:rPr>
            </w:pPr>
            <w:r>
              <w:rPr>
                <w:rFonts w:ascii="Arial" w:cs="Arial" w:eastAsia="Arial" w:hAnsi="Arial"/>
                <w:sz w:val="13"/>
                <w:szCs w:val="13"/>
                <w:color w:val="auto"/>
              </w:rPr>
              <w:t>Xilinx, Inc.</w:t>
            </w:r>
          </w:p>
        </w:tc>
        <w:tc>
          <w:tcPr>
            <w:tcW w:w="1220" w:type="dxa"/>
            <w:vAlign w:val="bottom"/>
          </w:tcPr>
          <w:p>
            <w:pPr>
              <w:jc w:val="right"/>
              <w:spacing w:after="0"/>
              <w:rPr>
                <w:sz w:val="20"/>
                <w:szCs w:val="20"/>
                <w:color w:val="auto"/>
              </w:rPr>
            </w:pPr>
            <w:r>
              <w:rPr>
                <w:rFonts w:ascii="Arial" w:cs="Arial" w:eastAsia="Arial" w:hAnsi="Arial"/>
                <w:sz w:val="13"/>
                <w:szCs w:val="13"/>
                <w:color w:val="auto"/>
              </w:rPr>
              <w:t>PHLX</w:t>
            </w:r>
          </w:p>
        </w:tc>
      </w:tr>
      <w:tr>
        <w:trPr>
          <w:trHeight w:val="41"/>
        </w:trPr>
        <w:tc>
          <w:tcPr>
            <w:tcW w:w="4260" w:type="dxa"/>
            <w:vAlign w:val="bottom"/>
            <w:tcBorders>
              <w:bottom w:val="single" w:sz="8" w:color="959595"/>
            </w:tcBorders>
          </w:tcPr>
          <w:p>
            <w:pPr>
              <w:spacing w:after="0"/>
              <w:rPr>
                <w:sz w:val="3"/>
                <w:szCs w:val="3"/>
                <w:color w:val="auto"/>
              </w:rPr>
            </w:pPr>
          </w:p>
        </w:tc>
        <w:tc>
          <w:tcPr>
            <w:tcW w:w="1220" w:type="dxa"/>
            <w:vAlign w:val="bottom"/>
            <w:tcBorders>
              <w:bottom w:val="single" w:sz="8" w:color="959595"/>
            </w:tcBorders>
          </w:tcPr>
          <w:p>
            <w:pPr>
              <w:spacing w:after="0"/>
              <w:rPr>
                <w:sz w:val="3"/>
                <w:szCs w:val="3"/>
                <w:color w:val="auto"/>
              </w:rPr>
            </w:pPr>
          </w:p>
        </w:tc>
      </w:tr>
    </w:tbl>
    <w:p>
      <w:pPr>
        <w:spacing w:after="0" w:line="456" w:lineRule="exact"/>
        <w:rPr>
          <w:sz w:val="20"/>
          <w:szCs w:val="20"/>
          <w:color w:val="auto"/>
        </w:rPr>
      </w:pPr>
    </w:p>
    <w:p>
      <w:pPr>
        <w:sectPr>
          <w:pgSz w:w="11900" w:h="16838" w:orient="portrait"/>
          <w:cols w:equalWidth="0" w:num="2">
            <w:col w:w="5500" w:space="240"/>
            <w:col w:w="5480"/>
          </w:cols>
          <w:pgMar w:left="320" w:top="121" w:right="359" w:bottom="1440" w:gutter="0" w:footer="0" w:header="0"/>
          <w:type w:val="continuous"/>
        </w:sectPr>
      </w:pP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The percentage of relative TSR PSUs that can be earned at the end of the three-year performance period is set forth below.</w:t>
      </w:r>
    </w:p>
    <w:p>
      <w:pPr>
        <w:sectPr>
          <w:pgSz w:w="11900" w:h="16838" w:orient="portrait"/>
          <w:cols w:equalWidth="0" w:num="1">
            <w:col w:w="11220"/>
          </w:cols>
          <w:pgMar w:left="320" w:top="121" w:right="359" w:bottom="1440" w:gutter="0" w:footer="0" w:header="0"/>
          <w:type w:val="continuous"/>
        </w:sectPr>
      </w:pPr>
    </w:p>
    <w:p>
      <w:pPr>
        <w:spacing w:after="0" w:line="199"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Western Digital’s Relative TSR Results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19685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b w:val="1"/>
          <w:bCs w:val="1"/>
          <w:color w:val="auto"/>
        </w:rPr>
        <w:t>Measurement Period</w:t>
      </w:r>
    </w:p>
    <w:p>
      <w:pPr>
        <w:spacing w:after="0" w:line="73" w:lineRule="exact"/>
        <w:rPr>
          <w:sz w:val="20"/>
          <w:szCs w:val="20"/>
          <w:color w:val="auto"/>
        </w:rPr>
      </w:pPr>
    </w:p>
    <w:p>
      <w:pPr>
        <w:ind w:left="80"/>
        <w:spacing w:after="0"/>
        <w:rPr>
          <w:sz w:val="20"/>
          <w:szCs w:val="20"/>
          <w:color w:val="auto"/>
        </w:rPr>
      </w:pPr>
      <w:r>
        <w:rPr>
          <w:rFonts w:ascii="Arial" w:cs="Arial" w:eastAsia="Arial" w:hAnsi="Arial"/>
          <w:sz w:val="13"/>
          <w:szCs w:val="13"/>
          <w:color w:val="auto"/>
        </w:rPr>
        <w:t>75</w:t>
      </w:r>
      <w:r>
        <w:rPr>
          <w:rFonts w:ascii="Arial" w:cs="Arial" w:eastAsia="Arial" w:hAnsi="Arial"/>
          <w:sz w:val="22"/>
          <w:szCs w:val="22"/>
          <w:color w:val="auto"/>
          <w:vertAlign w:val="superscript"/>
        </w:rPr>
        <w:t>th</w:t>
      </w:r>
      <w:r>
        <w:rPr>
          <w:rFonts w:ascii="Arial" w:cs="Arial" w:eastAsia="Arial" w:hAnsi="Arial"/>
          <w:sz w:val="13"/>
          <w:szCs w:val="13"/>
          <w:color w:val="auto"/>
        </w:rPr>
        <w:t xml:space="preserve"> percentile or greater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 w:lineRule="exact"/>
        <w:rPr>
          <w:sz w:val="20"/>
          <w:szCs w:val="20"/>
          <w:color w:val="auto"/>
        </w:rPr>
      </w:pPr>
    </w:p>
    <w:p>
      <w:pPr>
        <w:ind w:left="80"/>
        <w:spacing w:after="0"/>
        <w:rPr>
          <w:sz w:val="20"/>
          <w:szCs w:val="20"/>
          <w:color w:val="auto"/>
        </w:rPr>
      </w:pPr>
      <w:r>
        <w:rPr>
          <w:rFonts w:ascii="Arial" w:cs="Arial" w:eastAsia="Arial" w:hAnsi="Arial"/>
          <w:sz w:val="13"/>
          <w:szCs w:val="13"/>
          <w:color w:val="auto"/>
        </w:rPr>
        <w:t>50</w:t>
      </w:r>
      <w:r>
        <w:rPr>
          <w:rFonts w:ascii="Arial" w:cs="Arial" w:eastAsia="Arial" w:hAnsi="Arial"/>
          <w:sz w:val="22"/>
          <w:szCs w:val="22"/>
          <w:color w:val="auto"/>
          <w:vertAlign w:val="superscript"/>
        </w:rPr>
        <w:t>th</w:t>
      </w:r>
      <w:r>
        <w:rPr>
          <w:rFonts w:ascii="Arial" w:cs="Arial" w:eastAsia="Arial" w:hAnsi="Arial"/>
          <w:sz w:val="13"/>
          <w:szCs w:val="13"/>
          <w:color w:val="auto"/>
        </w:rPr>
        <w:t xml:space="preserve"> percentile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 w:lineRule="exact"/>
        <w:rPr>
          <w:sz w:val="20"/>
          <w:szCs w:val="20"/>
          <w:color w:val="auto"/>
        </w:rPr>
      </w:pPr>
    </w:p>
    <w:p>
      <w:pPr>
        <w:ind w:left="80"/>
        <w:spacing w:after="0"/>
        <w:rPr>
          <w:sz w:val="20"/>
          <w:szCs w:val="20"/>
          <w:color w:val="auto"/>
        </w:rPr>
      </w:pPr>
      <w:r>
        <w:rPr>
          <w:rFonts w:ascii="Arial" w:cs="Arial" w:eastAsia="Arial" w:hAnsi="Arial"/>
          <w:sz w:val="13"/>
          <w:szCs w:val="13"/>
          <w:color w:val="auto"/>
        </w:rPr>
        <w:t>25</w:t>
      </w:r>
      <w:r>
        <w:rPr>
          <w:rFonts w:ascii="Arial" w:cs="Arial" w:eastAsia="Arial" w:hAnsi="Arial"/>
          <w:sz w:val="22"/>
          <w:szCs w:val="22"/>
          <w:color w:val="auto"/>
          <w:vertAlign w:val="superscript"/>
        </w:rPr>
        <w:t>th</w:t>
      </w:r>
      <w:r>
        <w:rPr>
          <w:rFonts w:ascii="Arial" w:cs="Arial" w:eastAsia="Arial" w:hAnsi="Arial"/>
          <w:sz w:val="13"/>
          <w:szCs w:val="13"/>
          <w:color w:val="auto"/>
        </w:rPr>
        <w:t xml:space="preserve"> percentile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 w:lineRule="exact"/>
        <w:rPr>
          <w:sz w:val="20"/>
          <w:szCs w:val="20"/>
          <w:color w:val="auto"/>
        </w:rPr>
      </w:pPr>
    </w:p>
    <w:p>
      <w:pPr>
        <w:ind w:left="80"/>
        <w:spacing w:after="0"/>
        <w:rPr>
          <w:sz w:val="20"/>
          <w:szCs w:val="20"/>
          <w:color w:val="auto"/>
        </w:rPr>
      </w:pPr>
      <w:r>
        <w:rPr>
          <w:rFonts w:ascii="Arial" w:cs="Arial" w:eastAsia="Arial" w:hAnsi="Arial"/>
          <w:sz w:val="13"/>
          <w:szCs w:val="13"/>
          <w:color w:val="auto"/>
        </w:rPr>
        <w:t>Less than the 25</w:t>
      </w:r>
      <w:r>
        <w:rPr>
          <w:rFonts w:ascii="Arial" w:cs="Arial" w:eastAsia="Arial" w:hAnsi="Arial"/>
          <w:sz w:val="22"/>
          <w:szCs w:val="22"/>
          <w:color w:val="auto"/>
          <w:vertAlign w:val="superscript"/>
        </w:rPr>
        <w:t>th</w:t>
      </w:r>
      <w:r>
        <w:rPr>
          <w:rFonts w:ascii="Arial" w:cs="Arial" w:eastAsia="Arial" w:hAnsi="Arial"/>
          <w:sz w:val="13"/>
          <w:szCs w:val="13"/>
          <w:color w:val="auto"/>
        </w:rPr>
        <w:t xml:space="preserve"> percentile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jc w:val="right"/>
        <w:ind w:right="60"/>
        <w:spacing w:after="0"/>
        <w:rPr>
          <w:sz w:val="20"/>
          <w:szCs w:val="20"/>
          <w:color w:val="auto"/>
        </w:rPr>
      </w:pPr>
      <w:r>
        <w:rPr>
          <w:rFonts w:ascii="Arial" w:cs="Arial" w:eastAsia="Arial" w:hAnsi="Arial"/>
          <w:sz w:val="13"/>
          <w:szCs w:val="13"/>
          <w:b w:val="1"/>
          <w:bCs w:val="1"/>
          <w:color w:val="auto"/>
        </w:rPr>
        <w:t>Portion of the PSUs Subject to the Award</w:t>
      </w:r>
    </w:p>
    <w:p>
      <w:pPr>
        <w:spacing w:after="0" w:line="15" w:lineRule="exact"/>
        <w:rPr>
          <w:sz w:val="20"/>
          <w:szCs w:val="20"/>
          <w:color w:val="auto"/>
        </w:rPr>
      </w:pPr>
    </w:p>
    <w:p>
      <w:pPr>
        <w:jc w:val="right"/>
        <w:ind w:right="60"/>
        <w:spacing w:after="0"/>
        <w:rPr>
          <w:sz w:val="20"/>
          <w:szCs w:val="20"/>
          <w:color w:val="auto"/>
        </w:rPr>
      </w:pPr>
      <w:r>
        <w:rPr>
          <w:rFonts w:ascii="Arial" w:cs="Arial" w:eastAsia="Arial" w:hAnsi="Arial"/>
          <w:sz w:val="13"/>
          <w:szCs w:val="13"/>
          <w:b w:val="1"/>
          <w:bCs w:val="1"/>
          <w:color w:val="auto"/>
        </w:rPr>
        <w:t>that Become Eligible to Vest</w:t>
      </w:r>
    </w:p>
    <w:p>
      <w:pPr>
        <w:spacing w:after="0" w:line="107" w:lineRule="exact"/>
        <w:rPr>
          <w:sz w:val="20"/>
          <w:szCs w:val="20"/>
          <w:color w:val="auto"/>
        </w:rPr>
      </w:pPr>
    </w:p>
    <w:p>
      <w:pPr>
        <w:jc w:val="right"/>
        <w:ind w:right="60"/>
        <w:spacing w:after="0"/>
        <w:rPr>
          <w:sz w:val="20"/>
          <w:szCs w:val="20"/>
          <w:color w:val="auto"/>
        </w:rPr>
      </w:pPr>
      <w:r>
        <w:rPr>
          <w:rFonts w:ascii="Arial" w:cs="Arial" w:eastAsia="Arial" w:hAnsi="Arial"/>
          <w:sz w:val="13"/>
          <w:szCs w:val="13"/>
          <w:color w:val="auto"/>
        </w:rPr>
        <w:t>200%</w:t>
      </w:r>
    </w:p>
    <w:p>
      <w:pPr>
        <w:spacing w:after="0" w:line="161" w:lineRule="exact"/>
        <w:rPr>
          <w:sz w:val="20"/>
          <w:szCs w:val="20"/>
          <w:color w:val="auto"/>
        </w:rPr>
      </w:pPr>
    </w:p>
    <w:p>
      <w:pPr>
        <w:jc w:val="right"/>
        <w:ind w:right="60"/>
        <w:spacing w:after="0"/>
        <w:rPr>
          <w:sz w:val="20"/>
          <w:szCs w:val="20"/>
          <w:color w:val="auto"/>
        </w:rPr>
      </w:pPr>
      <w:r>
        <w:rPr>
          <w:rFonts w:ascii="Arial" w:cs="Arial" w:eastAsia="Arial" w:hAnsi="Arial"/>
          <w:sz w:val="13"/>
          <w:szCs w:val="13"/>
          <w:color w:val="auto"/>
        </w:rPr>
        <w:t>100%</w:t>
      </w:r>
    </w:p>
    <w:p>
      <w:pPr>
        <w:spacing w:after="0" w:line="161" w:lineRule="exact"/>
        <w:rPr>
          <w:sz w:val="20"/>
          <w:szCs w:val="20"/>
          <w:color w:val="auto"/>
        </w:rPr>
      </w:pPr>
    </w:p>
    <w:p>
      <w:pPr>
        <w:ind w:left="2380"/>
        <w:spacing w:after="0"/>
        <w:rPr>
          <w:sz w:val="20"/>
          <w:szCs w:val="20"/>
          <w:color w:val="auto"/>
        </w:rPr>
      </w:pPr>
      <w:r>
        <w:rPr>
          <w:rFonts w:ascii="Arial" w:cs="Arial" w:eastAsia="Arial" w:hAnsi="Arial"/>
          <w:sz w:val="12"/>
          <w:szCs w:val="12"/>
          <w:color w:val="auto"/>
        </w:rPr>
        <w:t>25%</w:t>
      </w:r>
    </w:p>
    <w:p>
      <w:pPr>
        <w:spacing w:after="0" w:line="173" w:lineRule="exact"/>
        <w:rPr>
          <w:sz w:val="20"/>
          <w:szCs w:val="20"/>
          <w:color w:val="auto"/>
        </w:rPr>
      </w:pPr>
    </w:p>
    <w:p>
      <w:pPr>
        <w:ind w:left="2460"/>
        <w:spacing w:after="0"/>
        <w:rPr>
          <w:sz w:val="20"/>
          <w:szCs w:val="20"/>
          <w:color w:val="auto"/>
        </w:rPr>
      </w:pPr>
      <w:r>
        <w:rPr>
          <w:rFonts w:ascii="Arial" w:cs="Arial" w:eastAsia="Arial" w:hAnsi="Arial"/>
          <w:sz w:val="12"/>
          <w:szCs w:val="12"/>
          <w:color w:val="auto"/>
        </w:rPr>
        <w:t>0%</w:t>
      </w:r>
    </w:p>
    <w:p>
      <w:pPr>
        <w:spacing w:after="0" w:line="281" w:lineRule="exact"/>
        <w:rPr>
          <w:sz w:val="20"/>
          <w:szCs w:val="20"/>
          <w:color w:val="auto"/>
        </w:rPr>
      </w:pPr>
    </w:p>
    <w:p>
      <w:pPr>
        <w:sectPr>
          <w:pgSz w:w="11900" w:h="16838" w:orient="portrait"/>
          <w:cols w:equalWidth="0" w:num="2">
            <w:col w:w="7800" w:space="720"/>
            <w:col w:w="2700"/>
          </w:cols>
          <w:pgMar w:left="320" w:top="121" w:right="359" w:bottom="1440" w:gutter="0" w:footer="0" w:header="0"/>
          <w:type w:val="continuous"/>
        </w:sectPr>
      </w:pPr>
    </w:p>
    <w:p>
      <w:pPr>
        <w:spacing w:after="0" w:line="13" w:lineRule="exact"/>
        <w:rPr>
          <w:sz w:val="20"/>
          <w:szCs w:val="20"/>
          <w:color w:val="auto"/>
        </w:rPr>
      </w:pPr>
    </w:p>
    <w:p>
      <w:pPr>
        <w:ind w:right="160"/>
        <w:spacing w:after="0" w:line="258" w:lineRule="auto"/>
        <w:rPr>
          <w:sz w:val="20"/>
          <w:szCs w:val="20"/>
          <w:color w:val="auto"/>
        </w:rPr>
      </w:pPr>
      <w:r>
        <w:rPr>
          <w:rFonts w:ascii="Arial" w:cs="Arial" w:eastAsia="Arial" w:hAnsi="Arial"/>
          <w:sz w:val="13"/>
          <w:szCs w:val="13"/>
          <w:color w:val="auto"/>
        </w:rPr>
        <w:t>Straight-line interpolation is used if performance falls between two points. If our absolute TSR is negative during the performance period, the relative TSR PSUs will be capped at a target payout (100%).</w:t>
      </w:r>
    </w:p>
    <w:p>
      <w:pPr>
        <w:spacing w:after="0" w:line="158"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Achievement of Prior Year LTI Awards</w:t>
      </w:r>
    </w:p>
    <w:p>
      <w:pPr>
        <w:spacing w:after="0" w:line="5" w:lineRule="exact"/>
        <w:rPr>
          <w:sz w:val="20"/>
          <w:szCs w:val="20"/>
          <w:color w:val="auto"/>
        </w:rPr>
      </w:pPr>
    </w:p>
    <w:p>
      <w:pPr>
        <w:spacing w:after="0"/>
        <w:rPr>
          <w:sz w:val="20"/>
          <w:szCs w:val="20"/>
          <w:color w:val="auto"/>
        </w:rPr>
      </w:pPr>
      <w:r>
        <w:rPr>
          <w:sz w:val="1"/>
          <w:szCs w:val="1"/>
          <w:color w:val="auto"/>
        </w:rPr>
        <w:drawing>
          <wp:inline distT="0" distB="0" distL="0" distR="0">
            <wp:extent cx="34290" cy="171450"/>
            <wp:effectExtent l="0" t="0" r="0" b="0"/>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4290" cy="171450"/>
                    </a:xfrm>
                    <a:prstGeom prst="rect">
                      <a:avLst/>
                    </a:prstGeom>
                    <a:noFill/>
                    <a:ln>
                      <a:noFill/>
                    </a:ln>
                  </pic:spPr>
                </pic:pic>
              </a:graphicData>
            </a:graphic>
          </wp:inline>
        </w:drawing>
      </w:r>
      <w:r>
        <w:rPr>
          <w:rFonts w:ascii="Arial" w:cs="Arial" w:eastAsia="Arial" w:hAnsi="Arial"/>
          <w:sz w:val="22"/>
          <w:szCs w:val="22"/>
          <w:b w:val="1"/>
          <w:bCs w:val="1"/>
          <w:color w:val="5FC4AF"/>
        </w:rPr>
        <w:t xml:space="preserve"> Fiscal 2019–2021 PSU Awards</w:t>
      </w:r>
    </w:p>
    <w:p>
      <w:pPr>
        <w:spacing w:after="0" w:line="205" w:lineRule="exact"/>
        <w:rPr>
          <w:sz w:val="20"/>
          <w:szCs w:val="20"/>
          <w:color w:val="auto"/>
        </w:rPr>
      </w:pPr>
    </w:p>
    <w:p>
      <w:pPr>
        <w:ind w:right="20"/>
        <w:spacing w:after="0" w:line="258" w:lineRule="auto"/>
        <w:rPr>
          <w:sz w:val="20"/>
          <w:szCs w:val="20"/>
          <w:color w:val="auto"/>
        </w:rPr>
      </w:pPr>
      <w:r>
        <w:rPr>
          <w:rFonts w:ascii="Arial" w:cs="Arial" w:eastAsia="Arial" w:hAnsi="Arial"/>
          <w:sz w:val="13"/>
          <w:szCs w:val="13"/>
          <w:color w:val="auto"/>
        </w:rPr>
        <w:t>In August 2018, the Compensation and Talent Committee approved the grant of annual PSU awards to our named executive officers. These PSUs are earned based on the achievement of pre-established financial and market-based goals over a two- and three-year performance period, as discussed in more detail below.</w:t>
      </w:r>
    </w:p>
    <w:p>
      <w:pPr>
        <w:spacing w:after="0" w:line="176" w:lineRule="exact"/>
        <w:rPr>
          <w:sz w:val="20"/>
          <w:szCs w:val="20"/>
          <w:color w:val="auto"/>
        </w:rPr>
      </w:pPr>
    </w:p>
    <w:p>
      <w:pPr>
        <w:jc w:val="both"/>
        <w:ind w:left="240" w:right="120" w:hanging="232"/>
        <w:spacing w:after="0" w:line="261" w:lineRule="auto"/>
        <w:tabs>
          <w:tab w:leader="none" w:pos="240" w:val="left"/>
        </w:tabs>
        <w:numPr>
          <w:ilvl w:val="0"/>
          <w:numId w:val="179"/>
        </w:numPr>
        <w:rPr>
          <w:rFonts w:ascii="Arial" w:cs="Arial" w:eastAsia="Arial" w:hAnsi="Arial"/>
          <w:sz w:val="13"/>
          <w:szCs w:val="13"/>
          <w:color w:val="61C4AF"/>
        </w:rPr>
      </w:pPr>
      <w:r>
        <w:rPr>
          <w:rFonts w:ascii="Arial" w:cs="Arial" w:eastAsia="Arial" w:hAnsi="Arial"/>
          <w:sz w:val="13"/>
          <w:szCs w:val="13"/>
          <w:b w:val="1"/>
          <w:bCs w:val="1"/>
          <w:color w:val="auto"/>
        </w:rPr>
        <w:t>Fiscal 2019-2020 Performance Period</w:t>
      </w:r>
      <w:r>
        <w:rPr>
          <w:rFonts w:ascii="Arial" w:cs="Arial" w:eastAsia="Arial" w:hAnsi="Arial"/>
          <w:sz w:val="13"/>
          <w:szCs w:val="13"/>
          <w:color w:val="auto"/>
        </w:rPr>
        <w:t>. The fiscal 2019-2021 PSUs include a two-year cumulative revenue metric, weighted at 6.25% of the target award, and a two-year cumulative</w:t>
      </w:r>
      <w:r>
        <w:rPr>
          <w:rFonts w:ascii="Arial" w:cs="Arial" w:eastAsia="Arial" w:hAnsi="Arial"/>
          <w:sz w:val="13"/>
          <w:szCs w:val="13"/>
          <w:b w:val="1"/>
          <w:bCs w:val="1"/>
          <w:color w:val="auto"/>
        </w:rPr>
        <w:t xml:space="preserve"> </w:t>
      </w:r>
      <w:r>
        <w:rPr>
          <w:rFonts w:ascii="Arial" w:cs="Arial" w:eastAsia="Arial" w:hAnsi="Arial"/>
          <w:sz w:val="13"/>
          <w:szCs w:val="13"/>
          <w:color w:val="auto"/>
        </w:rPr>
        <w:t>non-GAAP EPS metric, weighted at 6.25% of the target award. Executives must remain employed with us for one year following the end of the two-year performance period to receive the payout on these PSUs.</w:t>
      </w:r>
    </w:p>
    <w:p>
      <w:pPr>
        <w:spacing w:after="0" w:line="25" w:lineRule="exact"/>
        <w:rPr>
          <w:rFonts w:ascii="Arial" w:cs="Arial" w:eastAsia="Arial" w:hAnsi="Arial"/>
          <w:sz w:val="13"/>
          <w:szCs w:val="13"/>
          <w:color w:val="61C4AF"/>
        </w:rPr>
      </w:pPr>
    </w:p>
    <w:p>
      <w:pPr>
        <w:ind w:left="240" w:right="120" w:hanging="232"/>
        <w:spacing w:after="0" w:line="284" w:lineRule="auto"/>
        <w:tabs>
          <w:tab w:leader="none" w:pos="240" w:val="left"/>
        </w:tabs>
        <w:numPr>
          <w:ilvl w:val="0"/>
          <w:numId w:val="179"/>
        </w:numPr>
        <w:rPr>
          <w:rFonts w:ascii="Arial" w:cs="Arial" w:eastAsia="Arial" w:hAnsi="Arial"/>
          <w:sz w:val="13"/>
          <w:szCs w:val="13"/>
          <w:color w:val="61C4AF"/>
        </w:rPr>
      </w:pPr>
      <w:r>
        <w:rPr>
          <w:rFonts w:ascii="Arial" w:cs="Arial" w:eastAsia="Arial" w:hAnsi="Arial"/>
          <w:sz w:val="13"/>
          <w:szCs w:val="13"/>
          <w:b w:val="1"/>
          <w:bCs w:val="1"/>
          <w:color w:val="auto"/>
        </w:rPr>
        <w:t xml:space="preserve">Fiscal 2019-2021 Performance Period. </w:t>
      </w:r>
      <w:r>
        <w:rPr>
          <w:rFonts w:ascii="Arial" w:cs="Arial" w:eastAsia="Arial" w:hAnsi="Arial"/>
          <w:sz w:val="13"/>
          <w:szCs w:val="13"/>
          <w:color w:val="auto"/>
        </w:rPr>
        <w:t>The fiscal 2019-2021 PSUs include a three-year cumulative revenue metric, weighted at 18.75% of the target award, a three-year cumulative</w:t>
      </w:r>
      <w:r>
        <w:rPr>
          <w:rFonts w:ascii="Arial" w:cs="Arial" w:eastAsia="Arial" w:hAnsi="Arial"/>
          <w:sz w:val="13"/>
          <w:szCs w:val="13"/>
          <w:b w:val="1"/>
          <w:bCs w:val="1"/>
          <w:color w:val="auto"/>
        </w:rPr>
        <w:t xml:space="preserve"> </w:t>
      </w:r>
      <w:r>
        <w:rPr>
          <w:rFonts w:ascii="Arial" w:cs="Arial" w:eastAsia="Arial" w:hAnsi="Arial"/>
          <w:sz w:val="13"/>
          <w:szCs w:val="13"/>
          <w:color w:val="auto"/>
        </w:rPr>
        <w:t>non-GAAP EPS metric, weighted at 18.75% of the target award, and a three-year relative TSR metric, weighted at 50% of the award.</w:t>
      </w:r>
    </w:p>
    <w:p>
      <w:pPr>
        <w:spacing w:after="0" w:line="171" w:lineRule="exact"/>
        <w:rPr>
          <w:sz w:val="20"/>
          <w:szCs w:val="20"/>
          <w:color w:val="auto"/>
        </w:rPr>
      </w:pPr>
    </w:p>
    <w:p>
      <w:pPr>
        <w:ind w:left="440" w:hanging="432"/>
        <w:spacing w:after="0"/>
        <w:tabs>
          <w:tab w:leader="none" w:pos="440" w:val="left"/>
        </w:tabs>
        <w:numPr>
          <w:ilvl w:val="0"/>
          <w:numId w:val="180"/>
        </w:numPr>
        <w:rPr>
          <w:rFonts w:ascii="Arial" w:cs="Arial" w:eastAsia="Arial" w:hAnsi="Arial"/>
          <w:sz w:val="18"/>
          <w:szCs w:val="18"/>
          <w:b w:val="1"/>
          <w:bCs w:val="1"/>
          <w:color w:val="23628F"/>
        </w:rPr>
      </w:pPr>
      <w:r>
        <w:rPr>
          <w:rFonts w:ascii="Arial" w:cs="Arial" w:eastAsia="Arial" w:hAnsi="Arial"/>
          <w:sz w:val="13"/>
          <w:szCs w:val="13"/>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153275" cy="209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4" w:name="page75"/>
    <w:bookmarkEnd w:id="74"/>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right"/>
        <w:spacing w:after="0"/>
        <w:rPr>
          <w:sz w:val="20"/>
          <w:szCs w:val="20"/>
          <w:color w:val="auto"/>
        </w:rPr>
      </w:pPr>
      <w:r>
        <w:rPr>
          <w:rFonts w:ascii="Arial" w:cs="Arial" w:eastAsia="Arial" w:hAnsi="Arial"/>
          <w:sz w:val="13"/>
          <w:szCs w:val="13"/>
          <w:color w:val="23628F"/>
        </w:rPr>
        <w:t>COMPENSATION DISCUSSION AND ANALYSIS</w:t>
      </w:r>
    </w:p>
    <w:p>
      <w:pPr>
        <w:spacing w:after="0" w:line="199" w:lineRule="exact"/>
        <w:rPr>
          <w:sz w:val="20"/>
          <w:szCs w:val="20"/>
          <w:color w:val="auto"/>
        </w:rPr>
      </w:pPr>
    </w:p>
    <w:p>
      <w:pPr>
        <w:ind w:left="240" w:right="200" w:hanging="232"/>
        <w:spacing w:after="0" w:line="253" w:lineRule="auto"/>
        <w:tabs>
          <w:tab w:leader="none" w:pos="240" w:val="left"/>
        </w:tabs>
        <w:numPr>
          <w:ilvl w:val="0"/>
          <w:numId w:val="181"/>
        </w:numPr>
        <w:rPr>
          <w:rFonts w:ascii="Arial" w:cs="Arial" w:eastAsia="Arial" w:hAnsi="Arial"/>
          <w:sz w:val="13"/>
          <w:szCs w:val="13"/>
          <w:color w:val="61C4AF"/>
        </w:rPr>
      </w:pPr>
      <w:r>
        <w:rPr>
          <w:rFonts w:ascii="Arial" w:cs="Arial" w:eastAsia="Arial" w:hAnsi="Arial"/>
          <w:sz w:val="13"/>
          <w:szCs w:val="13"/>
          <w:b w:val="1"/>
          <w:bCs w:val="1"/>
          <w:color w:val="auto"/>
        </w:rPr>
        <w:t>Relative MPA for Financial Metrics</w:t>
      </w:r>
      <w:r>
        <w:rPr>
          <w:rFonts w:ascii="Arial" w:cs="Arial" w:eastAsia="Arial" w:hAnsi="Arial"/>
          <w:sz w:val="13"/>
          <w:szCs w:val="13"/>
          <w:color w:val="auto"/>
        </w:rPr>
        <w:t>. The fiscal 2019-2021 PSUs include a relative MPA modifier as described above for the fiscal 2020-2022 PSUs on page 69. The actual total</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market for our products during the fiscal 2019-2020 performance period (measured by revenue) was lower than forecasted when the PSU goals were established, which resulted in a decrease in the target level of performance for both the revenue and non-GAAP EPS metrics relative to the targets established at grant. As a basis for comparison, the relative MPA modifier incorporated into our PSUs that vested following each of the last two fiscal years </w:t>
      </w:r>
      <w:r>
        <w:rPr>
          <w:rFonts w:ascii="Arial" w:cs="Arial" w:eastAsia="Arial" w:hAnsi="Arial"/>
          <w:sz w:val="13"/>
          <w:szCs w:val="13"/>
          <w:b w:val="1"/>
          <w:bCs w:val="1"/>
          <w:i w:val="1"/>
          <w:iCs w:val="1"/>
          <w:color w:val="auto"/>
        </w:rPr>
        <w:t>increased</w:t>
      </w:r>
      <w:r>
        <w:rPr>
          <w:rFonts w:ascii="Arial" w:cs="Arial" w:eastAsia="Arial" w:hAnsi="Arial"/>
          <w:sz w:val="13"/>
          <w:szCs w:val="13"/>
          <w:color w:val="auto"/>
        </w:rPr>
        <w:t xml:space="preserve"> the financial targets relative to those established at grant.</w:t>
      </w:r>
    </w:p>
    <w:p>
      <w:pPr>
        <w:spacing w:after="0" w:line="196" w:lineRule="exact"/>
        <w:rPr>
          <w:sz w:val="20"/>
          <w:szCs w:val="20"/>
          <w:color w:val="auto"/>
        </w:rPr>
      </w:pPr>
    </w:p>
    <w:p>
      <w:pPr>
        <w:ind w:right="100"/>
        <w:spacing w:after="0" w:line="245" w:lineRule="auto"/>
        <w:rPr>
          <w:sz w:val="20"/>
          <w:szCs w:val="20"/>
          <w:color w:val="auto"/>
        </w:rPr>
      </w:pPr>
      <w:r>
        <w:rPr>
          <w:rFonts w:ascii="Arial" w:cs="Arial" w:eastAsia="Arial" w:hAnsi="Arial"/>
          <w:sz w:val="13"/>
          <w:szCs w:val="13"/>
          <w:color w:val="auto"/>
        </w:rPr>
        <w:t xml:space="preserve">Following the end of fiscal 2020, the Compensation and Talent Committee certified the performance for the portion of the fiscal 2019-2021 PSUs subject to the fiscal 2019-2020 performance period (12.5% of the target award), as outlined below. These PSUs remain subject to a one-year service requirement during fiscal 2021 in order for our named executive officers to receive the payout on these PSUs. Because of our transition from a two-year performance period to a three-year performance/vesting period, our named executive officers have a “gap” year with no PSU payouts. </w:t>
      </w:r>
      <w:r>
        <w:rPr>
          <w:rFonts w:ascii="Arial" w:cs="Arial" w:eastAsia="Arial" w:hAnsi="Arial"/>
          <w:sz w:val="13"/>
          <w:szCs w:val="13"/>
          <w:b w:val="1"/>
          <w:bCs w:val="1"/>
          <w:i w:val="1"/>
          <w:iCs w:val="1"/>
          <w:color w:val="auto"/>
        </w:rPr>
        <w:t>As a result of this gap, none of our named executive officers received a PSU payout following the end of fiscal 2020.</w:t>
      </w:r>
    </w:p>
    <w:p>
      <w:pPr>
        <w:spacing w:after="0" w:line="164" w:lineRule="exact"/>
        <w:rPr>
          <w:sz w:val="20"/>
          <w:szCs w:val="20"/>
          <w:color w:val="auto"/>
        </w:rPr>
      </w:pPr>
    </w:p>
    <w:p>
      <w:pPr>
        <w:spacing w:after="0"/>
        <w:rPr>
          <w:sz w:val="20"/>
          <w:szCs w:val="20"/>
          <w:color w:val="auto"/>
        </w:rPr>
      </w:pPr>
      <w:r>
        <w:rPr>
          <w:sz w:val="1"/>
          <w:szCs w:val="1"/>
          <w:color w:val="auto"/>
        </w:rPr>
        <w:drawing>
          <wp:inline distT="0" distB="0" distL="0" distR="0">
            <wp:extent cx="34290" cy="171450"/>
            <wp:effectExtent l="0" t="0" r="0" b="0"/>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4290" cy="171450"/>
                    </a:xfrm>
                    <a:prstGeom prst="rect">
                      <a:avLst/>
                    </a:prstGeom>
                    <a:noFill/>
                    <a:ln>
                      <a:noFill/>
                    </a:ln>
                  </pic:spPr>
                </pic:pic>
              </a:graphicData>
            </a:graphic>
          </wp:inline>
        </w:drawing>
      </w:r>
      <w:r>
        <w:rPr>
          <w:rFonts w:ascii="Arial" w:cs="Arial" w:eastAsia="Arial" w:hAnsi="Arial"/>
          <w:sz w:val="22"/>
          <w:szCs w:val="22"/>
          <w:b w:val="1"/>
          <w:bCs w:val="1"/>
          <w:color w:val="5FC4AF"/>
        </w:rPr>
        <w:t xml:space="preserve"> Fiscal 2019-2020 Performance Period Achievement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04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130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Target After</w:t>
            </w:r>
          </w:p>
        </w:tc>
        <w:tc>
          <w:tcPr>
            <w:tcW w:w="100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04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Original</w:t>
            </w:r>
          </w:p>
        </w:tc>
        <w:tc>
          <w:tcPr>
            <w:tcW w:w="800" w:type="dxa"/>
            <w:vAlign w:val="bottom"/>
            <w:tcBorders>
              <w:right w:val="single" w:sz="8" w:color="auto"/>
            </w:tcBorders>
          </w:tcPr>
          <w:p>
            <w:pPr>
              <w:spacing w:after="0"/>
              <w:rPr>
                <w:sz w:val="12"/>
                <w:szCs w:val="12"/>
                <w:color w:val="auto"/>
              </w:rPr>
            </w:pPr>
          </w:p>
        </w:tc>
        <w:tc>
          <w:tcPr>
            <w:tcW w:w="130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Applying Relative</w:t>
            </w:r>
          </w:p>
        </w:tc>
        <w:tc>
          <w:tcPr>
            <w:tcW w:w="100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58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rPr>
              <w:t>Final</w:t>
            </w:r>
          </w:p>
        </w:tc>
        <w:tc>
          <w:tcPr>
            <w:tcW w:w="0" w:type="dxa"/>
            <w:vAlign w:val="bottom"/>
          </w:tcPr>
          <w:p>
            <w:pPr>
              <w:spacing w:after="0"/>
              <w:rPr>
                <w:sz w:val="1"/>
                <w:szCs w:val="1"/>
                <w:color w:val="auto"/>
              </w:rPr>
            </w:pPr>
          </w:p>
        </w:tc>
      </w:tr>
      <w:tr>
        <w:trPr>
          <w:trHeight w:val="138"/>
        </w:trPr>
        <w:tc>
          <w:tcPr>
            <w:tcW w:w="504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jc w:val="right"/>
              <w:ind w:right="33"/>
              <w:spacing w:after="0" w:line="138" w:lineRule="exact"/>
              <w:rPr>
                <w:sz w:val="20"/>
                <w:szCs w:val="20"/>
                <w:color w:val="auto"/>
              </w:rPr>
            </w:pPr>
            <w:r>
              <w:rPr>
                <w:rFonts w:ascii="Arial" w:cs="Arial" w:eastAsia="Arial" w:hAnsi="Arial"/>
                <w:sz w:val="13"/>
                <w:szCs w:val="13"/>
                <w:b w:val="1"/>
                <w:bCs w:val="1"/>
                <w:color w:val="auto"/>
              </w:rPr>
              <w:t>Threshold</w:t>
            </w:r>
          </w:p>
        </w:tc>
        <w:tc>
          <w:tcPr>
            <w:tcW w:w="660" w:type="dxa"/>
            <w:vAlign w:val="bottom"/>
            <w:tcBorders>
              <w:right w:val="single" w:sz="8" w:color="auto"/>
            </w:tcBorders>
          </w:tcPr>
          <w:p>
            <w:pPr>
              <w:jc w:val="right"/>
              <w:ind w:right="13"/>
              <w:spacing w:after="0" w:line="138" w:lineRule="exact"/>
              <w:rPr>
                <w:sz w:val="20"/>
                <w:szCs w:val="20"/>
                <w:color w:val="auto"/>
              </w:rPr>
            </w:pPr>
            <w:r>
              <w:rPr>
                <w:rFonts w:ascii="Arial" w:cs="Arial" w:eastAsia="Arial" w:hAnsi="Arial"/>
                <w:sz w:val="13"/>
                <w:szCs w:val="13"/>
                <w:b w:val="1"/>
                <w:bCs w:val="1"/>
                <w:color w:val="auto"/>
              </w:rPr>
              <w:t>Target</w:t>
            </w:r>
          </w:p>
        </w:tc>
        <w:tc>
          <w:tcPr>
            <w:tcW w:w="800" w:type="dxa"/>
            <w:vAlign w:val="bottom"/>
            <w:tcBorders>
              <w:right w:val="single" w:sz="8" w:color="auto"/>
            </w:tcBorders>
          </w:tcPr>
          <w:p>
            <w:pPr>
              <w:spacing w:after="0"/>
              <w:rPr>
                <w:sz w:val="12"/>
                <w:szCs w:val="12"/>
                <w:color w:val="auto"/>
              </w:rPr>
            </w:pPr>
          </w:p>
        </w:tc>
        <w:tc>
          <w:tcPr>
            <w:tcW w:w="1300" w:type="dxa"/>
            <w:vAlign w:val="bottom"/>
            <w:tcBorders>
              <w:right w:val="single" w:sz="8" w:color="auto"/>
            </w:tcBorders>
          </w:tcPr>
          <w:p>
            <w:pPr>
              <w:jc w:val="right"/>
              <w:ind w:right="33"/>
              <w:spacing w:after="0" w:line="138" w:lineRule="exact"/>
              <w:rPr>
                <w:sz w:val="20"/>
                <w:szCs w:val="20"/>
                <w:color w:val="auto"/>
              </w:rPr>
            </w:pPr>
            <w:r>
              <w:rPr>
                <w:rFonts w:ascii="Arial" w:cs="Arial" w:eastAsia="Arial" w:hAnsi="Arial"/>
                <w:sz w:val="13"/>
                <w:szCs w:val="13"/>
                <w:b w:val="1"/>
                <w:bCs w:val="1"/>
                <w:color w:val="auto"/>
              </w:rPr>
              <w:t>MPA Modifier</w:t>
            </w:r>
          </w:p>
        </w:tc>
        <w:tc>
          <w:tcPr>
            <w:tcW w:w="1000" w:type="dxa"/>
            <w:vAlign w:val="bottom"/>
            <w:tcBorders>
              <w:right w:val="single" w:sz="8" w:color="auto"/>
            </w:tcBorders>
          </w:tcPr>
          <w:p>
            <w:pPr>
              <w:jc w:val="right"/>
              <w:ind w:right="33"/>
              <w:spacing w:after="0" w:line="138" w:lineRule="exact"/>
              <w:rPr>
                <w:sz w:val="20"/>
                <w:szCs w:val="20"/>
                <w:color w:val="auto"/>
              </w:rPr>
            </w:pPr>
            <w:r>
              <w:rPr>
                <w:rFonts w:ascii="Arial" w:cs="Arial" w:eastAsia="Arial" w:hAnsi="Arial"/>
                <w:sz w:val="13"/>
                <w:szCs w:val="13"/>
                <w:b w:val="1"/>
                <w:bCs w:val="1"/>
                <w:color w:val="auto"/>
              </w:rPr>
              <w:t>Actual</w:t>
            </w:r>
          </w:p>
        </w:tc>
        <w:tc>
          <w:tcPr>
            <w:tcW w:w="1020" w:type="dxa"/>
            <w:vAlign w:val="bottom"/>
            <w:tcBorders>
              <w:right w:val="single" w:sz="8" w:color="auto"/>
            </w:tcBorders>
          </w:tcPr>
          <w:p>
            <w:pPr>
              <w:spacing w:after="0"/>
              <w:rPr>
                <w:sz w:val="12"/>
                <w:szCs w:val="12"/>
                <w:color w:val="auto"/>
              </w:rPr>
            </w:pP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4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(50%)</w:t>
            </w:r>
          </w:p>
        </w:tc>
        <w:tc>
          <w:tcPr>
            <w:tcW w:w="66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(100%)</w:t>
            </w:r>
          </w:p>
        </w:tc>
        <w:tc>
          <w:tcPr>
            <w:tcW w:w="80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Maximum</w:t>
            </w:r>
          </w:p>
        </w:tc>
        <w:tc>
          <w:tcPr>
            <w:tcW w:w="130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(100%)</w:t>
            </w:r>
          </w:p>
        </w:tc>
        <w:tc>
          <w:tcPr>
            <w:tcW w:w="100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Performance</w:t>
            </w:r>
          </w:p>
        </w:tc>
        <w:tc>
          <w:tcPr>
            <w:tcW w:w="102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Achievement</w:t>
            </w:r>
          </w:p>
        </w:tc>
        <w:tc>
          <w:tcPr>
            <w:tcW w:w="580" w:type="dxa"/>
            <w:vAlign w:val="bottom"/>
          </w:tcPr>
          <w:p>
            <w:pPr>
              <w:jc w:val="right"/>
              <w:ind w:right="13"/>
              <w:spacing w:after="0"/>
              <w:rPr>
                <w:sz w:val="20"/>
                <w:szCs w:val="20"/>
                <w:color w:val="auto"/>
              </w:rPr>
            </w:pPr>
            <w:r>
              <w:rPr>
                <w:rFonts w:ascii="Arial" w:cs="Arial" w:eastAsia="Arial" w:hAnsi="Arial"/>
                <w:sz w:val="13"/>
                <w:szCs w:val="13"/>
                <w:b w:val="1"/>
                <w:bCs w:val="1"/>
                <w:color w:val="auto"/>
              </w:rPr>
              <w:t>Payout</w:t>
            </w:r>
          </w:p>
        </w:tc>
        <w:tc>
          <w:tcPr>
            <w:tcW w:w="0" w:type="dxa"/>
            <w:vAlign w:val="bottom"/>
          </w:tcPr>
          <w:p>
            <w:pPr>
              <w:spacing w:after="0"/>
              <w:rPr>
                <w:sz w:val="1"/>
                <w:szCs w:val="1"/>
                <w:color w:val="auto"/>
              </w:rPr>
            </w:pPr>
          </w:p>
        </w:tc>
      </w:tr>
      <w:tr>
        <w:trPr>
          <w:trHeight w:val="203"/>
        </w:trPr>
        <w:tc>
          <w:tcPr>
            <w:tcW w:w="50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rPr>
              <w:t>Cumulative Goals</w:t>
            </w:r>
          </w:p>
        </w:tc>
        <w:tc>
          <w:tcPr>
            <w:tcW w:w="84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(200%)($)</w:t>
            </w:r>
          </w:p>
        </w:tc>
        <w:tc>
          <w:tcPr>
            <w:tcW w:w="130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w:t>
            </w:r>
          </w:p>
        </w:tc>
        <w:tc>
          <w:tcPr>
            <w:tcW w:w="100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w:t>
            </w:r>
          </w:p>
        </w:tc>
        <w:tc>
          <w:tcPr>
            <w:tcW w:w="102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Rate</w:t>
            </w:r>
          </w:p>
        </w:tc>
        <w:tc>
          <w:tcPr>
            <w:tcW w:w="580" w:type="dxa"/>
            <w:vAlign w:val="bottom"/>
            <w:tcBorders>
              <w:bottom w:val="single" w:sz="8" w:color="auto"/>
            </w:tcBorders>
          </w:tcPr>
          <w:p>
            <w:pPr>
              <w:jc w:val="right"/>
              <w:ind w:right="13"/>
              <w:spacing w:after="0" w:line="203" w:lineRule="exact"/>
              <w:rPr>
                <w:sz w:val="20"/>
                <w:szCs w:val="20"/>
                <w:color w:val="auto"/>
              </w:rPr>
            </w:pPr>
            <w:r>
              <w:rPr>
                <w:rFonts w:ascii="Arial" w:cs="Arial" w:eastAsia="Arial" w:hAnsi="Arial"/>
                <w:sz w:val="13"/>
                <w:szCs w:val="13"/>
                <w:b w:val="1"/>
                <w:bCs w:val="1"/>
                <w:color w:val="auto"/>
              </w:rPr>
              <w:t>Rate</w:t>
            </w:r>
            <w:r>
              <w:rPr>
                <w:rFonts w:ascii="Arial" w:cs="Arial" w:eastAsia="Arial" w:hAnsi="Arial"/>
                <w:sz w:val="22"/>
                <w:szCs w:val="22"/>
                <w:b w:val="1"/>
                <w:bCs w:val="1"/>
                <w:color w:val="auto"/>
                <w:vertAlign w:val="superscript"/>
              </w:rPr>
              <w:t>(1)</w:t>
            </w:r>
          </w:p>
        </w:tc>
        <w:tc>
          <w:tcPr>
            <w:tcW w:w="0" w:type="dxa"/>
            <w:vAlign w:val="bottom"/>
          </w:tcPr>
          <w:p>
            <w:pPr>
              <w:spacing w:after="0"/>
              <w:rPr>
                <w:sz w:val="1"/>
                <w:szCs w:val="1"/>
                <w:color w:val="auto"/>
              </w:rPr>
            </w:pPr>
          </w:p>
        </w:tc>
      </w:tr>
      <w:tr>
        <w:trPr>
          <w:trHeight w:val="152"/>
        </w:trPr>
        <w:tc>
          <w:tcPr>
            <w:tcW w:w="5040" w:type="dxa"/>
            <w:vAlign w:val="bottom"/>
          </w:tcPr>
          <w:p>
            <w:pPr>
              <w:ind w:left="80"/>
              <w:spacing w:after="0"/>
              <w:rPr>
                <w:sz w:val="20"/>
                <w:szCs w:val="20"/>
                <w:color w:val="auto"/>
              </w:rPr>
            </w:pPr>
            <w:r>
              <w:rPr>
                <w:rFonts w:ascii="Arial" w:cs="Arial" w:eastAsia="Arial" w:hAnsi="Arial"/>
                <w:sz w:val="13"/>
                <w:szCs w:val="13"/>
                <w:b w:val="1"/>
                <w:bCs w:val="1"/>
                <w:color w:val="auto"/>
              </w:rPr>
              <w:t>Two-Year Revenue (6.25%)</w:t>
            </w:r>
          </w:p>
        </w:tc>
        <w:tc>
          <w:tcPr>
            <w:tcW w:w="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504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auto"/>
              </w:rPr>
              <w:t>(in millions)</w:t>
            </w:r>
          </w:p>
        </w:tc>
        <w:tc>
          <w:tcPr>
            <w:tcW w:w="84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35,578</w:t>
            </w:r>
          </w:p>
        </w:tc>
        <w:tc>
          <w:tcPr>
            <w:tcW w:w="6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41,857</w:t>
            </w:r>
          </w:p>
        </w:tc>
        <w:tc>
          <w:tcPr>
            <w:tcW w:w="80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48,136</w:t>
            </w:r>
          </w:p>
        </w:tc>
        <w:tc>
          <w:tcPr>
            <w:tcW w:w="130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34,091</w:t>
            </w:r>
          </w:p>
        </w:tc>
        <w:tc>
          <w:tcPr>
            <w:tcW w:w="100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33,305</w:t>
            </w:r>
          </w:p>
        </w:tc>
        <w:tc>
          <w:tcPr>
            <w:tcW w:w="102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98%</w:t>
            </w:r>
          </w:p>
        </w:tc>
        <w:tc>
          <w:tcPr>
            <w:tcW w:w="5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168"/>
        </w:trPr>
        <w:tc>
          <w:tcPr>
            <w:tcW w:w="5040" w:type="dxa"/>
            <w:vAlign w:val="bottom"/>
          </w:tcPr>
          <w:p>
            <w:pPr>
              <w:ind w:left="80"/>
              <w:spacing w:after="0"/>
              <w:rPr>
                <w:sz w:val="20"/>
                <w:szCs w:val="20"/>
                <w:color w:val="auto"/>
              </w:rPr>
            </w:pPr>
            <w:r>
              <w:rPr>
                <w:rFonts w:ascii="Arial" w:cs="Arial" w:eastAsia="Arial" w:hAnsi="Arial"/>
                <w:sz w:val="13"/>
                <w:szCs w:val="13"/>
                <w:b w:val="1"/>
                <w:bCs w:val="1"/>
                <w:color w:val="auto"/>
              </w:rPr>
              <w:t>Two-Year Non-GAAP</w:t>
            </w: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5040" w:type="dxa"/>
            <w:vAlign w:val="bottom"/>
            <w:tcBorders>
              <w:bottom w:val="single" w:sz="8" w:color="959595"/>
            </w:tcBorders>
          </w:tcPr>
          <w:p>
            <w:pPr>
              <w:ind w:left="80"/>
              <w:spacing w:after="0" w:line="224" w:lineRule="exact"/>
              <w:rPr>
                <w:sz w:val="20"/>
                <w:szCs w:val="20"/>
                <w:color w:val="auto"/>
              </w:rPr>
            </w:pPr>
            <w:r>
              <w:rPr>
                <w:rFonts w:ascii="Arial" w:cs="Arial" w:eastAsia="Arial" w:hAnsi="Arial"/>
                <w:sz w:val="13"/>
                <w:szCs w:val="13"/>
                <w:b w:val="1"/>
                <w:bCs w:val="1"/>
                <w:color w:val="auto"/>
              </w:rPr>
              <w:t>EPS (6.25%)</w:t>
            </w:r>
            <w:r>
              <w:rPr>
                <w:rFonts w:ascii="Arial" w:cs="Arial" w:eastAsia="Arial" w:hAnsi="Arial"/>
                <w:sz w:val="22"/>
                <w:szCs w:val="22"/>
                <w:b w:val="1"/>
                <w:bCs w:val="1"/>
                <w:color w:val="auto"/>
                <w:vertAlign w:val="superscript"/>
              </w:rPr>
              <w:t>(2)</w:t>
            </w:r>
          </w:p>
        </w:tc>
        <w:tc>
          <w:tcPr>
            <w:tcW w:w="84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14.66</w:t>
            </w:r>
          </w:p>
        </w:tc>
        <w:tc>
          <w:tcPr>
            <w:tcW w:w="6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19.55</w:t>
            </w:r>
          </w:p>
        </w:tc>
        <w:tc>
          <w:tcPr>
            <w:tcW w:w="80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25.42</w:t>
            </w:r>
          </w:p>
        </w:tc>
        <w:tc>
          <w:tcPr>
            <w:tcW w:w="130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8.54</w:t>
            </w:r>
          </w:p>
        </w:tc>
        <w:tc>
          <w:tcPr>
            <w:tcW w:w="100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7.88</w:t>
            </w:r>
          </w:p>
        </w:tc>
        <w:tc>
          <w:tcPr>
            <w:tcW w:w="102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92%</w:t>
            </w:r>
          </w:p>
        </w:tc>
        <w:tc>
          <w:tcPr>
            <w:tcW w:w="5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90%</w:t>
            </w:r>
          </w:p>
        </w:tc>
        <w:tc>
          <w:tcPr>
            <w:tcW w:w="0" w:type="dxa"/>
            <w:vAlign w:val="bottom"/>
          </w:tcPr>
          <w:p>
            <w:pPr>
              <w:spacing w:after="0"/>
              <w:rPr>
                <w:sz w:val="1"/>
                <w:szCs w:val="1"/>
                <w:color w:val="auto"/>
              </w:rPr>
            </w:pPr>
          </w:p>
        </w:tc>
      </w:tr>
      <w:tr>
        <w:trPr>
          <w:trHeight w:val="190"/>
        </w:trPr>
        <w:tc>
          <w:tcPr>
            <w:tcW w:w="504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auto"/>
              </w:rPr>
              <w:t>Weighted Overall Payout:</w:t>
            </w:r>
          </w:p>
        </w:tc>
        <w:tc>
          <w:tcPr>
            <w:tcW w:w="840" w:type="dxa"/>
            <w:vAlign w:val="bottom"/>
            <w:tcBorders>
              <w:bottom w:val="single" w:sz="8" w:color="959595"/>
            </w:tcBorders>
          </w:tcPr>
          <w:p>
            <w:pPr>
              <w:spacing w:after="0"/>
              <w:rPr>
                <w:sz w:val="16"/>
                <w:szCs w:val="16"/>
                <w:color w:val="auto"/>
              </w:rPr>
            </w:pPr>
          </w:p>
        </w:tc>
        <w:tc>
          <w:tcPr>
            <w:tcW w:w="660" w:type="dxa"/>
            <w:vAlign w:val="bottom"/>
            <w:tcBorders>
              <w:bottom w:val="single" w:sz="8" w:color="959595"/>
            </w:tcBorders>
          </w:tcPr>
          <w:p>
            <w:pPr>
              <w:spacing w:after="0"/>
              <w:rPr>
                <w:sz w:val="16"/>
                <w:szCs w:val="16"/>
                <w:color w:val="auto"/>
              </w:rPr>
            </w:pPr>
          </w:p>
        </w:tc>
        <w:tc>
          <w:tcPr>
            <w:tcW w:w="800" w:type="dxa"/>
            <w:vAlign w:val="bottom"/>
            <w:tcBorders>
              <w:bottom w:val="single" w:sz="8" w:color="959595"/>
            </w:tcBorders>
          </w:tcPr>
          <w:p>
            <w:pPr>
              <w:spacing w:after="0"/>
              <w:rPr>
                <w:sz w:val="16"/>
                <w:szCs w:val="16"/>
                <w:color w:val="auto"/>
              </w:rPr>
            </w:pPr>
          </w:p>
        </w:tc>
        <w:tc>
          <w:tcPr>
            <w:tcW w:w="1300" w:type="dxa"/>
            <w:vAlign w:val="bottom"/>
            <w:tcBorders>
              <w:bottom w:val="single" w:sz="8" w:color="959595"/>
            </w:tcBorders>
          </w:tcPr>
          <w:p>
            <w:pPr>
              <w:spacing w:after="0"/>
              <w:rPr>
                <w:sz w:val="16"/>
                <w:szCs w:val="16"/>
                <w:color w:val="auto"/>
              </w:rPr>
            </w:pPr>
          </w:p>
        </w:tc>
        <w:tc>
          <w:tcPr>
            <w:tcW w:w="1000" w:type="dxa"/>
            <w:vAlign w:val="bottom"/>
            <w:tcBorders>
              <w:bottom w:val="single" w:sz="8" w:color="959595"/>
            </w:tcBorders>
          </w:tcPr>
          <w:p>
            <w:pPr>
              <w:spacing w:after="0"/>
              <w:rPr>
                <w:sz w:val="16"/>
                <w:szCs w:val="16"/>
                <w:color w:val="auto"/>
              </w:rPr>
            </w:pPr>
          </w:p>
        </w:tc>
        <w:tc>
          <w:tcPr>
            <w:tcW w:w="1020" w:type="dxa"/>
            <w:vAlign w:val="bottom"/>
            <w:tcBorders>
              <w:bottom w:val="single" w:sz="8" w:color="959595"/>
            </w:tcBorders>
          </w:tcPr>
          <w:p>
            <w:pPr>
              <w:spacing w:after="0"/>
              <w:rPr>
                <w:sz w:val="16"/>
                <w:szCs w:val="16"/>
                <w:color w:val="auto"/>
              </w:rPr>
            </w:pPr>
          </w:p>
        </w:tc>
        <w:tc>
          <w:tcPr>
            <w:tcW w:w="5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92%</w:t>
            </w: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300" w:hanging="292"/>
        <w:spacing w:after="0"/>
        <w:tabs>
          <w:tab w:leader="none" w:pos="300" w:val="left"/>
        </w:tabs>
        <w:numPr>
          <w:ilvl w:val="0"/>
          <w:numId w:val="182"/>
        </w:numPr>
        <w:rPr>
          <w:rFonts w:ascii="Arial" w:cs="Arial" w:eastAsia="Arial" w:hAnsi="Arial"/>
          <w:sz w:val="22"/>
          <w:szCs w:val="22"/>
          <w:color w:val="auto"/>
          <w:vertAlign w:val="superscript"/>
        </w:rPr>
      </w:pPr>
      <w:r>
        <w:rPr>
          <w:rFonts w:ascii="Arial" w:cs="Arial" w:eastAsia="Arial" w:hAnsi="Arial"/>
          <w:sz w:val="13"/>
          <w:szCs w:val="13"/>
          <w:color w:val="auto"/>
        </w:rPr>
        <w:t>Payout will be made following fiscal 2021 and is generally subject to each executive’s continuous employment through the end of fiscal 2021.</w:t>
      </w:r>
    </w:p>
    <w:p>
      <w:pPr>
        <w:ind w:left="300" w:hanging="292"/>
        <w:spacing w:after="0" w:line="188" w:lineRule="auto"/>
        <w:tabs>
          <w:tab w:leader="none" w:pos="300" w:val="left"/>
        </w:tabs>
        <w:numPr>
          <w:ilvl w:val="0"/>
          <w:numId w:val="182"/>
        </w:numPr>
        <w:rPr>
          <w:rFonts w:ascii="Arial" w:cs="Arial" w:eastAsia="Arial" w:hAnsi="Arial"/>
          <w:sz w:val="18"/>
          <w:szCs w:val="18"/>
          <w:color w:val="auto"/>
          <w:vertAlign w:val="superscript"/>
        </w:rPr>
      </w:pPr>
      <w:r>
        <w:rPr>
          <w:rFonts w:ascii="Arial" w:cs="Arial" w:eastAsia="Arial" w:hAnsi="Arial"/>
          <w:sz w:val="11"/>
          <w:szCs w:val="11"/>
          <w:color w:val="auto"/>
        </w:rPr>
        <w:t>See Appendix A to this Proxy Statement for a reconciliation of GAAP EPS to non-GAAP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234440" cy="6858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34440" cy="68580"/>
                    </a:xfrm>
                    <a:prstGeom prst="rect">
                      <a:avLst/>
                    </a:prstGeom>
                    <a:noFill/>
                  </pic:spPr>
                </pic:pic>
              </a:graphicData>
            </a:graphic>
          </wp:anchor>
        </w:drawing>
      </w:r>
    </w:p>
    <w:p>
      <w:pPr>
        <w:spacing w:after="0" w:line="333"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FISCAL 2021 DECISIONS</w:t>
      </w:r>
    </w:p>
    <w:p>
      <w:pPr>
        <w:spacing w:after="0" w:line="219"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Fiscal 2021 STI Award Updates</w:t>
      </w:r>
    </w:p>
    <w:p>
      <w:pPr>
        <w:spacing w:after="0" w:line="257" w:lineRule="exact"/>
        <w:rPr>
          <w:sz w:val="20"/>
          <w:szCs w:val="20"/>
          <w:color w:val="auto"/>
        </w:rPr>
      </w:pPr>
    </w:p>
    <w:p>
      <w:pPr>
        <w:ind w:right="180"/>
        <w:spacing w:after="0" w:line="258" w:lineRule="auto"/>
        <w:rPr>
          <w:sz w:val="20"/>
          <w:szCs w:val="20"/>
          <w:color w:val="auto"/>
        </w:rPr>
      </w:pPr>
      <w:r>
        <w:rPr>
          <w:rFonts w:ascii="Arial" w:cs="Arial" w:eastAsia="Arial" w:hAnsi="Arial"/>
          <w:sz w:val="13"/>
          <w:szCs w:val="13"/>
          <w:color w:val="auto"/>
        </w:rPr>
        <w:t>The Compensation and Talent Committee updated the STI plan for fiscal 2021 to better align the plan with our core operations and to add operational and individual performance metrics, as reflected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121920</wp:posOffset>
            </wp:positionV>
            <wp:extent cx="5400675" cy="7029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40067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3"/>
          <w:szCs w:val="13"/>
          <w:color w:val="auto"/>
        </w:rPr>
        <w:t>In updating the STI plan for fiscal 2021, the Compensation and Talent Committee considered the following factors:</w:t>
      </w:r>
    </w:p>
    <w:p>
      <w:pPr>
        <w:spacing w:after="0" w:line="215" w:lineRule="exact"/>
        <w:rPr>
          <w:sz w:val="20"/>
          <w:szCs w:val="20"/>
          <w:color w:val="auto"/>
        </w:rPr>
      </w:pPr>
    </w:p>
    <w:p>
      <w:pPr>
        <w:ind w:left="240" w:hanging="232"/>
        <w:spacing w:after="0"/>
        <w:tabs>
          <w:tab w:leader="none" w:pos="240" w:val="left"/>
        </w:tabs>
        <w:numPr>
          <w:ilvl w:val="0"/>
          <w:numId w:val="183"/>
        </w:numPr>
        <w:rPr>
          <w:rFonts w:ascii="Arial" w:cs="Arial" w:eastAsia="Arial" w:hAnsi="Arial"/>
          <w:sz w:val="13"/>
          <w:szCs w:val="13"/>
          <w:color w:val="61C4AF"/>
        </w:rPr>
      </w:pPr>
      <w:r>
        <w:rPr>
          <w:rFonts w:ascii="Arial" w:cs="Arial" w:eastAsia="Arial" w:hAnsi="Arial"/>
          <w:sz w:val="13"/>
          <w:szCs w:val="13"/>
          <w:color w:val="auto"/>
        </w:rPr>
        <w:t>Non-GAAP operating income better reflects our core operating results than non-GAAP net income by excluding interest and taxes.</w:t>
      </w:r>
    </w:p>
    <w:p>
      <w:pPr>
        <w:spacing w:after="0" w:line="66" w:lineRule="exact"/>
        <w:rPr>
          <w:rFonts w:ascii="Arial" w:cs="Arial" w:eastAsia="Arial" w:hAnsi="Arial"/>
          <w:sz w:val="13"/>
          <w:szCs w:val="13"/>
          <w:color w:val="61C4AF"/>
        </w:rPr>
      </w:pPr>
    </w:p>
    <w:p>
      <w:pPr>
        <w:jc w:val="both"/>
        <w:ind w:left="240" w:right="160" w:hanging="232"/>
        <w:spacing w:after="0" w:line="248" w:lineRule="auto"/>
        <w:tabs>
          <w:tab w:leader="none" w:pos="240" w:val="left"/>
        </w:tabs>
        <w:numPr>
          <w:ilvl w:val="0"/>
          <w:numId w:val="183"/>
        </w:numPr>
        <w:rPr>
          <w:rFonts w:ascii="Arial" w:cs="Arial" w:eastAsia="Arial" w:hAnsi="Arial"/>
          <w:sz w:val="13"/>
          <w:szCs w:val="13"/>
          <w:color w:val="61C4AF"/>
        </w:rPr>
      </w:pPr>
      <w:r>
        <w:rPr>
          <w:rFonts w:ascii="Arial" w:cs="Arial" w:eastAsia="Arial" w:hAnsi="Arial"/>
          <w:sz w:val="13"/>
          <w:szCs w:val="13"/>
          <w:color w:val="auto"/>
        </w:rPr>
        <w:t>Exabytes shipped provides the executive team with tangible operational metrics in an uncertain market environment and the metric aligns with our short-term strategy. This metric is a primary driver for maintaining our market share and, given our fixed assets, shipping more exabytes improves our utilization of those assets. The inclusion of profit metrics in both the STI plan and LTI plan helps ensure that management does not ship exabytes unprofitably to maximize this metric.</w:t>
      </w:r>
    </w:p>
    <w:p>
      <w:pPr>
        <w:spacing w:after="0" w:line="18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23628F"/>
        </w:rPr>
        <w:t>2020 PROXY STATEMENT</w:t>
      </w:r>
      <w:r>
        <w:rPr>
          <w:sz w:val="20"/>
          <w:szCs w:val="20"/>
          <w:color w:val="auto"/>
        </w:rPr>
        <w:tab/>
      </w:r>
      <w:r>
        <w:rPr>
          <w:rFonts w:ascii="Arial" w:cs="Arial" w:eastAsia="Arial" w:hAnsi="Arial"/>
          <w:sz w:val="16"/>
          <w:szCs w:val="16"/>
          <w:b w:val="1"/>
          <w:bCs w:val="1"/>
          <w:color w:val="23628F"/>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153275" cy="209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23628F"/>
        </w:rPr>
        <w:t>COMPENSATION DISCUSSION AND ANALYSIS</w:t>
      </w:r>
    </w:p>
    <w:p>
      <w:pPr>
        <w:spacing w:after="0" w:line="215" w:lineRule="exact"/>
        <w:rPr>
          <w:sz w:val="20"/>
          <w:szCs w:val="20"/>
          <w:color w:val="auto"/>
        </w:rPr>
      </w:pPr>
    </w:p>
    <w:p>
      <w:pPr>
        <w:ind w:left="240" w:right="40" w:hanging="232"/>
        <w:spacing w:after="0" w:line="243" w:lineRule="auto"/>
        <w:tabs>
          <w:tab w:leader="none" w:pos="240" w:val="left"/>
        </w:tabs>
        <w:numPr>
          <w:ilvl w:val="0"/>
          <w:numId w:val="184"/>
        </w:numPr>
        <w:rPr>
          <w:rFonts w:ascii="Arial" w:cs="Arial" w:eastAsia="Arial" w:hAnsi="Arial"/>
          <w:sz w:val="13"/>
          <w:szCs w:val="13"/>
          <w:color w:val="61C4AF"/>
        </w:rPr>
      </w:pPr>
      <w:r>
        <w:rPr>
          <w:rFonts w:ascii="Arial" w:cs="Arial" w:eastAsia="Arial" w:hAnsi="Arial"/>
          <w:sz w:val="13"/>
          <w:szCs w:val="13"/>
          <w:color w:val="auto"/>
        </w:rPr>
        <w:t>The individual performance metric provides the Compensation and Talent Committee with the ability to differentiate performance among executives and reward our strongest contributors. Weighting the metric at 25% ensures that the majority of each executive’s incentive opportunity is tied to financial and corporate objectives. Executives will be evaluated with respect to their leadership within the organization and their execution on our fiscal 2021 strategic and financial objectives. Our proxy statement for the 2021 annual meeting of stockholders will include a summary of the factors considered by the Compensation and Talent Committee in evaluating each named executive officer’s individual performance for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3716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p>
      <w:pPr>
        <w:spacing w:after="0" w:line="391"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Fiscal 2021 Updates</w:t>
      </w:r>
    </w:p>
    <w:p>
      <w:pPr>
        <w:spacing w:after="0" w:line="67"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23628F"/>
        </w:rPr>
        <w:t>Performance Metrics</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Rationale</w:t>
      </w:r>
    </w:p>
    <w:p>
      <w:pPr>
        <w:spacing w:after="0" w:line="284" w:lineRule="exact"/>
        <w:rPr>
          <w:sz w:val="20"/>
          <w:szCs w:val="20"/>
          <w:color w:val="auto"/>
        </w:rPr>
      </w:pPr>
    </w:p>
    <w:p>
      <w:pPr>
        <w:sectPr>
          <w:pgSz w:w="11900" w:h="16838" w:orient="portrait"/>
          <w:cols w:equalWidth="0" w:num="2">
            <w:col w:w="4980" w:space="720"/>
            <w:col w:w="5420"/>
          </w:cols>
          <w:pgMar w:left="320" w:top="121" w:right="459" w:bottom="1440" w:gutter="0" w:footer="0" w:header="0"/>
          <w:type w:val="continuous"/>
        </w:sectPr>
      </w:pPr>
    </w:p>
    <w:tbl>
      <w:tblPr>
        <w:tblLayout w:type="fixed"/>
        <w:tblInd w:w="120" w:type="dxa"/>
        <w:tblCellMar>
          <w:top w:w="0" w:type="dxa"/>
          <w:left w:w="0" w:type="dxa"/>
          <w:bottom w:w="0" w:type="dxa"/>
          <w:right w:w="0" w:type="dxa"/>
        </w:tblCellMar>
      </w:tblPr>
      <w:tr>
        <w:trPr>
          <w:trHeight w:val="149"/>
        </w:trPr>
        <w:tc>
          <w:tcPr>
            <w:tcW w:w="4920" w:type="dxa"/>
            <w:vAlign w:val="bottom"/>
          </w:tcPr>
          <w:p>
            <w:pPr>
              <w:spacing w:after="0"/>
              <w:rPr>
                <w:sz w:val="20"/>
                <w:szCs w:val="20"/>
                <w:color w:val="auto"/>
              </w:rPr>
            </w:pPr>
            <w:r>
              <w:rPr>
                <w:rFonts w:ascii="Arial" w:cs="Arial" w:eastAsia="Arial" w:hAnsi="Arial"/>
                <w:sz w:val="13"/>
                <w:szCs w:val="13"/>
                <w:color w:val="61C4AF"/>
              </w:rPr>
              <w:t xml:space="preserve">●   </w:t>
            </w:r>
            <w:r>
              <w:rPr>
                <w:rFonts w:ascii="Arial" w:cs="Arial" w:eastAsia="Arial" w:hAnsi="Arial"/>
                <w:sz w:val="13"/>
                <w:szCs w:val="13"/>
                <w:color w:val="000000"/>
              </w:rPr>
              <w:t>Shifted from non-GAAP net income to non-GAAP operating income</w:t>
            </w:r>
          </w:p>
        </w:tc>
        <w:tc>
          <w:tcPr>
            <w:tcW w:w="5960" w:type="dxa"/>
            <w:vAlign w:val="bottom"/>
            <w:gridSpan w:val="3"/>
          </w:tcPr>
          <w:p>
            <w:pPr>
              <w:ind w:left="700"/>
              <w:spacing w:after="0"/>
              <w:rPr>
                <w:sz w:val="20"/>
                <w:szCs w:val="20"/>
                <w:color w:val="auto"/>
              </w:rPr>
            </w:pPr>
            <w:r>
              <w:rPr>
                <w:rFonts w:ascii="Arial" w:cs="Arial" w:eastAsia="Arial" w:hAnsi="Arial"/>
                <w:sz w:val="13"/>
                <w:szCs w:val="13"/>
                <w:color w:val="61C4AF"/>
              </w:rPr>
              <w:t xml:space="preserve">●   </w:t>
            </w:r>
            <w:r>
              <w:rPr>
                <w:rFonts w:ascii="Arial" w:cs="Arial" w:eastAsia="Arial" w:hAnsi="Arial"/>
                <w:sz w:val="13"/>
                <w:szCs w:val="13"/>
                <w:color w:val="000000"/>
              </w:rPr>
              <w:t>Shift from Non-GAAP Net Income to Non-GAAP Operating Income better reflects our</w:t>
            </w:r>
          </w:p>
        </w:tc>
      </w:tr>
      <w:tr>
        <w:trPr>
          <w:trHeight w:val="156"/>
        </w:trPr>
        <w:tc>
          <w:tcPr>
            <w:tcW w:w="4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98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core operations by excluding the impact of taxes and interest</w:t>
            </w:r>
          </w:p>
        </w:tc>
        <w:tc>
          <w:tcPr>
            <w:tcW w:w="1080" w:type="dxa"/>
            <w:vAlign w:val="bottom"/>
          </w:tcPr>
          <w:p>
            <w:pPr>
              <w:spacing w:after="0"/>
              <w:rPr>
                <w:sz w:val="13"/>
                <w:szCs w:val="13"/>
                <w:color w:val="auto"/>
              </w:rPr>
            </w:pPr>
          </w:p>
        </w:tc>
      </w:tr>
    </w:tbl>
    <w:p>
      <w:pPr>
        <w:spacing w:after="0" w:line="53" w:lineRule="exact"/>
        <w:rPr>
          <w:sz w:val="20"/>
          <w:szCs w:val="20"/>
          <w:color w:val="auto"/>
        </w:rPr>
      </w:pPr>
    </w:p>
    <w:p>
      <w:pPr>
        <w:sectPr>
          <w:pgSz w:w="11900" w:h="16838" w:orient="portrait"/>
          <w:cols w:equalWidth="0" w:num="1">
            <w:col w:w="11120"/>
          </w:cols>
          <w:pgMar w:left="320" w:top="121" w:right="459" w:bottom="1440" w:gutter="0" w:footer="0" w:header="0"/>
          <w:type w:val="continuous"/>
        </w:sectPr>
      </w:pPr>
    </w:p>
    <w:p>
      <w:pPr>
        <w:ind w:left="360" w:hanging="244"/>
        <w:spacing w:after="0" w:line="258" w:lineRule="auto"/>
        <w:tabs>
          <w:tab w:leader="none" w:pos="337" w:val="left"/>
        </w:tabs>
        <w:numPr>
          <w:ilvl w:val="0"/>
          <w:numId w:val="185"/>
        </w:numPr>
        <w:rPr>
          <w:rFonts w:ascii="Arial" w:cs="Arial" w:eastAsia="Arial" w:hAnsi="Arial"/>
          <w:sz w:val="13"/>
          <w:szCs w:val="13"/>
          <w:color w:val="61C4AF"/>
        </w:rPr>
      </w:pPr>
      <w:r>
        <w:rPr>
          <w:rFonts w:ascii="Arial" w:cs="Arial" w:eastAsia="Arial" w:hAnsi="Arial"/>
          <w:sz w:val="13"/>
          <w:szCs w:val="13"/>
          <w:color w:val="auto"/>
        </w:rPr>
        <w:t>Added a new pre-determined corporate metric, with a 25% target weighting: exabytes shipped (split between HDD and flash)</w:t>
      </w:r>
    </w:p>
    <w:p>
      <w:pPr>
        <w:spacing w:after="0" w:line="191" w:lineRule="exact"/>
        <w:rPr>
          <w:rFonts w:ascii="Arial" w:cs="Arial" w:eastAsia="Arial" w:hAnsi="Arial"/>
          <w:sz w:val="13"/>
          <w:szCs w:val="13"/>
          <w:color w:val="61C4AF"/>
        </w:rPr>
      </w:pPr>
    </w:p>
    <w:p>
      <w:pPr>
        <w:ind w:left="320" w:hanging="204"/>
        <w:spacing w:after="0"/>
        <w:tabs>
          <w:tab w:leader="none" w:pos="320" w:val="left"/>
        </w:tabs>
        <w:numPr>
          <w:ilvl w:val="0"/>
          <w:numId w:val="185"/>
        </w:numPr>
        <w:rPr>
          <w:rFonts w:ascii="Arial" w:cs="Arial" w:eastAsia="Arial" w:hAnsi="Arial"/>
          <w:sz w:val="13"/>
          <w:szCs w:val="13"/>
          <w:color w:val="61C4AF"/>
        </w:rPr>
      </w:pPr>
      <w:r>
        <w:rPr>
          <w:rFonts w:ascii="Arial" w:cs="Arial" w:eastAsia="Arial" w:hAnsi="Arial"/>
          <w:sz w:val="13"/>
          <w:szCs w:val="13"/>
          <w:color w:val="auto"/>
        </w:rPr>
        <w:t>Added an individual performance metric with a 25% weighting</w:t>
      </w:r>
    </w:p>
    <w:p>
      <w:pPr>
        <w:spacing w:after="0" w:line="20" w:lineRule="exact"/>
        <w:rPr>
          <w:sz w:val="20"/>
          <w:szCs w:val="20"/>
          <w:color w:val="auto"/>
        </w:rPr>
      </w:pPr>
      <w:r>
        <w:rPr>
          <w:sz w:val="20"/>
          <w:szCs w:val="20"/>
          <w:color w:val="auto"/>
        </w:rPr>
        <w:br w:type="column"/>
      </w:r>
    </w:p>
    <w:p>
      <w:pPr>
        <w:ind w:left="228" w:right="40" w:hanging="228"/>
        <w:spacing w:after="0" w:line="248" w:lineRule="auto"/>
        <w:tabs>
          <w:tab w:leader="none" w:pos="205" w:val="left"/>
        </w:tabs>
        <w:numPr>
          <w:ilvl w:val="0"/>
          <w:numId w:val="186"/>
        </w:numPr>
        <w:rPr>
          <w:rFonts w:ascii="Arial" w:cs="Arial" w:eastAsia="Arial" w:hAnsi="Arial"/>
          <w:sz w:val="13"/>
          <w:szCs w:val="13"/>
          <w:color w:val="61C4AF"/>
        </w:rPr>
      </w:pPr>
      <w:r>
        <w:rPr>
          <w:rFonts w:ascii="Arial" w:cs="Arial" w:eastAsia="Arial" w:hAnsi="Arial"/>
          <w:sz w:val="13"/>
          <w:szCs w:val="13"/>
          <w:u w:val="single" w:color="auto"/>
          <w:color w:val="auto"/>
        </w:rPr>
        <w:t>New Operational Metric (Exabytes Shipped)</w:t>
      </w:r>
      <w:r>
        <w:rPr>
          <w:rFonts w:ascii="Arial" w:cs="Arial" w:eastAsia="Arial" w:hAnsi="Arial"/>
          <w:sz w:val="13"/>
          <w:szCs w:val="13"/>
          <w:color w:val="auto"/>
        </w:rPr>
        <w:t xml:space="preserve"> provides the executive team with tangible operational milestones; overall STI design emphasizes profit in achieving these milestones</w:t>
      </w:r>
    </w:p>
    <w:p>
      <w:pPr>
        <w:spacing w:after="0" w:line="49" w:lineRule="exact"/>
        <w:rPr>
          <w:rFonts w:ascii="Arial" w:cs="Arial" w:eastAsia="Arial" w:hAnsi="Arial"/>
          <w:sz w:val="13"/>
          <w:szCs w:val="13"/>
          <w:color w:val="61C4AF"/>
        </w:rPr>
      </w:pPr>
    </w:p>
    <w:p>
      <w:pPr>
        <w:ind w:left="228" w:hanging="228"/>
        <w:spacing w:after="0" w:line="258" w:lineRule="auto"/>
        <w:tabs>
          <w:tab w:leader="none" w:pos="205" w:val="left"/>
        </w:tabs>
        <w:numPr>
          <w:ilvl w:val="0"/>
          <w:numId w:val="186"/>
        </w:numPr>
        <w:rPr>
          <w:rFonts w:ascii="Arial" w:cs="Arial" w:eastAsia="Arial" w:hAnsi="Arial"/>
          <w:sz w:val="13"/>
          <w:szCs w:val="13"/>
          <w:color w:val="61C4AF"/>
        </w:rPr>
      </w:pPr>
      <w:r>
        <w:rPr>
          <w:rFonts w:ascii="Arial" w:cs="Arial" w:eastAsia="Arial" w:hAnsi="Arial"/>
          <w:sz w:val="13"/>
          <w:szCs w:val="13"/>
          <w:u w:val="single" w:color="auto"/>
          <w:color w:val="auto"/>
        </w:rPr>
        <w:t>New Individual Performance Metric</w:t>
      </w:r>
      <w:r>
        <w:rPr>
          <w:rFonts w:ascii="Arial" w:cs="Arial" w:eastAsia="Arial" w:hAnsi="Arial"/>
          <w:sz w:val="13"/>
          <w:szCs w:val="13"/>
          <w:color w:val="auto"/>
        </w:rPr>
        <w:t xml:space="preserve"> allows for differentiation between executives based on individual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-3634105</wp:posOffset>
            </wp:positionH>
            <wp:positionV relativeFrom="paragraph">
              <wp:posOffset>-14605</wp:posOffset>
            </wp:positionV>
            <wp:extent cx="713232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2" w:lineRule="exact"/>
        <w:rPr>
          <w:sz w:val="20"/>
          <w:szCs w:val="20"/>
          <w:color w:val="auto"/>
        </w:rPr>
      </w:pPr>
    </w:p>
    <w:p>
      <w:pPr>
        <w:sectPr>
          <w:pgSz w:w="11900" w:h="16838" w:orient="portrait"/>
          <w:cols w:equalWidth="0" w:num="2">
            <w:col w:w="5420" w:space="312"/>
            <w:col w:w="5388"/>
          </w:cols>
          <w:pgMar w:left="320" w:top="121" w:right="459" w:bottom="1440" w:gutter="0" w:footer="0" w:header="0"/>
          <w:type w:val="continuous"/>
        </w:sectPr>
      </w:pPr>
    </w:p>
    <w:p>
      <w:pPr>
        <w:spacing w:after="0"/>
        <w:rPr>
          <w:sz w:val="20"/>
          <w:szCs w:val="20"/>
          <w:color w:val="auto"/>
        </w:rPr>
      </w:pPr>
      <w:r>
        <w:rPr>
          <w:rFonts w:ascii="Arial" w:cs="Arial" w:eastAsia="Arial" w:hAnsi="Arial"/>
          <w:sz w:val="24"/>
          <w:szCs w:val="24"/>
          <w:b w:val="1"/>
          <w:bCs w:val="1"/>
          <w:color w:val="D49312"/>
        </w:rPr>
        <w:t>Fiscal 2021-2023 PSU Award Updates</w:t>
      </w:r>
    </w:p>
    <w:p>
      <w:pPr>
        <w:spacing w:after="0" w:line="257" w:lineRule="exact"/>
        <w:rPr>
          <w:sz w:val="20"/>
          <w:szCs w:val="20"/>
          <w:color w:val="auto"/>
        </w:rPr>
      </w:pPr>
    </w:p>
    <w:p>
      <w:pPr>
        <w:spacing w:after="0"/>
        <w:rPr>
          <w:sz w:val="20"/>
          <w:szCs w:val="20"/>
          <w:color w:val="auto"/>
        </w:rPr>
      </w:pPr>
      <w:r>
        <w:rPr>
          <w:rFonts w:ascii="Arial" w:cs="Arial" w:eastAsia="Arial" w:hAnsi="Arial"/>
          <w:sz w:val="13"/>
          <w:szCs w:val="13"/>
          <w:color w:val="auto"/>
        </w:rPr>
        <w:t>The Compensation and Talent Committee updated the PSU awards for fiscal 2021-2023 as follows:</w:t>
      </w:r>
    </w:p>
    <w:p>
      <w:pPr>
        <w:spacing w:after="0" w:line="199" w:lineRule="exact"/>
        <w:rPr>
          <w:sz w:val="20"/>
          <w:szCs w:val="20"/>
          <w:color w:val="auto"/>
        </w:rPr>
      </w:pPr>
    </w:p>
    <w:p>
      <w:pPr>
        <w:ind w:left="240" w:hanging="232"/>
        <w:spacing w:after="0"/>
        <w:tabs>
          <w:tab w:leader="none" w:pos="240" w:val="left"/>
        </w:tabs>
        <w:numPr>
          <w:ilvl w:val="0"/>
          <w:numId w:val="187"/>
        </w:numPr>
        <w:rPr>
          <w:rFonts w:ascii="Arial" w:cs="Arial" w:eastAsia="Arial" w:hAnsi="Arial"/>
          <w:sz w:val="13"/>
          <w:szCs w:val="13"/>
          <w:color w:val="61C4AF"/>
        </w:rPr>
      </w:pPr>
      <w:r>
        <w:rPr>
          <w:rFonts w:ascii="Arial" w:cs="Arial" w:eastAsia="Arial" w:hAnsi="Arial"/>
          <w:sz w:val="13"/>
          <w:szCs w:val="13"/>
          <w:b w:val="1"/>
          <w:bCs w:val="1"/>
          <w:color w:val="auto"/>
        </w:rPr>
        <w:t xml:space="preserve">PSU Performance Period: </w:t>
      </w:r>
      <w:r>
        <w:rPr>
          <w:rFonts w:ascii="Arial" w:cs="Arial" w:eastAsia="Arial" w:hAnsi="Arial"/>
          <w:sz w:val="13"/>
          <w:szCs w:val="13"/>
          <w:color w:val="auto"/>
        </w:rPr>
        <w:t>Extended the performance period for 100% of the PSUs to three years</w:t>
      </w:r>
    </w:p>
    <w:p>
      <w:pPr>
        <w:spacing w:after="0" w:line="66" w:lineRule="exact"/>
        <w:rPr>
          <w:rFonts w:ascii="Arial" w:cs="Arial" w:eastAsia="Arial" w:hAnsi="Arial"/>
          <w:sz w:val="13"/>
          <w:szCs w:val="13"/>
          <w:color w:val="61C4AF"/>
        </w:rPr>
      </w:pPr>
    </w:p>
    <w:p>
      <w:pPr>
        <w:ind w:left="240" w:right="360" w:hanging="232"/>
        <w:spacing w:after="0" w:line="284" w:lineRule="auto"/>
        <w:tabs>
          <w:tab w:leader="none" w:pos="240" w:val="left"/>
        </w:tabs>
        <w:numPr>
          <w:ilvl w:val="0"/>
          <w:numId w:val="187"/>
        </w:numPr>
        <w:rPr>
          <w:rFonts w:ascii="Arial" w:cs="Arial" w:eastAsia="Arial" w:hAnsi="Arial"/>
          <w:sz w:val="13"/>
          <w:szCs w:val="13"/>
          <w:color w:val="61C4AF"/>
        </w:rPr>
      </w:pPr>
      <w:r>
        <w:rPr>
          <w:rFonts w:ascii="Arial" w:cs="Arial" w:eastAsia="Arial" w:hAnsi="Arial"/>
          <w:sz w:val="13"/>
          <w:szCs w:val="13"/>
          <w:b w:val="1"/>
          <w:bCs w:val="1"/>
          <w:color w:val="auto"/>
        </w:rPr>
        <w:t xml:space="preserve">Relative TSR PSUs: </w:t>
      </w:r>
      <w:r>
        <w:rPr>
          <w:rFonts w:ascii="Arial" w:cs="Arial" w:eastAsia="Arial" w:hAnsi="Arial"/>
          <w:sz w:val="13"/>
          <w:szCs w:val="13"/>
          <w:color w:val="auto"/>
        </w:rPr>
        <w:t>Replaced the custom peer index used in the fiscal 2019-2021 and fiscal 2020-2022 PSUs with the S&amp;P 500 constituents; under this metric, our TSR will be</w:t>
      </w:r>
      <w:r>
        <w:rPr>
          <w:rFonts w:ascii="Arial" w:cs="Arial" w:eastAsia="Arial" w:hAnsi="Arial"/>
          <w:sz w:val="13"/>
          <w:szCs w:val="13"/>
          <w:b w:val="1"/>
          <w:bCs w:val="1"/>
          <w:color w:val="auto"/>
        </w:rPr>
        <w:t xml:space="preserve"> </w:t>
      </w:r>
      <w:r>
        <w:rPr>
          <w:rFonts w:ascii="Arial" w:cs="Arial" w:eastAsia="Arial" w:hAnsi="Arial"/>
          <w:sz w:val="13"/>
          <w:szCs w:val="13"/>
          <w:color w:val="auto"/>
        </w:rPr>
        <w:t>compared to the TSR of the S&amp;P 500 constituent companies, as determined at the beginning of the performance period, over a three-year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111760</wp:posOffset>
            </wp:positionV>
            <wp:extent cx="5306060" cy="130302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306060" cy="130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3"/>
          <w:szCs w:val="13"/>
          <w:color w:val="auto"/>
        </w:rPr>
        <w:t>In updating the fiscal 2021-2023 PSU awards, the Compensation and Talent Committee considered the following factors:</w:t>
      </w:r>
    </w:p>
    <w:p>
      <w:pPr>
        <w:spacing w:after="0" w:line="215" w:lineRule="exact"/>
        <w:rPr>
          <w:sz w:val="20"/>
          <w:szCs w:val="20"/>
          <w:color w:val="auto"/>
        </w:rPr>
      </w:pPr>
    </w:p>
    <w:p>
      <w:pPr>
        <w:jc w:val="both"/>
        <w:ind w:left="240" w:right="40" w:hanging="232"/>
        <w:spacing w:after="0" w:line="248" w:lineRule="auto"/>
        <w:tabs>
          <w:tab w:leader="none" w:pos="240" w:val="left"/>
        </w:tabs>
        <w:numPr>
          <w:ilvl w:val="0"/>
          <w:numId w:val="188"/>
        </w:numPr>
        <w:rPr>
          <w:rFonts w:ascii="Arial" w:cs="Arial" w:eastAsia="Arial" w:hAnsi="Arial"/>
          <w:sz w:val="13"/>
          <w:szCs w:val="13"/>
          <w:color w:val="61C4AF"/>
        </w:rPr>
      </w:pPr>
      <w:r>
        <w:rPr>
          <w:rFonts w:ascii="Arial" w:cs="Arial" w:eastAsia="Arial" w:hAnsi="Arial"/>
          <w:sz w:val="13"/>
          <w:szCs w:val="13"/>
          <w:u w:val="single" w:color="auto"/>
          <w:color w:val="auto"/>
        </w:rPr>
        <w:t>Three-Year Performance Period</w:t>
      </w:r>
      <w:r>
        <w:rPr>
          <w:rFonts w:ascii="Arial" w:cs="Arial" w:eastAsia="Arial" w:hAnsi="Arial"/>
          <w:sz w:val="13"/>
          <w:szCs w:val="13"/>
          <w:color w:val="auto"/>
        </w:rPr>
        <w:t>. The Compensation and Talent Committee evaluated our PSU design from the two previous fiscal years and determined that fiscal 2021 was the right time to move to a three-year performance period for 100% of the PSU awards. We discussed PSU performance periods with investors and they supported this three-year design. The fiscal 2021-2023 PSU awards do not include a two-year performance period for any portion of the awards.</w:t>
      </w:r>
    </w:p>
    <w:p>
      <w:pPr>
        <w:spacing w:after="0" w:line="49" w:lineRule="exact"/>
        <w:rPr>
          <w:rFonts w:ascii="Arial" w:cs="Arial" w:eastAsia="Arial" w:hAnsi="Arial"/>
          <w:sz w:val="13"/>
          <w:szCs w:val="13"/>
          <w:color w:val="61C4AF"/>
        </w:rPr>
      </w:pPr>
    </w:p>
    <w:p>
      <w:pPr>
        <w:ind w:left="240" w:hanging="232"/>
        <w:spacing w:after="0"/>
        <w:tabs>
          <w:tab w:leader="none" w:pos="240" w:val="left"/>
        </w:tabs>
        <w:numPr>
          <w:ilvl w:val="0"/>
          <w:numId w:val="188"/>
        </w:numPr>
        <w:rPr>
          <w:rFonts w:ascii="Arial" w:cs="Arial" w:eastAsia="Arial" w:hAnsi="Arial"/>
          <w:sz w:val="13"/>
          <w:szCs w:val="13"/>
          <w:color w:val="61C4AF"/>
        </w:rPr>
      </w:pPr>
      <w:r>
        <w:rPr>
          <w:rFonts w:ascii="Arial" w:cs="Arial" w:eastAsia="Arial" w:hAnsi="Arial"/>
          <w:sz w:val="13"/>
          <w:szCs w:val="13"/>
          <w:u w:val="single" w:color="auto"/>
          <w:color w:val="auto"/>
        </w:rPr>
        <w:t>Relative TSR Peer Group</w:t>
      </w:r>
      <w:r>
        <w:rPr>
          <w:rFonts w:ascii="Arial" w:cs="Arial" w:eastAsia="Arial" w:hAnsi="Arial"/>
          <w:sz w:val="13"/>
          <w:szCs w:val="13"/>
          <w:color w:val="auto"/>
        </w:rPr>
        <w:t>. The Compensation and Talent Committee’s primary considerations in making the change to the S&amp;P 500 constituent TSR peer group include the following:</w:t>
      </w:r>
    </w:p>
    <w:p>
      <w:pPr>
        <w:spacing w:after="0" w:line="134" w:lineRule="exact"/>
        <w:rPr>
          <w:rFonts w:ascii="Arial" w:cs="Arial" w:eastAsia="Arial" w:hAnsi="Arial"/>
          <w:sz w:val="13"/>
          <w:szCs w:val="13"/>
          <w:color w:val="61C4AF"/>
        </w:rPr>
      </w:pPr>
    </w:p>
    <w:p>
      <w:pPr>
        <w:ind w:left="500" w:right="20" w:hanging="222"/>
        <w:spacing w:after="0" w:line="258" w:lineRule="auto"/>
        <w:tabs>
          <w:tab w:leader="none" w:pos="500" w:val="left"/>
        </w:tabs>
        <w:numPr>
          <w:ilvl w:val="1"/>
          <w:numId w:val="188"/>
        </w:numPr>
        <w:rPr>
          <w:rFonts w:ascii="Arial" w:cs="Arial" w:eastAsia="Arial" w:hAnsi="Arial"/>
          <w:sz w:val="13"/>
          <w:szCs w:val="13"/>
          <w:color w:val="61C4AF"/>
        </w:rPr>
      </w:pPr>
      <w:r>
        <w:rPr>
          <w:rFonts w:ascii="Arial" w:cs="Arial" w:eastAsia="Arial" w:hAnsi="Arial"/>
          <w:sz w:val="13"/>
          <w:szCs w:val="13"/>
          <w:color w:val="auto"/>
        </w:rPr>
        <w:t>The Compensation and Talent Committee believes that the S&amp;P 500 constituents is the right TSR peer group to include in our fiscal 2021-2023 PSU awards because it compares our performance to the broader equity market and will motivate our executives with a TSR peer group that is more visible and provides them with clear line of sight</w:t>
      </w:r>
    </w:p>
    <w:p>
      <w:pPr>
        <w:spacing w:after="0" w:line="187" w:lineRule="exact"/>
        <w:rPr>
          <w:sz w:val="20"/>
          <w:szCs w:val="20"/>
          <w:color w:val="auto"/>
        </w:rPr>
      </w:pPr>
    </w:p>
    <w:p>
      <w:pPr>
        <w:ind w:left="440" w:hanging="432"/>
        <w:spacing w:after="0"/>
        <w:tabs>
          <w:tab w:leader="none" w:pos="440" w:val="left"/>
        </w:tabs>
        <w:numPr>
          <w:ilvl w:val="0"/>
          <w:numId w:val="189"/>
        </w:numPr>
        <w:rPr>
          <w:rFonts w:ascii="Arial" w:cs="Arial" w:eastAsia="Arial" w:hAnsi="Arial"/>
          <w:sz w:val="18"/>
          <w:szCs w:val="18"/>
          <w:b w:val="1"/>
          <w:bCs w:val="1"/>
          <w:color w:val="23628F"/>
        </w:rPr>
      </w:pPr>
      <w:r>
        <w:rPr>
          <w:rFonts w:ascii="Arial" w:cs="Arial" w:eastAsia="Arial" w:hAnsi="Arial"/>
          <w:sz w:val="13"/>
          <w:szCs w:val="13"/>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153275" cy="215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type w:val="continuous"/>
        </w:sectPr>
      </w:pPr>
    </w:p>
    <w:bookmarkStart w:id="76" w:name="page77"/>
    <w:bookmarkEnd w:id="76"/>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right"/>
        <w:spacing w:after="0"/>
        <w:rPr>
          <w:sz w:val="20"/>
          <w:szCs w:val="20"/>
          <w:color w:val="auto"/>
        </w:rPr>
      </w:pPr>
      <w:r>
        <w:rPr>
          <w:rFonts w:ascii="Arial" w:cs="Arial" w:eastAsia="Arial" w:hAnsi="Arial"/>
          <w:sz w:val="13"/>
          <w:szCs w:val="13"/>
          <w:color w:val="23628F"/>
        </w:rPr>
        <w:t>COMPENSATION DISCUSSION AND ANALYSIS</w:t>
      </w:r>
    </w:p>
    <w:p>
      <w:pPr>
        <w:spacing w:after="0" w:line="215" w:lineRule="exact"/>
        <w:rPr>
          <w:sz w:val="20"/>
          <w:szCs w:val="20"/>
          <w:color w:val="auto"/>
        </w:rPr>
      </w:pPr>
    </w:p>
    <w:p>
      <w:pPr>
        <w:ind w:left="500" w:right="240" w:hanging="222"/>
        <w:spacing w:after="0" w:line="258" w:lineRule="auto"/>
        <w:tabs>
          <w:tab w:leader="none" w:pos="500" w:val="left"/>
        </w:tabs>
        <w:numPr>
          <w:ilvl w:val="0"/>
          <w:numId w:val="190"/>
        </w:numPr>
        <w:rPr>
          <w:rFonts w:ascii="Arial" w:cs="Arial" w:eastAsia="Arial" w:hAnsi="Arial"/>
          <w:sz w:val="13"/>
          <w:szCs w:val="13"/>
          <w:color w:val="61C4AF"/>
        </w:rPr>
      </w:pPr>
      <w:r>
        <w:rPr>
          <w:rFonts w:ascii="Arial" w:cs="Arial" w:eastAsia="Arial" w:hAnsi="Arial"/>
          <w:sz w:val="13"/>
          <w:szCs w:val="13"/>
          <w:color w:val="auto"/>
        </w:rPr>
        <w:t>The custom TSR peer group included in our prior PSUs has a much smaller number of companies than the S&amp;P 500 constituents and consolidation within the custom TSR peer group can impact our performance and payout curves disproportionately relative to a broader TSR peer group, such as the S&amp;P 500 constituents</w:t>
      </w:r>
    </w:p>
    <w:p>
      <w:pPr>
        <w:spacing w:after="0" w:line="43" w:lineRule="exact"/>
        <w:rPr>
          <w:rFonts w:ascii="Arial" w:cs="Arial" w:eastAsia="Arial" w:hAnsi="Arial"/>
          <w:sz w:val="13"/>
          <w:szCs w:val="13"/>
          <w:color w:val="61C4AF"/>
        </w:rPr>
      </w:pPr>
    </w:p>
    <w:p>
      <w:pPr>
        <w:ind w:left="500" w:right="120" w:hanging="222"/>
        <w:spacing w:after="0" w:line="248" w:lineRule="auto"/>
        <w:tabs>
          <w:tab w:leader="none" w:pos="500" w:val="left"/>
        </w:tabs>
        <w:numPr>
          <w:ilvl w:val="0"/>
          <w:numId w:val="190"/>
        </w:numPr>
        <w:rPr>
          <w:rFonts w:ascii="Arial" w:cs="Arial" w:eastAsia="Arial" w:hAnsi="Arial"/>
          <w:sz w:val="13"/>
          <w:szCs w:val="13"/>
          <w:color w:val="61C4AF"/>
        </w:rPr>
      </w:pPr>
      <w:r>
        <w:rPr>
          <w:rFonts w:ascii="Arial" w:cs="Arial" w:eastAsia="Arial" w:hAnsi="Arial"/>
          <w:sz w:val="13"/>
          <w:szCs w:val="13"/>
          <w:color w:val="auto"/>
        </w:rPr>
        <w:t>The Compensation and Talent Committee believes the new TSR peer group will be just as rigorous for executives as the custom TSR peer group used in prior PSU awards; back-testing performed by the Compensation and Talent Committee’s independent compensation consultant determined that payouts using the S&amp;P 500 constituents as our TSR peer group were in line with payouts using the custom TSR peer group included in our prior PSU awards</w:t>
      </w:r>
    </w:p>
    <w:p>
      <w:pPr>
        <w:spacing w:after="0" w:line="49" w:lineRule="exact"/>
        <w:rPr>
          <w:rFonts w:ascii="Arial" w:cs="Arial" w:eastAsia="Arial" w:hAnsi="Arial"/>
          <w:sz w:val="13"/>
          <w:szCs w:val="13"/>
          <w:color w:val="61C4AF"/>
        </w:rPr>
      </w:pPr>
    </w:p>
    <w:p>
      <w:pPr>
        <w:ind w:left="500" w:hanging="222"/>
        <w:spacing w:after="0"/>
        <w:tabs>
          <w:tab w:leader="none" w:pos="500" w:val="left"/>
        </w:tabs>
        <w:numPr>
          <w:ilvl w:val="0"/>
          <w:numId w:val="190"/>
        </w:numPr>
        <w:rPr>
          <w:rFonts w:ascii="Arial" w:cs="Arial" w:eastAsia="Arial" w:hAnsi="Arial"/>
          <w:sz w:val="13"/>
          <w:szCs w:val="13"/>
          <w:color w:val="61C4AF"/>
        </w:rPr>
      </w:pPr>
      <w:r>
        <w:rPr>
          <w:rFonts w:ascii="Arial" w:cs="Arial" w:eastAsia="Arial" w:hAnsi="Arial"/>
          <w:sz w:val="13"/>
          <w:szCs w:val="13"/>
          <w:color w:val="auto"/>
        </w:rPr>
        <w:t>Among the companies in our peer group that use relative TSR in their LTI programs, S&amp;P 500 constituents is the most common TSR peer group</w:t>
      </w:r>
    </w:p>
    <w:p>
      <w:pPr>
        <w:spacing w:after="0" w:line="215" w:lineRule="exact"/>
        <w:rPr>
          <w:sz w:val="20"/>
          <w:szCs w:val="20"/>
          <w:color w:val="auto"/>
        </w:rPr>
      </w:pPr>
    </w:p>
    <w:p>
      <w:pPr>
        <w:spacing w:after="0"/>
        <w:rPr>
          <w:sz w:val="20"/>
          <w:szCs w:val="20"/>
          <w:color w:val="auto"/>
        </w:rPr>
      </w:pPr>
      <w:r>
        <w:rPr>
          <w:rFonts w:ascii="Arial" w:cs="Arial" w:eastAsia="Arial" w:hAnsi="Arial"/>
          <w:sz w:val="13"/>
          <w:szCs w:val="13"/>
          <w:color w:val="auto"/>
        </w:rPr>
        <w:t>No changes were made to the RSU award design for fiscal 2021.</w:t>
      </w:r>
    </w:p>
    <w:p>
      <w:pPr>
        <w:spacing w:after="0" w:line="182"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Fiscal 2021 Annual LTI Awards</w:t>
      </w:r>
    </w:p>
    <w:p>
      <w:pPr>
        <w:spacing w:after="0" w:line="257" w:lineRule="exact"/>
        <w:rPr>
          <w:sz w:val="20"/>
          <w:szCs w:val="20"/>
          <w:color w:val="auto"/>
        </w:rPr>
      </w:pPr>
    </w:p>
    <w:p>
      <w:pPr>
        <w:spacing w:after="0"/>
        <w:rPr>
          <w:sz w:val="20"/>
          <w:szCs w:val="20"/>
          <w:color w:val="auto"/>
        </w:rPr>
      </w:pPr>
      <w:r>
        <w:rPr>
          <w:rFonts w:ascii="Arial" w:cs="Arial" w:eastAsia="Arial" w:hAnsi="Arial"/>
          <w:sz w:val="13"/>
          <w:szCs w:val="13"/>
          <w:color w:val="auto"/>
        </w:rPr>
        <w:t>The following LTI awards were granted to our named executive officers in fiscal 2021 as part of our regular annual LTI program:</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8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Total Awarded</w:t>
            </w:r>
          </w:p>
        </w:tc>
        <w:tc>
          <w:tcPr>
            <w:tcW w:w="1480" w:type="dxa"/>
            <w:vAlign w:val="bottom"/>
            <w:tcBorders>
              <w:right w:val="single" w:sz="8" w:color="auto"/>
            </w:tcBorders>
            <w:vMerge w:val="restart"/>
          </w:tcPr>
          <w:p>
            <w:pPr>
              <w:jc w:val="right"/>
              <w:ind w:right="33"/>
              <w:spacing w:after="0"/>
              <w:rPr>
                <w:sz w:val="20"/>
                <w:szCs w:val="20"/>
                <w:color w:val="auto"/>
              </w:rPr>
            </w:pPr>
            <w:r>
              <w:rPr>
                <w:rFonts w:ascii="Arial" w:cs="Arial" w:eastAsia="Arial" w:hAnsi="Arial"/>
                <w:sz w:val="13"/>
                <w:szCs w:val="13"/>
                <w:b w:val="1"/>
                <w:bCs w:val="1"/>
                <w:color w:val="auto"/>
              </w:rPr>
              <w:t># Shares Underlying</w:t>
            </w:r>
          </w:p>
        </w:tc>
        <w:tc>
          <w:tcPr>
            <w:tcW w:w="1100" w:type="dxa"/>
            <w:vAlign w:val="bottom"/>
            <w:gridSpan w:val="2"/>
          </w:tcPr>
          <w:p>
            <w:pPr>
              <w:jc w:val="right"/>
              <w:ind w:right="13"/>
              <w:spacing w:after="0"/>
              <w:rPr>
                <w:sz w:val="20"/>
                <w:szCs w:val="20"/>
                <w:color w:val="auto"/>
              </w:rPr>
            </w:pPr>
            <w:r>
              <w:rPr>
                <w:rFonts w:ascii="Arial" w:cs="Arial" w:eastAsia="Arial" w:hAnsi="Arial"/>
                <w:sz w:val="13"/>
                <w:szCs w:val="13"/>
                <w:b w:val="1"/>
                <w:bCs w:val="1"/>
                <w:color w:val="auto"/>
              </w:rPr>
              <w:t>LTI Vehicle Mix</w:t>
            </w:r>
          </w:p>
        </w:tc>
        <w:tc>
          <w:tcPr>
            <w:tcW w:w="0" w:type="dxa"/>
            <w:vAlign w:val="bottom"/>
          </w:tcPr>
          <w:p>
            <w:pPr>
              <w:spacing w:after="0"/>
              <w:rPr>
                <w:sz w:val="1"/>
                <w:szCs w:val="1"/>
                <w:color w:val="auto"/>
              </w:rPr>
            </w:pPr>
          </w:p>
        </w:tc>
      </w:tr>
      <w:tr>
        <w:trPr>
          <w:trHeight w:val="108"/>
        </w:trPr>
        <w:tc>
          <w:tcPr>
            <w:tcW w:w="7580" w:type="dxa"/>
            <w:vAlign w:val="bottom"/>
            <w:tcBorders>
              <w:right w:val="single" w:sz="8" w:color="auto"/>
            </w:tcBorders>
            <w:vMerge w:val="restart"/>
          </w:tcPr>
          <w:p>
            <w:pPr>
              <w:ind w:left="80"/>
              <w:spacing w:after="0"/>
              <w:rPr>
                <w:sz w:val="20"/>
                <w:szCs w:val="20"/>
                <w:color w:val="auto"/>
              </w:rPr>
            </w:pPr>
            <w:r>
              <w:rPr>
                <w:rFonts w:ascii="Arial" w:cs="Arial" w:eastAsia="Arial" w:hAnsi="Arial"/>
                <w:sz w:val="13"/>
                <w:szCs w:val="13"/>
                <w:b w:val="1"/>
                <w:bCs w:val="1"/>
                <w:color w:val="auto"/>
              </w:rPr>
              <w:t>Named Executive Officer</w:t>
            </w:r>
            <w:r>
              <w:rPr>
                <w:rFonts w:ascii="Arial" w:cs="Arial" w:eastAsia="Arial" w:hAnsi="Arial"/>
                <w:sz w:val="22"/>
                <w:szCs w:val="22"/>
                <w:b w:val="1"/>
                <w:bCs w:val="1"/>
                <w:color w:val="auto"/>
                <w:vertAlign w:val="superscript"/>
              </w:rPr>
              <w:t>(1)</w:t>
            </w:r>
          </w:p>
        </w:tc>
        <w:tc>
          <w:tcPr>
            <w:tcW w:w="1080" w:type="dxa"/>
            <w:vAlign w:val="bottom"/>
            <w:tcBorders>
              <w:right w:val="single" w:sz="8" w:color="auto"/>
            </w:tcBorders>
          </w:tcPr>
          <w:p>
            <w:pPr>
              <w:jc w:val="right"/>
              <w:ind w:right="13"/>
              <w:spacing w:after="0" w:line="108" w:lineRule="exact"/>
              <w:rPr>
                <w:sz w:val="20"/>
                <w:szCs w:val="20"/>
                <w:color w:val="auto"/>
              </w:rPr>
            </w:pPr>
            <w:r>
              <w:rPr>
                <w:rFonts w:ascii="Arial" w:cs="Arial" w:eastAsia="Arial" w:hAnsi="Arial"/>
                <w:sz w:val="12"/>
                <w:szCs w:val="12"/>
                <w:b w:val="1"/>
                <w:bCs w:val="1"/>
                <w:color w:val="auto"/>
              </w:rPr>
              <w:t>Grant Value</w:t>
            </w:r>
          </w:p>
        </w:tc>
        <w:tc>
          <w:tcPr>
            <w:tcW w:w="1480" w:type="dxa"/>
            <w:vAlign w:val="bottom"/>
            <w:tcBorders>
              <w:right w:val="single" w:sz="8" w:color="auto"/>
            </w:tcBorders>
            <w:vMerge w:val="continue"/>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7580" w:type="dxa"/>
            <w:vAlign w:val="bottom"/>
            <w:tcBorders>
              <w:bottom w:val="single" w:sz="8" w:color="auto"/>
              <w:right w:val="single" w:sz="8" w:color="auto"/>
            </w:tcBorders>
            <w:vMerge w:val="continue"/>
          </w:tcPr>
          <w:p>
            <w:pPr>
              <w:spacing w:after="0"/>
              <w:rPr>
                <w:sz w:val="18"/>
                <w:szCs w:val="18"/>
                <w:color w:val="auto"/>
              </w:rPr>
            </w:pPr>
          </w:p>
        </w:tc>
        <w:tc>
          <w:tcPr>
            <w:tcW w:w="108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w:t>
            </w:r>
          </w:p>
        </w:tc>
        <w:tc>
          <w:tcPr>
            <w:tcW w:w="1480" w:type="dxa"/>
            <w:vAlign w:val="bottom"/>
            <w:tcBorders>
              <w:bottom w:val="single" w:sz="8" w:color="auto"/>
              <w:right w:val="single" w:sz="8" w:color="auto"/>
            </w:tcBorders>
          </w:tcPr>
          <w:p>
            <w:pPr>
              <w:jc w:val="right"/>
              <w:ind w:right="33"/>
              <w:spacing w:after="0" w:line="210" w:lineRule="exact"/>
              <w:rPr>
                <w:sz w:val="20"/>
                <w:szCs w:val="20"/>
                <w:color w:val="auto"/>
              </w:rPr>
            </w:pPr>
            <w:r>
              <w:rPr>
                <w:rFonts w:ascii="Arial" w:cs="Arial" w:eastAsia="Arial" w:hAnsi="Arial"/>
                <w:sz w:val="13"/>
                <w:szCs w:val="13"/>
                <w:b w:val="1"/>
                <w:bCs w:val="1"/>
                <w:color w:val="auto"/>
              </w:rPr>
              <w:t>LTI Grants</w:t>
            </w:r>
            <w:r>
              <w:rPr>
                <w:rFonts w:ascii="Arial" w:cs="Arial" w:eastAsia="Arial" w:hAnsi="Arial"/>
                <w:sz w:val="22"/>
                <w:szCs w:val="22"/>
                <w:b w:val="1"/>
                <w:bCs w:val="1"/>
                <w:color w:val="auto"/>
                <w:vertAlign w:val="superscript"/>
              </w:rPr>
              <w:t>(2)</w:t>
            </w:r>
          </w:p>
        </w:tc>
        <w:tc>
          <w:tcPr>
            <w:tcW w:w="56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PSUs</w:t>
            </w: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RSUs</w:t>
            </w:r>
          </w:p>
        </w:tc>
        <w:tc>
          <w:tcPr>
            <w:tcW w:w="0" w:type="dxa"/>
            <w:vAlign w:val="bottom"/>
          </w:tcPr>
          <w:p>
            <w:pPr>
              <w:spacing w:after="0"/>
              <w:rPr>
                <w:sz w:val="1"/>
                <w:szCs w:val="1"/>
                <w:color w:val="auto"/>
              </w:rPr>
            </w:pPr>
          </w:p>
        </w:tc>
      </w:tr>
      <w:tr>
        <w:trPr>
          <w:trHeight w:val="189"/>
        </w:trPr>
        <w:tc>
          <w:tcPr>
            <w:tcW w:w="758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23628F"/>
              </w:rPr>
              <w:t>David V. Goeckeler</w:t>
            </w:r>
          </w:p>
        </w:tc>
        <w:tc>
          <w:tcPr>
            <w:tcW w:w="10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12,000,000</w:t>
            </w:r>
          </w:p>
        </w:tc>
        <w:tc>
          <w:tcPr>
            <w:tcW w:w="14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318,217</w:t>
            </w:r>
          </w:p>
        </w:tc>
        <w:tc>
          <w:tcPr>
            <w:tcW w:w="5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60%</w:t>
            </w:r>
          </w:p>
        </w:tc>
        <w:tc>
          <w:tcPr>
            <w:tcW w:w="54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96"/>
        </w:trPr>
        <w:tc>
          <w:tcPr>
            <w:tcW w:w="758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23628F"/>
              </w:rPr>
              <w:t>Robert K. Eulau</w:t>
            </w:r>
          </w:p>
        </w:tc>
        <w:tc>
          <w:tcPr>
            <w:tcW w:w="10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3,575,000</w:t>
            </w:r>
          </w:p>
        </w:tc>
        <w:tc>
          <w:tcPr>
            <w:tcW w:w="14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94,801</w:t>
            </w:r>
          </w:p>
        </w:tc>
        <w:tc>
          <w:tcPr>
            <w:tcW w:w="5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50%</w:t>
            </w:r>
          </w:p>
        </w:tc>
        <w:tc>
          <w:tcPr>
            <w:tcW w:w="54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96"/>
        </w:trPr>
        <w:tc>
          <w:tcPr>
            <w:tcW w:w="758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23628F"/>
              </w:rPr>
              <w:t>Srinivasan Sivaram</w:t>
            </w:r>
          </w:p>
        </w:tc>
        <w:tc>
          <w:tcPr>
            <w:tcW w:w="10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3,750,000</w:t>
            </w:r>
          </w:p>
        </w:tc>
        <w:tc>
          <w:tcPr>
            <w:tcW w:w="14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99,441</w:t>
            </w:r>
          </w:p>
        </w:tc>
        <w:tc>
          <w:tcPr>
            <w:tcW w:w="5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50%</w:t>
            </w:r>
          </w:p>
        </w:tc>
        <w:tc>
          <w:tcPr>
            <w:tcW w:w="54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96"/>
        </w:trPr>
        <w:tc>
          <w:tcPr>
            <w:tcW w:w="758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23628F"/>
              </w:rPr>
              <w:t>Michael C. Ray</w:t>
            </w:r>
          </w:p>
        </w:tc>
        <w:tc>
          <w:tcPr>
            <w:tcW w:w="10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2,187,500</w:t>
            </w:r>
          </w:p>
        </w:tc>
        <w:tc>
          <w:tcPr>
            <w:tcW w:w="14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58,008</w:t>
            </w:r>
          </w:p>
        </w:tc>
        <w:tc>
          <w:tcPr>
            <w:tcW w:w="5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50%</w:t>
            </w:r>
          </w:p>
        </w:tc>
        <w:tc>
          <w:tcPr>
            <w:tcW w:w="54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96"/>
        </w:trPr>
        <w:tc>
          <w:tcPr>
            <w:tcW w:w="758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23628F"/>
              </w:rPr>
              <w:t>Lori S. Sundberg</w:t>
            </w:r>
          </w:p>
        </w:tc>
        <w:tc>
          <w:tcPr>
            <w:tcW w:w="10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1,837,500</w:t>
            </w:r>
          </w:p>
        </w:tc>
        <w:tc>
          <w:tcPr>
            <w:tcW w:w="14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48,725</w:t>
            </w:r>
          </w:p>
        </w:tc>
        <w:tc>
          <w:tcPr>
            <w:tcW w:w="5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50%</w:t>
            </w:r>
          </w:p>
        </w:tc>
        <w:tc>
          <w:tcPr>
            <w:tcW w:w="54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00" w:right="120" w:hanging="292"/>
        <w:spacing w:after="0" w:line="238" w:lineRule="auto"/>
        <w:tabs>
          <w:tab w:leader="none" w:pos="300" w:val="left"/>
        </w:tabs>
        <w:numPr>
          <w:ilvl w:val="0"/>
          <w:numId w:val="191"/>
        </w:numPr>
        <w:rPr>
          <w:rFonts w:ascii="Arial" w:cs="Arial" w:eastAsia="Arial" w:hAnsi="Arial"/>
          <w:sz w:val="11"/>
          <w:szCs w:val="11"/>
          <w:color w:val="auto"/>
        </w:rPr>
      </w:pPr>
      <w:r>
        <w:rPr>
          <w:rFonts w:ascii="Arial" w:cs="Arial" w:eastAsia="Arial" w:hAnsi="Arial"/>
          <w:sz w:val="13"/>
          <w:szCs w:val="13"/>
          <w:color w:val="auto"/>
        </w:rPr>
        <w:t>Mr. Milligan and Mr. Cordano did not receive fiscal 2021 annual LTI awards due to Mr. Milligan’s retirement in September 2020 and Mr. Cordano’s termination without cause in August 2020.</w:t>
      </w:r>
    </w:p>
    <w:p>
      <w:pPr>
        <w:ind w:left="300" w:right="40" w:hanging="292"/>
        <w:spacing w:after="0" w:line="248" w:lineRule="auto"/>
        <w:tabs>
          <w:tab w:leader="none" w:pos="300" w:val="left"/>
        </w:tabs>
        <w:numPr>
          <w:ilvl w:val="0"/>
          <w:numId w:val="191"/>
        </w:numPr>
        <w:rPr>
          <w:rFonts w:ascii="Arial" w:cs="Arial" w:eastAsia="Arial" w:hAnsi="Arial"/>
          <w:sz w:val="11"/>
          <w:szCs w:val="11"/>
          <w:color w:val="auto"/>
        </w:rPr>
      </w:pPr>
      <w:r>
        <w:rPr>
          <w:rFonts w:ascii="Arial" w:cs="Arial" w:eastAsia="Arial" w:hAnsi="Arial"/>
          <w:sz w:val="13"/>
          <w:szCs w:val="13"/>
          <w:color w:val="auto"/>
        </w:rPr>
        <w:t>The number of shares, in the case of both PSUs at the target level of performance and RSUs, was determined by dividing the total awarded grant value by the closing price of our common stock on the Nasdaq Stock Market on the grant date, rounded to the nearest share. The closing price of our common stock on September 3, 2020, the grant date for the fiscal 2021 annual LTI awards, was $37.71 per share.</w:t>
      </w:r>
    </w:p>
    <w:p>
      <w:pPr>
        <w:spacing w:after="0" w:line="165"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Dr. Sivaram’s Fiscal 2021 Compensation Enhancements</w:t>
      </w:r>
    </w:p>
    <w:p>
      <w:pPr>
        <w:spacing w:after="0" w:line="257" w:lineRule="exact"/>
        <w:rPr>
          <w:sz w:val="20"/>
          <w:szCs w:val="20"/>
          <w:color w:val="auto"/>
        </w:rPr>
      </w:pPr>
    </w:p>
    <w:p>
      <w:pPr>
        <w:ind w:right="20"/>
        <w:spacing w:after="0" w:line="248" w:lineRule="auto"/>
        <w:rPr>
          <w:sz w:val="20"/>
          <w:szCs w:val="20"/>
          <w:color w:val="auto"/>
        </w:rPr>
      </w:pPr>
      <w:r>
        <w:rPr>
          <w:rFonts w:ascii="Arial" w:cs="Arial" w:eastAsia="Arial" w:hAnsi="Arial"/>
          <w:sz w:val="13"/>
          <w:szCs w:val="13"/>
          <w:color w:val="auto"/>
        </w:rPr>
        <w:t>In August 2020, the Compensation and Talent Committee approved an increase in Dr. Sivaram’s annual base salary from $700,000 to $750,000 and approved an increase in his fiscal 2021 target STI opportunity from 110% to 120%. In approving these changes, the Compensation and Talent Committee considered Dr. Sivaram’s critical role for our flash business and his key relationships with our joint venture partner.</w:t>
      </w:r>
    </w:p>
    <w:p>
      <w:pPr>
        <w:spacing w:after="0" w:line="18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23628F"/>
        </w:rPr>
        <w:t>2020 PROXY STATEMENT</w:t>
      </w:r>
      <w:r>
        <w:rPr>
          <w:sz w:val="20"/>
          <w:szCs w:val="20"/>
          <w:color w:val="auto"/>
        </w:rPr>
        <w:tab/>
      </w:r>
      <w:r>
        <w:rPr>
          <w:rFonts w:ascii="Arial" w:cs="Arial" w:eastAsia="Arial" w:hAnsi="Arial"/>
          <w:sz w:val="16"/>
          <w:szCs w:val="16"/>
          <w:b w:val="1"/>
          <w:bCs w:val="1"/>
          <w:color w:val="23628F"/>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153275" cy="209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23628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234440" cy="6858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34440" cy="68580"/>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OTHER PROGRAM FEATURES AND POLICIES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700" w:type="dxa"/>
            <w:vAlign w:val="bottom"/>
            <w:tcBorders>
              <w:top w:val="single" w:sz="8" w:color="959595"/>
            </w:tcBorders>
            <w:shd w:val="clear" w:color="auto" w:fill="D5DEE8"/>
          </w:tcPr>
          <w:p>
            <w:pPr>
              <w:ind w:left="80"/>
              <w:spacing w:after="0"/>
              <w:rPr>
                <w:sz w:val="20"/>
                <w:szCs w:val="20"/>
                <w:color w:val="auto"/>
              </w:rPr>
            </w:pPr>
            <w:r>
              <w:rPr>
                <w:rFonts w:ascii="Arial" w:cs="Arial" w:eastAsia="Arial" w:hAnsi="Arial"/>
                <w:sz w:val="13"/>
                <w:szCs w:val="13"/>
                <w:b w:val="1"/>
                <w:bCs w:val="1"/>
                <w:color w:val="23628F"/>
              </w:rPr>
              <w:t>Perquisites</w:t>
            </w:r>
          </w:p>
        </w:tc>
        <w:tc>
          <w:tcPr>
            <w:tcW w:w="9540" w:type="dxa"/>
            <w:vAlign w:val="bottom"/>
            <w:tcBorders>
              <w:top w:val="single" w:sz="8" w:color="959595"/>
            </w:tcBorders>
          </w:tcPr>
          <w:p>
            <w:pPr>
              <w:ind w:left="60"/>
              <w:spacing w:after="0"/>
              <w:rPr>
                <w:sz w:val="20"/>
                <w:szCs w:val="20"/>
                <w:color w:val="auto"/>
              </w:rPr>
            </w:pPr>
            <w:r>
              <w:rPr>
                <w:rFonts w:ascii="Arial" w:cs="Arial" w:eastAsia="Arial" w:hAnsi="Arial"/>
                <w:sz w:val="13"/>
                <w:szCs w:val="13"/>
                <w:color w:val="auto"/>
              </w:rPr>
              <w:t>We provide our executive officers with limited perquisites, consisting principally of a $5,000 annual allowance for financial planning services (net of taxes),</w:t>
            </w:r>
          </w:p>
        </w:tc>
      </w:tr>
      <w:tr>
        <w:trPr>
          <w:trHeight w:val="148"/>
        </w:trPr>
        <w:tc>
          <w:tcPr>
            <w:tcW w:w="1700" w:type="dxa"/>
            <w:vAlign w:val="bottom"/>
            <w:shd w:val="clear" w:color="auto" w:fill="D5DEE8"/>
          </w:tcPr>
          <w:p>
            <w:pPr>
              <w:spacing w:after="0"/>
              <w:rPr>
                <w:sz w:val="12"/>
                <w:szCs w:val="12"/>
                <w:color w:val="auto"/>
              </w:rPr>
            </w:pPr>
          </w:p>
        </w:tc>
        <w:tc>
          <w:tcPr>
            <w:tcW w:w="9540" w:type="dxa"/>
            <w:vAlign w:val="bottom"/>
          </w:tcPr>
          <w:p>
            <w:pPr>
              <w:ind w:left="60"/>
              <w:spacing w:after="0"/>
              <w:rPr>
                <w:sz w:val="20"/>
                <w:szCs w:val="20"/>
                <w:color w:val="auto"/>
              </w:rPr>
            </w:pPr>
            <w:r>
              <w:rPr>
                <w:rFonts w:ascii="Arial" w:cs="Arial" w:eastAsia="Arial" w:hAnsi="Arial"/>
                <w:sz w:val="13"/>
                <w:szCs w:val="13"/>
                <w:color w:val="auto"/>
              </w:rPr>
              <w:t>which is available to other officers, and a monthly transitional housing and travel allowance, which is available to other eligible officers who have families</w:t>
            </w:r>
          </w:p>
        </w:tc>
      </w:tr>
      <w:tr>
        <w:trPr>
          <w:trHeight w:val="148"/>
        </w:trPr>
        <w:tc>
          <w:tcPr>
            <w:tcW w:w="1700" w:type="dxa"/>
            <w:vAlign w:val="bottom"/>
            <w:shd w:val="clear" w:color="auto" w:fill="D5DEE8"/>
          </w:tcPr>
          <w:p>
            <w:pPr>
              <w:spacing w:after="0"/>
              <w:rPr>
                <w:sz w:val="12"/>
                <w:szCs w:val="12"/>
                <w:color w:val="auto"/>
              </w:rPr>
            </w:pPr>
          </w:p>
        </w:tc>
        <w:tc>
          <w:tcPr>
            <w:tcW w:w="9540" w:type="dxa"/>
            <w:vAlign w:val="bottom"/>
          </w:tcPr>
          <w:p>
            <w:pPr>
              <w:ind w:left="60"/>
              <w:spacing w:after="0"/>
              <w:rPr>
                <w:sz w:val="20"/>
                <w:szCs w:val="20"/>
                <w:color w:val="auto"/>
              </w:rPr>
            </w:pPr>
            <w:r>
              <w:rPr>
                <w:rFonts w:ascii="Arial" w:cs="Arial" w:eastAsia="Arial" w:hAnsi="Arial"/>
                <w:sz w:val="13"/>
                <w:szCs w:val="13"/>
                <w:color w:val="auto"/>
              </w:rPr>
              <w:t>located outside of the San Jose, California area but are required to perform services in San Jose, California. The monthly transitional housing and travel</w:t>
            </w:r>
          </w:p>
        </w:tc>
      </w:tr>
      <w:tr>
        <w:trPr>
          <w:trHeight w:val="149"/>
        </w:trPr>
        <w:tc>
          <w:tcPr>
            <w:tcW w:w="1700" w:type="dxa"/>
            <w:vAlign w:val="bottom"/>
            <w:shd w:val="clear" w:color="auto" w:fill="D5DEE8"/>
          </w:tcPr>
          <w:p>
            <w:pPr>
              <w:spacing w:after="0"/>
              <w:rPr>
                <w:sz w:val="12"/>
                <w:szCs w:val="12"/>
                <w:color w:val="auto"/>
              </w:rPr>
            </w:pPr>
          </w:p>
        </w:tc>
        <w:tc>
          <w:tcPr>
            <w:tcW w:w="9540" w:type="dxa"/>
            <w:vAlign w:val="bottom"/>
          </w:tcPr>
          <w:p>
            <w:pPr>
              <w:ind w:left="60"/>
              <w:spacing w:after="0"/>
              <w:rPr>
                <w:sz w:val="20"/>
                <w:szCs w:val="20"/>
                <w:color w:val="auto"/>
              </w:rPr>
            </w:pPr>
            <w:r>
              <w:rPr>
                <w:rFonts w:ascii="Arial" w:cs="Arial" w:eastAsia="Arial" w:hAnsi="Arial"/>
                <w:sz w:val="13"/>
                <w:szCs w:val="13"/>
                <w:color w:val="auto"/>
              </w:rPr>
              <w:t>allowance is provided to a small number of officers and is limited in duration as a transition into employment with our company. Ms. Sundberg is our only</w:t>
            </w:r>
          </w:p>
        </w:tc>
      </w:tr>
      <w:tr>
        <w:trPr>
          <w:trHeight w:val="162"/>
        </w:trPr>
        <w:tc>
          <w:tcPr>
            <w:tcW w:w="1700" w:type="dxa"/>
            <w:vAlign w:val="bottom"/>
            <w:shd w:val="clear" w:color="auto" w:fill="D5DEE8"/>
          </w:tcPr>
          <w:p>
            <w:pPr>
              <w:spacing w:after="0"/>
              <w:rPr>
                <w:sz w:val="14"/>
                <w:szCs w:val="14"/>
                <w:color w:val="auto"/>
              </w:rPr>
            </w:pPr>
          </w:p>
        </w:tc>
        <w:tc>
          <w:tcPr>
            <w:tcW w:w="9540" w:type="dxa"/>
            <w:vAlign w:val="bottom"/>
          </w:tcPr>
          <w:p>
            <w:pPr>
              <w:ind w:left="60"/>
              <w:spacing w:after="0"/>
              <w:rPr>
                <w:sz w:val="20"/>
                <w:szCs w:val="20"/>
                <w:color w:val="auto"/>
              </w:rPr>
            </w:pPr>
            <w:r>
              <w:rPr>
                <w:rFonts w:ascii="Arial" w:cs="Arial" w:eastAsia="Arial" w:hAnsi="Arial"/>
                <w:sz w:val="13"/>
                <w:szCs w:val="13"/>
                <w:color w:val="auto"/>
              </w:rPr>
              <w:t>named executive officer who received a transitional housing and travel allowance in fiscal 2020.</w:t>
            </w:r>
          </w:p>
        </w:tc>
      </w:tr>
      <w:tr>
        <w:trPr>
          <w:trHeight w:val="351"/>
        </w:trPr>
        <w:tc>
          <w:tcPr>
            <w:tcW w:w="1700" w:type="dxa"/>
            <w:vAlign w:val="bottom"/>
            <w:shd w:val="clear" w:color="auto" w:fill="D5DEE8"/>
          </w:tcPr>
          <w:p>
            <w:pPr>
              <w:spacing w:after="0"/>
              <w:rPr>
                <w:sz w:val="24"/>
                <w:szCs w:val="24"/>
                <w:color w:val="auto"/>
              </w:rPr>
            </w:pPr>
          </w:p>
        </w:tc>
        <w:tc>
          <w:tcPr>
            <w:tcW w:w="9540" w:type="dxa"/>
            <w:vAlign w:val="bottom"/>
          </w:tcPr>
          <w:p>
            <w:pPr>
              <w:ind w:left="60"/>
              <w:spacing w:after="0"/>
              <w:rPr>
                <w:sz w:val="20"/>
                <w:szCs w:val="20"/>
                <w:color w:val="auto"/>
              </w:rPr>
            </w:pPr>
            <w:r>
              <w:rPr>
                <w:rFonts w:ascii="Arial" w:cs="Arial" w:eastAsia="Arial" w:hAnsi="Arial"/>
                <w:sz w:val="13"/>
                <w:szCs w:val="13"/>
                <w:color w:val="auto"/>
              </w:rPr>
              <w:t>We did not provide any tax gross-up payments to our named executive officers, except as to the modest financial planning services allowance in accordance</w:t>
            </w:r>
          </w:p>
        </w:tc>
      </w:tr>
      <w:tr>
        <w:trPr>
          <w:trHeight w:val="170"/>
        </w:trPr>
        <w:tc>
          <w:tcPr>
            <w:tcW w:w="1700" w:type="dxa"/>
            <w:vAlign w:val="bottom"/>
            <w:tcBorders>
              <w:bottom w:val="single" w:sz="8" w:color="959595"/>
            </w:tcBorders>
            <w:shd w:val="clear" w:color="auto" w:fill="D5DEE8"/>
          </w:tcPr>
          <w:p>
            <w:pPr>
              <w:spacing w:after="0"/>
              <w:rPr>
                <w:sz w:val="14"/>
                <w:szCs w:val="14"/>
                <w:color w:val="auto"/>
              </w:rPr>
            </w:pPr>
          </w:p>
        </w:tc>
        <w:tc>
          <w:tcPr>
            <w:tcW w:w="9540" w:type="dxa"/>
            <w:vAlign w:val="bottom"/>
            <w:tcBorders>
              <w:bottom w:val="single" w:sz="8" w:color="959595"/>
            </w:tcBorders>
          </w:tcPr>
          <w:p>
            <w:pPr>
              <w:ind w:left="60"/>
              <w:spacing w:after="0"/>
              <w:rPr>
                <w:sz w:val="20"/>
                <w:szCs w:val="20"/>
                <w:color w:val="auto"/>
              </w:rPr>
            </w:pPr>
            <w:r>
              <w:rPr>
                <w:rFonts w:ascii="Arial" w:cs="Arial" w:eastAsia="Arial" w:hAnsi="Arial"/>
                <w:sz w:val="13"/>
                <w:szCs w:val="13"/>
                <w:color w:val="auto"/>
              </w:rPr>
              <w:t>with the terms of the program, to the extent permitted by applicable tax law and to the extent these benefits are taxable to the participant.</w:t>
            </w:r>
          </w:p>
        </w:tc>
      </w:tr>
      <w:tr>
        <w:trPr>
          <w:trHeight w:val="175"/>
        </w:trPr>
        <w:tc>
          <w:tcPr>
            <w:tcW w:w="1700" w:type="dxa"/>
            <w:vAlign w:val="bottom"/>
            <w:shd w:val="clear" w:color="auto" w:fill="D5DEE8"/>
          </w:tcPr>
          <w:p>
            <w:pPr>
              <w:ind w:left="80"/>
              <w:spacing w:after="0"/>
              <w:rPr>
                <w:sz w:val="20"/>
                <w:szCs w:val="20"/>
                <w:color w:val="auto"/>
              </w:rPr>
            </w:pPr>
            <w:r>
              <w:rPr>
                <w:rFonts w:ascii="Arial" w:cs="Arial" w:eastAsia="Arial" w:hAnsi="Arial"/>
                <w:sz w:val="13"/>
                <w:szCs w:val="13"/>
                <w:b w:val="1"/>
                <w:bCs w:val="1"/>
                <w:color w:val="23628F"/>
              </w:rPr>
              <w:t>401(k) Plan Benefits</w:t>
            </w:r>
          </w:p>
        </w:tc>
        <w:tc>
          <w:tcPr>
            <w:tcW w:w="9540" w:type="dxa"/>
            <w:vAlign w:val="bottom"/>
          </w:tcPr>
          <w:p>
            <w:pPr>
              <w:ind w:left="60"/>
              <w:spacing w:after="0"/>
              <w:rPr>
                <w:sz w:val="20"/>
                <w:szCs w:val="20"/>
                <w:color w:val="auto"/>
              </w:rPr>
            </w:pPr>
            <w:r>
              <w:rPr>
                <w:rFonts w:ascii="Arial" w:cs="Arial" w:eastAsia="Arial" w:hAnsi="Arial"/>
                <w:sz w:val="13"/>
                <w:szCs w:val="13"/>
                <w:color w:val="auto"/>
              </w:rPr>
              <w:t>We provide retirement benefits to our executive officers and other eligible employees under the terms of our 401(k) Plan. Eligible employees may contribute</w:t>
            </w:r>
          </w:p>
        </w:tc>
      </w:tr>
      <w:tr>
        <w:trPr>
          <w:trHeight w:val="148"/>
        </w:trPr>
        <w:tc>
          <w:tcPr>
            <w:tcW w:w="1700" w:type="dxa"/>
            <w:vAlign w:val="bottom"/>
            <w:shd w:val="clear" w:color="auto" w:fill="D5DEE8"/>
          </w:tcPr>
          <w:p>
            <w:pPr>
              <w:spacing w:after="0"/>
              <w:rPr>
                <w:sz w:val="12"/>
                <w:szCs w:val="12"/>
                <w:color w:val="auto"/>
              </w:rPr>
            </w:pPr>
          </w:p>
        </w:tc>
        <w:tc>
          <w:tcPr>
            <w:tcW w:w="9540" w:type="dxa"/>
            <w:vAlign w:val="bottom"/>
          </w:tcPr>
          <w:p>
            <w:pPr>
              <w:ind w:left="60"/>
              <w:spacing w:after="0"/>
              <w:rPr>
                <w:sz w:val="20"/>
                <w:szCs w:val="20"/>
                <w:color w:val="auto"/>
              </w:rPr>
            </w:pPr>
            <w:r>
              <w:rPr>
                <w:rFonts w:ascii="Arial" w:cs="Arial" w:eastAsia="Arial" w:hAnsi="Arial"/>
                <w:sz w:val="13"/>
                <w:szCs w:val="13"/>
                <w:color w:val="auto"/>
              </w:rPr>
              <w:t>up to 75% of their annual cash compensation up to a maximum amount allowed by the Internal Revenue Code, and are also eligible for matching</w:t>
            </w:r>
          </w:p>
        </w:tc>
      </w:tr>
      <w:tr>
        <w:trPr>
          <w:trHeight w:val="148"/>
        </w:trPr>
        <w:tc>
          <w:tcPr>
            <w:tcW w:w="1700" w:type="dxa"/>
            <w:vAlign w:val="bottom"/>
            <w:shd w:val="clear" w:color="auto" w:fill="D5DEE8"/>
          </w:tcPr>
          <w:p>
            <w:pPr>
              <w:spacing w:after="0"/>
              <w:rPr>
                <w:sz w:val="12"/>
                <w:szCs w:val="12"/>
                <w:color w:val="auto"/>
              </w:rPr>
            </w:pPr>
          </w:p>
        </w:tc>
        <w:tc>
          <w:tcPr>
            <w:tcW w:w="9540" w:type="dxa"/>
            <w:vAlign w:val="bottom"/>
          </w:tcPr>
          <w:p>
            <w:pPr>
              <w:ind w:left="60"/>
              <w:spacing w:after="0"/>
              <w:rPr>
                <w:sz w:val="20"/>
                <w:szCs w:val="20"/>
                <w:color w:val="auto"/>
              </w:rPr>
            </w:pPr>
            <w:r>
              <w:rPr>
                <w:rFonts w:ascii="Arial" w:cs="Arial" w:eastAsia="Arial" w:hAnsi="Arial"/>
                <w:sz w:val="13"/>
                <w:szCs w:val="13"/>
                <w:color w:val="auto"/>
              </w:rPr>
              <w:t>contributions, which vest over a two-year service period. Our executive officers participate in the 401(k) Plan on substantially the same terms as our other</w:t>
            </w:r>
          </w:p>
        </w:tc>
      </w:tr>
      <w:tr>
        <w:trPr>
          <w:trHeight w:val="148"/>
        </w:trPr>
        <w:tc>
          <w:tcPr>
            <w:tcW w:w="1700" w:type="dxa"/>
            <w:vAlign w:val="bottom"/>
            <w:shd w:val="clear" w:color="auto" w:fill="D5DEE8"/>
          </w:tcPr>
          <w:p>
            <w:pPr>
              <w:spacing w:after="0"/>
              <w:rPr>
                <w:sz w:val="12"/>
                <w:szCs w:val="12"/>
                <w:color w:val="auto"/>
              </w:rPr>
            </w:pPr>
          </w:p>
        </w:tc>
        <w:tc>
          <w:tcPr>
            <w:tcW w:w="9540" w:type="dxa"/>
            <w:vAlign w:val="bottom"/>
          </w:tcPr>
          <w:p>
            <w:pPr>
              <w:ind w:left="60"/>
              <w:spacing w:after="0"/>
              <w:rPr>
                <w:sz w:val="20"/>
                <w:szCs w:val="20"/>
                <w:color w:val="auto"/>
              </w:rPr>
            </w:pPr>
            <w:r>
              <w:rPr>
                <w:rFonts w:ascii="Arial" w:cs="Arial" w:eastAsia="Arial" w:hAnsi="Arial"/>
                <w:sz w:val="13"/>
                <w:szCs w:val="13"/>
                <w:color w:val="auto"/>
              </w:rPr>
              <w:t>participating employees. The 401(k) Plan and our matching contributions are designed to assist us in achieving our compensation objectives of attracting and</w:t>
            </w:r>
          </w:p>
        </w:tc>
      </w:tr>
      <w:tr>
        <w:trPr>
          <w:trHeight w:val="148"/>
        </w:trPr>
        <w:tc>
          <w:tcPr>
            <w:tcW w:w="1700" w:type="dxa"/>
            <w:vAlign w:val="bottom"/>
            <w:shd w:val="clear" w:color="auto" w:fill="D5DEE8"/>
          </w:tcPr>
          <w:p>
            <w:pPr>
              <w:spacing w:after="0"/>
              <w:rPr>
                <w:sz w:val="12"/>
                <w:szCs w:val="12"/>
                <w:color w:val="auto"/>
              </w:rPr>
            </w:pPr>
          </w:p>
        </w:tc>
        <w:tc>
          <w:tcPr>
            <w:tcW w:w="9540" w:type="dxa"/>
            <w:vAlign w:val="bottom"/>
          </w:tcPr>
          <w:p>
            <w:pPr>
              <w:ind w:left="60"/>
              <w:spacing w:after="0"/>
              <w:rPr>
                <w:sz w:val="20"/>
                <w:szCs w:val="20"/>
                <w:color w:val="auto"/>
              </w:rPr>
            </w:pPr>
            <w:r>
              <w:rPr>
                <w:rFonts w:ascii="Arial" w:cs="Arial" w:eastAsia="Arial" w:hAnsi="Arial"/>
                <w:sz w:val="13"/>
                <w:szCs w:val="13"/>
                <w:color w:val="auto"/>
              </w:rPr>
              <w:t>retaining talented individuals and ensuring that our executive compensation program is competitive and equitable. We do not maintain any defined benefit</w:t>
            </w:r>
          </w:p>
        </w:tc>
      </w:tr>
      <w:tr>
        <w:trPr>
          <w:trHeight w:val="170"/>
        </w:trPr>
        <w:tc>
          <w:tcPr>
            <w:tcW w:w="1700" w:type="dxa"/>
            <w:vAlign w:val="bottom"/>
            <w:tcBorders>
              <w:bottom w:val="single" w:sz="8" w:color="959595"/>
            </w:tcBorders>
            <w:shd w:val="clear" w:color="auto" w:fill="D5DEE8"/>
          </w:tcPr>
          <w:p>
            <w:pPr>
              <w:spacing w:after="0"/>
              <w:rPr>
                <w:sz w:val="14"/>
                <w:szCs w:val="14"/>
                <w:color w:val="auto"/>
              </w:rPr>
            </w:pPr>
          </w:p>
        </w:tc>
        <w:tc>
          <w:tcPr>
            <w:tcW w:w="9540" w:type="dxa"/>
            <w:vAlign w:val="bottom"/>
            <w:tcBorders>
              <w:bottom w:val="single" w:sz="8" w:color="959595"/>
            </w:tcBorders>
          </w:tcPr>
          <w:p>
            <w:pPr>
              <w:ind w:left="60"/>
              <w:spacing w:after="0"/>
              <w:rPr>
                <w:sz w:val="20"/>
                <w:szCs w:val="20"/>
                <w:color w:val="auto"/>
              </w:rPr>
            </w:pPr>
            <w:r>
              <w:rPr>
                <w:rFonts w:ascii="Arial" w:cs="Arial" w:eastAsia="Arial" w:hAnsi="Arial"/>
                <w:sz w:val="13"/>
                <w:szCs w:val="13"/>
                <w:color w:val="auto"/>
              </w:rPr>
              <w:t>supplemental retirement plans for our executive officers.</w:t>
            </w:r>
          </w:p>
        </w:tc>
      </w:tr>
      <w:tr>
        <w:trPr>
          <w:trHeight w:val="159"/>
        </w:trPr>
        <w:tc>
          <w:tcPr>
            <w:tcW w:w="1700" w:type="dxa"/>
            <w:vAlign w:val="bottom"/>
            <w:shd w:val="clear" w:color="auto" w:fill="D5DEE8"/>
          </w:tcPr>
          <w:p>
            <w:pPr>
              <w:ind w:left="80"/>
              <w:spacing w:after="0"/>
              <w:rPr>
                <w:sz w:val="20"/>
                <w:szCs w:val="20"/>
                <w:color w:val="auto"/>
              </w:rPr>
            </w:pPr>
            <w:r>
              <w:rPr>
                <w:rFonts w:ascii="Arial" w:cs="Arial" w:eastAsia="Arial" w:hAnsi="Arial"/>
                <w:sz w:val="13"/>
                <w:szCs w:val="13"/>
                <w:b w:val="1"/>
                <w:bCs w:val="1"/>
                <w:color w:val="23628F"/>
              </w:rPr>
              <w:t>Deferred</w:t>
            </w:r>
          </w:p>
        </w:tc>
        <w:tc>
          <w:tcPr>
            <w:tcW w:w="9540" w:type="dxa"/>
            <w:vAlign w:val="bottom"/>
          </w:tcPr>
          <w:p>
            <w:pPr>
              <w:ind w:left="60"/>
              <w:spacing w:after="0"/>
              <w:rPr>
                <w:sz w:val="20"/>
                <w:szCs w:val="20"/>
                <w:color w:val="auto"/>
              </w:rPr>
            </w:pPr>
            <w:r>
              <w:rPr>
                <w:rFonts w:ascii="Arial" w:cs="Arial" w:eastAsia="Arial" w:hAnsi="Arial"/>
                <w:sz w:val="13"/>
                <w:szCs w:val="13"/>
                <w:color w:val="auto"/>
              </w:rPr>
              <w:t>Our executives and certain other key employees who are subject to U.S. federal income taxes are eligible to participate in our Deferred Compensation Plan.</w:t>
            </w:r>
          </w:p>
        </w:tc>
      </w:tr>
      <w:tr>
        <w:trPr>
          <w:trHeight w:val="148"/>
        </w:trPr>
        <w:tc>
          <w:tcPr>
            <w:tcW w:w="1700" w:type="dxa"/>
            <w:vAlign w:val="bottom"/>
            <w:shd w:val="clear" w:color="auto" w:fill="D5DEE8"/>
          </w:tcPr>
          <w:p>
            <w:pPr>
              <w:ind w:left="80"/>
              <w:spacing w:after="0"/>
              <w:rPr>
                <w:sz w:val="20"/>
                <w:szCs w:val="20"/>
                <w:color w:val="auto"/>
              </w:rPr>
            </w:pPr>
            <w:r>
              <w:rPr>
                <w:rFonts w:ascii="Arial" w:cs="Arial" w:eastAsia="Arial" w:hAnsi="Arial"/>
                <w:sz w:val="13"/>
                <w:szCs w:val="13"/>
                <w:b w:val="1"/>
                <w:bCs w:val="1"/>
                <w:color w:val="23628F"/>
              </w:rPr>
              <w:t>Compensation</w:t>
            </w:r>
          </w:p>
        </w:tc>
        <w:tc>
          <w:tcPr>
            <w:tcW w:w="9540" w:type="dxa"/>
            <w:vAlign w:val="bottom"/>
          </w:tcPr>
          <w:p>
            <w:pPr>
              <w:ind w:left="60"/>
              <w:spacing w:after="0"/>
              <w:rPr>
                <w:sz w:val="20"/>
                <w:szCs w:val="20"/>
                <w:color w:val="auto"/>
              </w:rPr>
            </w:pPr>
            <w:r>
              <w:rPr>
                <w:rFonts w:ascii="Arial" w:cs="Arial" w:eastAsia="Arial" w:hAnsi="Arial"/>
                <w:sz w:val="13"/>
                <w:szCs w:val="13"/>
                <w:color w:val="auto"/>
              </w:rPr>
              <w:t>Participants in the Deferred Compensation Plan can elect to defer certain compensation without regard to the tax code limitations applicable to tax-qualified</w:t>
            </w:r>
          </w:p>
        </w:tc>
      </w:tr>
      <w:tr>
        <w:trPr>
          <w:trHeight w:val="164"/>
        </w:trPr>
        <w:tc>
          <w:tcPr>
            <w:tcW w:w="1700" w:type="dxa"/>
            <w:vAlign w:val="bottom"/>
            <w:shd w:val="clear" w:color="auto" w:fill="D5DEE8"/>
          </w:tcPr>
          <w:p>
            <w:pPr>
              <w:ind w:left="80"/>
              <w:spacing w:after="0"/>
              <w:rPr>
                <w:sz w:val="20"/>
                <w:szCs w:val="20"/>
                <w:color w:val="auto"/>
              </w:rPr>
            </w:pPr>
            <w:r>
              <w:rPr>
                <w:rFonts w:ascii="Arial" w:cs="Arial" w:eastAsia="Arial" w:hAnsi="Arial"/>
                <w:sz w:val="13"/>
                <w:szCs w:val="13"/>
                <w:b w:val="1"/>
                <w:bCs w:val="1"/>
                <w:color w:val="23628F"/>
              </w:rPr>
              <w:t>Opportunities</w:t>
            </w:r>
          </w:p>
        </w:tc>
        <w:tc>
          <w:tcPr>
            <w:tcW w:w="9540" w:type="dxa"/>
            <w:vAlign w:val="bottom"/>
          </w:tcPr>
          <w:p>
            <w:pPr>
              <w:ind w:left="60"/>
              <w:spacing w:after="0"/>
              <w:rPr>
                <w:sz w:val="20"/>
                <w:szCs w:val="20"/>
                <w:color w:val="auto"/>
              </w:rPr>
            </w:pPr>
            <w:r>
              <w:rPr>
                <w:rFonts w:ascii="Arial" w:cs="Arial" w:eastAsia="Arial" w:hAnsi="Arial"/>
                <w:sz w:val="13"/>
                <w:szCs w:val="13"/>
                <w:color w:val="auto"/>
              </w:rPr>
              <w:t>plans. We did not make any company matching or discretionary contributions to the Deferred Compensation Plan on behalf of participants in fiscal 2020. The</w:t>
            </w:r>
          </w:p>
        </w:tc>
      </w:tr>
      <w:tr>
        <w:trPr>
          <w:trHeight w:val="148"/>
        </w:trPr>
        <w:tc>
          <w:tcPr>
            <w:tcW w:w="1700" w:type="dxa"/>
            <w:vAlign w:val="bottom"/>
            <w:shd w:val="clear" w:color="auto" w:fill="D5DEE8"/>
          </w:tcPr>
          <w:p>
            <w:pPr>
              <w:spacing w:after="0"/>
              <w:rPr>
                <w:sz w:val="12"/>
                <w:szCs w:val="12"/>
                <w:color w:val="auto"/>
              </w:rPr>
            </w:pPr>
          </w:p>
        </w:tc>
        <w:tc>
          <w:tcPr>
            <w:tcW w:w="9540" w:type="dxa"/>
            <w:vAlign w:val="bottom"/>
          </w:tcPr>
          <w:p>
            <w:pPr>
              <w:ind w:left="60"/>
              <w:spacing w:after="0"/>
              <w:rPr>
                <w:sz w:val="20"/>
                <w:szCs w:val="20"/>
                <w:color w:val="auto"/>
              </w:rPr>
            </w:pPr>
            <w:r>
              <w:rPr>
                <w:rFonts w:ascii="Arial" w:cs="Arial" w:eastAsia="Arial" w:hAnsi="Arial"/>
                <w:sz w:val="13"/>
                <w:szCs w:val="13"/>
                <w:color w:val="auto"/>
              </w:rPr>
              <w:t>Deferred Compensation Plan is intended to promote retention by providing employees with an opportunity to save for retirement in a tax-efficient manner.</w:t>
            </w:r>
          </w:p>
        </w:tc>
      </w:tr>
      <w:tr>
        <w:trPr>
          <w:trHeight w:val="148"/>
        </w:trPr>
        <w:tc>
          <w:tcPr>
            <w:tcW w:w="1700" w:type="dxa"/>
            <w:vAlign w:val="bottom"/>
            <w:shd w:val="clear" w:color="auto" w:fill="D5DEE8"/>
          </w:tcPr>
          <w:p>
            <w:pPr>
              <w:spacing w:after="0"/>
              <w:rPr>
                <w:sz w:val="12"/>
                <w:szCs w:val="12"/>
                <w:color w:val="auto"/>
              </w:rPr>
            </w:pPr>
          </w:p>
        </w:tc>
        <w:tc>
          <w:tcPr>
            <w:tcW w:w="9540" w:type="dxa"/>
            <w:vAlign w:val="bottom"/>
          </w:tcPr>
          <w:p>
            <w:pPr>
              <w:ind w:left="60"/>
              <w:spacing w:after="0"/>
              <w:rPr>
                <w:sz w:val="20"/>
                <w:szCs w:val="20"/>
                <w:color w:val="auto"/>
              </w:rPr>
            </w:pPr>
            <w:r>
              <w:rPr>
                <w:rFonts w:ascii="Arial" w:cs="Arial" w:eastAsia="Arial" w:hAnsi="Arial"/>
                <w:sz w:val="13"/>
                <w:szCs w:val="13"/>
                <w:color w:val="auto"/>
              </w:rPr>
              <w:t>Please see the “Fiscal 2020 Non-Qualified Deferred Compensation Table” and related narrative in the section entitled “Executive Compensation Tables and</w:t>
            </w:r>
          </w:p>
        </w:tc>
      </w:tr>
      <w:tr>
        <w:trPr>
          <w:trHeight w:val="149"/>
        </w:trPr>
        <w:tc>
          <w:tcPr>
            <w:tcW w:w="1700" w:type="dxa"/>
            <w:vAlign w:val="bottom"/>
            <w:shd w:val="clear" w:color="auto" w:fill="D5DEE8"/>
          </w:tcPr>
          <w:p>
            <w:pPr>
              <w:spacing w:after="0"/>
              <w:rPr>
                <w:sz w:val="12"/>
                <w:szCs w:val="12"/>
                <w:color w:val="auto"/>
              </w:rPr>
            </w:pPr>
          </w:p>
        </w:tc>
        <w:tc>
          <w:tcPr>
            <w:tcW w:w="9540" w:type="dxa"/>
            <w:vAlign w:val="bottom"/>
          </w:tcPr>
          <w:p>
            <w:pPr>
              <w:ind w:left="60"/>
              <w:spacing w:after="0"/>
              <w:rPr>
                <w:sz w:val="20"/>
                <w:szCs w:val="20"/>
                <w:color w:val="auto"/>
              </w:rPr>
            </w:pPr>
            <w:r>
              <w:rPr>
                <w:rFonts w:ascii="Arial" w:cs="Arial" w:eastAsia="Arial" w:hAnsi="Arial"/>
                <w:sz w:val="13"/>
                <w:szCs w:val="13"/>
                <w:color w:val="auto"/>
              </w:rPr>
              <w:t>Narratives—Non-Qualified Deferred Compensation Plan” for a more detailed description of our Deferred Compensation Plan and the deferred compensation</w:t>
            </w:r>
          </w:p>
        </w:tc>
      </w:tr>
      <w:tr>
        <w:trPr>
          <w:trHeight w:val="170"/>
        </w:trPr>
        <w:tc>
          <w:tcPr>
            <w:tcW w:w="1700" w:type="dxa"/>
            <w:vAlign w:val="bottom"/>
            <w:tcBorders>
              <w:bottom w:val="single" w:sz="8" w:color="959595"/>
            </w:tcBorders>
            <w:shd w:val="clear" w:color="auto" w:fill="D5DEE8"/>
          </w:tcPr>
          <w:p>
            <w:pPr>
              <w:spacing w:after="0"/>
              <w:rPr>
                <w:sz w:val="14"/>
                <w:szCs w:val="14"/>
                <w:color w:val="auto"/>
              </w:rPr>
            </w:pPr>
          </w:p>
        </w:tc>
        <w:tc>
          <w:tcPr>
            <w:tcW w:w="9540" w:type="dxa"/>
            <w:vAlign w:val="bottom"/>
            <w:tcBorders>
              <w:bottom w:val="single" w:sz="8" w:color="959595"/>
            </w:tcBorders>
          </w:tcPr>
          <w:p>
            <w:pPr>
              <w:ind w:left="60"/>
              <w:spacing w:after="0"/>
              <w:rPr>
                <w:sz w:val="20"/>
                <w:szCs w:val="20"/>
                <w:color w:val="auto"/>
              </w:rPr>
            </w:pPr>
            <w:r>
              <w:rPr>
                <w:rFonts w:ascii="Arial" w:cs="Arial" w:eastAsia="Arial" w:hAnsi="Arial"/>
                <w:sz w:val="13"/>
                <w:szCs w:val="13"/>
                <w:color w:val="auto"/>
              </w:rPr>
              <w:t>amounts that our named executive officers have deferred under the plan.</w:t>
            </w:r>
          </w:p>
        </w:tc>
      </w:tr>
      <w:tr>
        <w:trPr>
          <w:trHeight w:val="175"/>
        </w:trPr>
        <w:tc>
          <w:tcPr>
            <w:tcW w:w="1700" w:type="dxa"/>
            <w:vAlign w:val="bottom"/>
            <w:shd w:val="clear" w:color="auto" w:fill="D5DEE8"/>
          </w:tcPr>
          <w:p>
            <w:pPr>
              <w:ind w:left="80"/>
              <w:spacing w:after="0"/>
              <w:rPr>
                <w:sz w:val="20"/>
                <w:szCs w:val="20"/>
                <w:color w:val="auto"/>
              </w:rPr>
            </w:pPr>
            <w:r>
              <w:rPr>
                <w:rFonts w:ascii="Arial" w:cs="Arial" w:eastAsia="Arial" w:hAnsi="Arial"/>
                <w:sz w:val="13"/>
                <w:szCs w:val="13"/>
                <w:b w:val="1"/>
                <w:bCs w:val="1"/>
                <w:color w:val="23628F"/>
              </w:rPr>
              <w:t>Severance Protections</w:t>
            </w:r>
          </w:p>
        </w:tc>
        <w:tc>
          <w:tcPr>
            <w:tcW w:w="9540" w:type="dxa"/>
            <w:vAlign w:val="bottom"/>
          </w:tcPr>
          <w:p>
            <w:pPr>
              <w:ind w:left="60"/>
              <w:spacing w:after="0"/>
              <w:rPr>
                <w:sz w:val="20"/>
                <w:szCs w:val="20"/>
                <w:color w:val="auto"/>
              </w:rPr>
            </w:pPr>
            <w:r>
              <w:rPr>
                <w:rFonts w:ascii="Arial" w:cs="Arial" w:eastAsia="Arial" w:hAnsi="Arial"/>
                <w:sz w:val="13"/>
                <w:szCs w:val="13"/>
                <w:color w:val="auto"/>
              </w:rPr>
              <w:t>Our philosophy is that, outside of a change in control context, severance protections are only appropriate in the event an executive is involuntarily terminated</w:t>
            </w:r>
          </w:p>
        </w:tc>
      </w:tr>
      <w:tr>
        <w:trPr>
          <w:trHeight w:val="148"/>
        </w:trPr>
        <w:tc>
          <w:tcPr>
            <w:tcW w:w="1700" w:type="dxa"/>
            <w:vAlign w:val="bottom"/>
            <w:shd w:val="clear" w:color="auto" w:fill="D5DEE8"/>
          </w:tcPr>
          <w:p>
            <w:pPr>
              <w:spacing w:after="0"/>
              <w:rPr>
                <w:sz w:val="12"/>
                <w:szCs w:val="12"/>
                <w:color w:val="auto"/>
              </w:rPr>
            </w:pPr>
          </w:p>
        </w:tc>
        <w:tc>
          <w:tcPr>
            <w:tcW w:w="9540" w:type="dxa"/>
            <w:vAlign w:val="bottom"/>
          </w:tcPr>
          <w:p>
            <w:pPr>
              <w:ind w:left="60"/>
              <w:spacing w:after="0"/>
              <w:rPr>
                <w:sz w:val="20"/>
                <w:szCs w:val="20"/>
                <w:color w:val="auto"/>
              </w:rPr>
            </w:pPr>
            <w:r>
              <w:rPr>
                <w:rFonts w:ascii="Arial" w:cs="Arial" w:eastAsia="Arial" w:hAnsi="Arial"/>
                <w:sz w:val="13"/>
                <w:szCs w:val="13"/>
                <w:color w:val="auto"/>
              </w:rPr>
              <w:t>without “cause.” We believe these severance benefits are appropriate in light of severance protections available to executives at our peer group companies</w:t>
            </w:r>
          </w:p>
        </w:tc>
      </w:tr>
      <w:tr>
        <w:trPr>
          <w:trHeight w:val="148"/>
        </w:trPr>
        <w:tc>
          <w:tcPr>
            <w:tcW w:w="1700" w:type="dxa"/>
            <w:vAlign w:val="bottom"/>
            <w:shd w:val="clear" w:color="auto" w:fill="D5DEE8"/>
          </w:tcPr>
          <w:p>
            <w:pPr>
              <w:spacing w:after="0"/>
              <w:rPr>
                <w:sz w:val="12"/>
                <w:szCs w:val="12"/>
                <w:color w:val="auto"/>
              </w:rPr>
            </w:pPr>
          </w:p>
        </w:tc>
        <w:tc>
          <w:tcPr>
            <w:tcW w:w="9540" w:type="dxa"/>
            <w:vAlign w:val="bottom"/>
          </w:tcPr>
          <w:p>
            <w:pPr>
              <w:ind w:left="60"/>
              <w:spacing w:after="0"/>
              <w:rPr>
                <w:sz w:val="20"/>
                <w:szCs w:val="20"/>
                <w:color w:val="auto"/>
              </w:rPr>
            </w:pPr>
            <w:r>
              <w:rPr>
                <w:rFonts w:ascii="Arial" w:cs="Arial" w:eastAsia="Arial" w:hAnsi="Arial"/>
                <w:sz w:val="13"/>
                <w:szCs w:val="13"/>
                <w:color w:val="auto"/>
              </w:rPr>
              <w:t>and are an important component of each executive’s overall compensation as they help us to attract and retain our key executives who could have other job</w:t>
            </w:r>
          </w:p>
        </w:tc>
      </w:tr>
      <w:tr>
        <w:trPr>
          <w:trHeight w:val="162"/>
        </w:trPr>
        <w:tc>
          <w:tcPr>
            <w:tcW w:w="1700" w:type="dxa"/>
            <w:vAlign w:val="bottom"/>
            <w:shd w:val="clear" w:color="auto" w:fill="D5DEE8"/>
          </w:tcPr>
          <w:p>
            <w:pPr>
              <w:spacing w:after="0"/>
              <w:rPr>
                <w:sz w:val="14"/>
                <w:szCs w:val="14"/>
                <w:color w:val="auto"/>
              </w:rPr>
            </w:pPr>
          </w:p>
        </w:tc>
        <w:tc>
          <w:tcPr>
            <w:tcW w:w="9540" w:type="dxa"/>
            <w:vAlign w:val="bottom"/>
          </w:tcPr>
          <w:p>
            <w:pPr>
              <w:ind w:left="60"/>
              <w:spacing w:after="0"/>
              <w:rPr>
                <w:sz w:val="20"/>
                <w:szCs w:val="20"/>
                <w:color w:val="auto"/>
              </w:rPr>
            </w:pPr>
            <w:r>
              <w:rPr>
                <w:rFonts w:ascii="Arial" w:cs="Arial" w:eastAsia="Arial" w:hAnsi="Arial"/>
                <w:sz w:val="13"/>
                <w:szCs w:val="13"/>
                <w:color w:val="auto"/>
              </w:rPr>
              <w:t>alternatives that may appear to them to be more attractive absent these protections.</w:t>
            </w:r>
          </w:p>
        </w:tc>
      </w:tr>
      <w:tr>
        <w:trPr>
          <w:trHeight w:val="351"/>
        </w:trPr>
        <w:tc>
          <w:tcPr>
            <w:tcW w:w="1700" w:type="dxa"/>
            <w:vAlign w:val="bottom"/>
            <w:shd w:val="clear" w:color="auto" w:fill="D5DEE8"/>
          </w:tcPr>
          <w:p>
            <w:pPr>
              <w:spacing w:after="0"/>
              <w:rPr>
                <w:sz w:val="24"/>
                <w:szCs w:val="24"/>
                <w:color w:val="auto"/>
              </w:rPr>
            </w:pPr>
          </w:p>
        </w:tc>
        <w:tc>
          <w:tcPr>
            <w:tcW w:w="9540" w:type="dxa"/>
            <w:vAlign w:val="bottom"/>
          </w:tcPr>
          <w:p>
            <w:pPr>
              <w:ind w:left="60"/>
              <w:spacing w:after="0"/>
              <w:rPr>
                <w:sz w:val="20"/>
                <w:szCs w:val="20"/>
                <w:color w:val="auto"/>
              </w:rPr>
            </w:pPr>
            <w:r>
              <w:rPr>
                <w:rFonts w:ascii="Arial" w:cs="Arial" w:eastAsia="Arial" w:hAnsi="Arial"/>
                <w:sz w:val="13"/>
                <w:szCs w:val="13"/>
                <w:color w:val="auto"/>
              </w:rPr>
              <w:t>Please see the section entitled “Executive Compensation Tables and Narratives—Potential Payments upon Termination or Change in Control” for a</w:t>
            </w:r>
          </w:p>
        </w:tc>
      </w:tr>
      <w:tr>
        <w:trPr>
          <w:trHeight w:val="148"/>
        </w:trPr>
        <w:tc>
          <w:tcPr>
            <w:tcW w:w="1700" w:type="dxa"/>
            <w:vAlign w:val="bottom"/>
            <w:shd w:val="clear" w:color="auto" w:fill="D5DEE8"/>
          </w:tcPr>
          <w:p>
            <w:pPr>
              <w:spacing w:after="0"/>
              <w:rPr>
                <w:sz w:val="12"/>
                <w:szCs w:val="12"/>
                <w:color w:val="auto"/>
              </w:rPr>
            </w:pPr>
          </w:p>
        </w:tc>
        <w:tc>
          <w:tcPr>
            <w:tcW w:w="9540" w:type="dxa"/>
            <w:vAlign w:val="bottom"/>
          </w:tcPr>
          <w:p>
            <w:pPr>
              <w:ind w:left="60"/>
              <w:spacing w:after="0"/>
              <w:rPr>
                <w:sz w:val="20"/>
                <w:szCs w:val="20"/>
                <w:color w:val="auto"/>
              </w:rPr>
            </w:pPr>
            <w:r>
              <w:rPr>
                <w:rFonts w:ascii="Arial" w:cs="Arial" w:eastAsia="Arial" w:hAnsi="Arial"/>
                <w:sz w:val="13"/>
                <w:szCs w:val="13"/>
                <w:color w:val="auto"/>
              </w:rPr>
              <w:t>description and quantification of the potential payments that may be made to our named executive officers in connection with their termination of employment</w:t>
            </w:r>
          </w:p>
        </w:tc>
      </w:tr>
      <w:tr>
        <w:trPr>
          <w:trHeight w:val="170"/>
        </w:trPr>
        <w:tc>
          <w:tcPr>
            <w:tcW w:w="1700" w:type="dxa"/>
            <w:vAlign w:val="bottom"/>
            <w:tcBorders>
              <w:bottom w:val="single" w:sz="8" w:color="959595"/>
            </w:tcBorders>
            <w:shd w:val="clear" w:color="auto" w:fill="D5DEE8"/>
          </w:tcPr>
          <w:p>
            <w:pPr>
              <w:spacing w:after="0"/>
              <w:rPr>
                <w:sz w:val="14"/>
                <w:szCs w:val="14"/>
                <w:color w:val="auto"/>
              </w:rPr>
            </w:pPr>
          </w:p>
        </w:tc>
        <w:tc>
          <w:tcPr>
            <w:tcW w:w="9540" w:type="dxa"/>
            <w:vAlign w:val="bottom"/>
            <w:tcBorders>
              <w:bottom w:val="single" w:sz="8" w:color="959595"/>
            </w:tcBorders>
          </w:tcPr>
          <w:p>
            <w:pPr>
              <w:ind w:left="60"/>
              <w:spacing w:after="0"/>
              <w:rPr>
                <w:sz w:val="20"/>
                <w:szCs w:val="20"/>
                <w:color w:val="auto"/>
              </w:rPr>
            </w:pPr>
            <w:r>
              <w:rPr>
                <w:rFonts w:ascii="Arial" w:cs="Arial" w:eastAsia="Arial" w:hAnsi="Arial"/>
                <w:sz w:val="13"/>
                <w:szCs w:val="13"/>
                <w:color w:val="auto"/>
              </w:rPr>
              <w:t>or a change in control.</w:t>
            </w:r>
          </w:p>
        </w:tc>
      </w:tr>
    </w:tbl>
    <w:p>
      <w:pPr>
        <w:spacing w:after="0" w:line="211" w:lineRule="exact"/>
        <w:rPr>
          <w:sz w:val="20"/>
          <w:szCs w:val="20"/>
          <w:color w:val="auto"/>
        </w:rPr>
      </w:pPr>
    </w:p>
    <w:p>
      <w:pPr>
        <w:ind w:left="440" w:hanging="432"/>
        <w:spacing w:after="0"/>
        <w:tabs>
          <w:tab w:leader="none" w:pos="440" w:val="left"/>
        </w:tabs>
        <w:numPr>
          <w:ilvl w:val="0"/>
          <w:numId w:val="192"/>
        </w:numPr>
        <w:rPr>
          <w:rFonts w:ascii="Arial" w:cs="Arial" w:eastAsia="Arial" w:hAnsi="Arial"/>
          <w:sz w:val="18"/>
          <w:szCs w:val="18"/>
          <w:b w:val="1"/>
          <w:bCs w:val="1"/>
          <w:color w:val="23628F"/>
        </w:rPr>
      </w:pPr>
      <w:r>
        <w:rPr>
          <w:rFonts w:ascii="Arial" w:cs="Arial" w:eastAsia="Arial" w:hAnsi="Arial"/>
          <w:sz w:val="13"/>
          <w:szCs w:val="13"/>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153275" cy="209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9560" w:type="dxa"/>
            <w:vAlign w:val="bottom"/>
            <w:gridSpan w:val="3"/>
          </w:tcPr>
          <w:p>
            <w:pPr>
              <w:jc w:val="right"/>
              <w:ind w:right="20"/>
              <w:spacing w:after="0"/>
              <w:rPr>
                <w:sz w:val="20"/>
                <w:szCs w:val="20"/>
                <w:color w:val="auto"/>
              </w:rPr>
            </w:pPr>
            <w:r>
              <w:rPr>
                <w:rFonts w:ascii="Arial" w:cs="Arial" w:eastAsia="Arial" w:hAnsi="Arial"/>
                <w:sz w:val="13"/>
                <w:szCs w:val="13"/>
                <w:color w:val="23628F"/>
              </w:rPr>
              <w:t>COMPENSATION DISCUSSION AND ANALYSIS</w:t>
            </w:r>
          </w:p>
        </w:tc>
      </w:tr>
      <w:tr>
        <w:trPr>
          <w:trHeight w:val="203"/>
        </w:trPr>
        <w:tc>
          <w:tcPr>
            <w:tcW w:w="1700" w:type="dxa"/>
            <w:vAlign w:val="bottom"/>
            <w:tcBorders>
              <w:bottom w:val="single" w:sz="8" w:color="959595"/>
            </w:tcBorders>
          </w:tcPr>
          <w:p>
            <w:pPr>
              <w:spacing w:after="0"/>
              <w:rPr>
                <w:sz w:val="17"/>
                <w:szCs w:val="17"/>
                <w:color w:val="auto"/>
              </w:rPr>
            </w:pPr>
          </w:p>
        </w:tc>
        <w:tc>
          <w:tcPr>
            <w:tcW w:w="9340" w:type="dxa"/>
            <w:vAlign w:val="bottom"/>
            <w:tcBorders>
              <w:bottom w:val="single" w:sz="8" w:color="959595"/>
            </w:tcBorders>
          </w:tcPr>
          <w:p>
            <w:pPr>
              <w:spacing w:after="0"/>
              <w:rPr>
                <w:sz w:val="17"/>
                <w:szCs w:val="17"/>
                <w:color w:val="auto"/>
              </w:rPr>
            </w:pPr>
          </w:p>
        </w:tc>
        <w:tc>
          <w:tcPr>
            <w:tcW w:w="200" w:type="dxa"/>
            <w:vAlign w:val="bottom"/>
            <w:tcBorders>
              <w:bottom w:val="single" w:sz="8" w:color="959595"/>
            </w:tcBorders>
          </w:tcPr>
          <w:p>
            <w:pPr>
              <w:spacing w:after="0"/>
              <w:rPr>
                <w:sz w:val="17"/>
                <w:szCs w:val="17"/>
                <w:color w:val="auto"/>
              </w:rPr>
            </w:pPr>
          </w:p>
        </w:tc>
        <w:tc>
          <w:tcPr>
            <w:tcW w:w="20" w:type="dxa"/>
            <w:vAlign w:val="bottom"/>
          </w:tcPr>
          <w:p>
            <w:pPr>
              <w:spacing w:after="0"/>
              <w:rPr>
                <w:sz w:val="17"/>
                <w:szCs w:val="17"/>
                <w:color w:val="auto"/>
              </w:rPr>
            </w:pPr>
          </w:p>
        </w:tc>
      </w:tr>
      <w:tr>
        <w:trPr>
          <w:trHeight w:val="152"/>
        </w:trPr>
        <w:tc>
          <w:tcPr>
            <w:tcW w:w="1700" w:type="dxa"/>
            <w:vAlign w:val="bottom"/>
            <w:shd w:val="clear" w:color="auto" w:fill="D5DEE8"/>
          </w:tcPr>
          <w:p>
            <w:pPr>
              <w:ind w:left="80"/>
              <w:spacing w:after="0"/>
              <w:rPr>
                <w:sz w:val="20"/>
                <w:szCs w:val="20"/>
                <w:color w:val="auto"/>
              </w:rPr>
            </w:pPr>
            <w:r>
              <w:rPr>
                <w:rFonts w:ascii="Arial" w:cs="Arial" w:eastAsia="Arial" w:hAnsi="Arial"/>
                <w:sz w:val="13"/>
                <w:szCs w:val="13"/>
                <w:b w:val="1"/>
                <w:bCs w:val="1"/>
                <w:color w:val="23628F"/>
              </w:rPr>
              <w:t>Change in</w:t>
            </w:r>
          </w:p>
        </w:tc>
        <w:tc>
          <w:tcPr>
            <w:tcW w:w="9340" w:type="dxa"/>
            <w:vAlign w:val="bottom"/>
          </w:tcPr>
          <w:p>
            <w:pPr>
              <w:ind w:left="60"/>
              <w:spacing w:after="0"/>
              <w:rPr>
                <w:sz w:val="20"/>
                <w:szCs w:val="20"/>
                <w:color w:val="auto"/>
              </w:rPr>
            </w:pPr>
            <w:r>
              <w:rPr>
                <w:rFonts w:ascii="Arial" w:cs="Arial" w:eastAsia="Arial" w:hAnsi="Arial"/>
                <w:sz w:val="13"/>
                <w:szCs w:val="13"/>
                <w:color w:val="auto"/>
              </w:rPr>
              <w:t>We believe that the occurrence or potential occurrence of a change in control transaction will create uncertainty regarding the continued employment of our</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4"/>
        </w:trPr>
        <w:tc>
          <w:tcPr>
            <w:tcW w:w="1700" w:type="dxa"/>
            <w:vAlign w:val="bottom"/>
            <w:shd w:val="clear" w:color="auto" w:fill="D5DEE8"/>
          </w:tcPr>
          <w:p>
            <w:pPr>
              <w:ind w:left="80"/>
              <w:spacing w:after="0"/>
              <w:rPr>
                <w:sz w:val="20"/>
                <w:szCs w:val="20"/>
                <w:color w:val="auto"/>
              </w:rPr>
            </w:pPr>
            <w:r>
              <w:rPr>
                <w:rFonts w:ascii="Arial" w:cs="Arial" w:eastAsia="Arial" w:hAnsi="Arial"/>
                <w:sz w:val="13"/>
                <w:szCs w:val="13"/>
                <w:b w:val="1"/>
                <w:bCs w:val="1"/>
                <w:color w:val="23628F"/>
              </w:rPr>
              <w:t>Control Protections</w:t>
            </w:r>
          </w:p>
        </w:tc>
        <w:tc>
          <w:tcPr>
            <w:tcW w:w="9340" w:type="dxa"/>
            <w:vAlign w:val="bottom"/>
          </w:tcPr>
          <w:p>
            <w:pPr>
              <w:ind w:left="60"/>
              <w:spacing w:after="0"/>
              <w:rPr>
                <w:sz w:val="20"/>
                <w:szCs w:val="20"/>
                <w:color w:val="auto"/>
              </w:rPr>
            </w:pPr>
            <w:r>
              <w:rPr>
                <w:rFonts w:ascii="Arial" w:cs="Arial" w:eastAsia="Arial" w:hAnsi="Arial"/>
                <w:sz w:val="13"/>
                <w:szCs w:val="13"/>
                <w:color w:val="auto"/>
              </w:rPr>
              <w:t>executive officers. This uncertainty results from the fact that many change in control transactions result in significant organizational changes, particularly at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8"/>
        </w:trPr>
        <w:tc>
          <w:tcPr>
            <w:tcW w:w="1700" w:type="dxa"/>
            <w:vAlign w:val="bottom"/>
            <w:shd w:val="clear" w:color="auto" w:fill="D5DEE8"/>
          </w:tcPr>
          <w:p>
            <w:pPr>
              <w:spacing w:after="0"/>
              <w:rPr>
                <w:sz w:val="12"/>
                <w:szCs w:val="12"/>
                <w:color w:val="auto"/>
              </w:rPr>
            </w:pPr>
          </w:p>
        </w:tc>
        <w:tc>
          <w:tcPr>
            <w:tcW w:w="9340" w:type="dxa"/>
            <w:vAlign w:val="bottom"/>
          </w:tcPr>
          <w:p>
            <w:pPr>
              <w:ind w:left="60"/>
              <w:spacing w:after="0"/>
              <w:rPr>
                <w:sz w:val="20"/>
                <w:szCs w:val="20"/>
                <w:color w:val="auto"/>
              </w:rPr>
            </w:pPr>
            <w:r>
              <w:rPr>
                <w:rFonts w:ascii="Arial" w:cs="Arial" w:eastAsia="Arial" w:hAnsi="Arial"/>
                <w:sz w:val="13"/>
                <w:szCs w:val="13"/>
                <w:color w:val="auto"/>
              </w:rPr>
              <w:t>the senior executive level. To encourage executives to remain employed with us during an important time when their prospects for continued employment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1700" w:type="dxa"/>
            <w:vAlign w:val="bottom"/>
            <w:shd w:val="clear" w:color="auto" w:fill="D5DEE8"/>
          </w:tcPr>
          <w:p>
            <w:pPr>
              <w:spacing w:after="0"/>
              <w:rPr>
                <w:sz w:val="12"/>
                <w:szCs w:val="12"/>
                <w:color w:val="auto"/>
              </w:rPr>
            </w:pPr>
          </w:p>
        </w:tc>
        <w:tc>
          <w:tcPr>
            <w:tcW w:w="9340" w:type="dxa"/>
            <w:vAlign w:val="bottom"/>
          </w:tcPr>
          <w:p>
            <w:pPr>
              <w:ind w:left="60"/>
              <w:spacing w:after="0"/>
              <w:rPr>
                <w:sz w:val="20"/>
                <w:szCs w:val="20"/>
                <w:color w:val="auto"/>
              </w:rPr>
            </w:pPr>
            <w:r>
              <w:rPr>
                <w:rFonts w:ascii="Arial" w:cs="Arial" w:eastAsia="Arial" w:hAnsi="Arial"/>
                <w:sz w:val="13"/>
                <w:szCs w:val="13"/>
                <w:color w:val="auto"/>
              </w:rPr>
              <w:t>following the transaction are often uncertain, we provide our executives with additional severance protections under our Change of Control Severance Plan.</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700" w:type="dxa"/>
            <w:vAlign w:val="bottom"/>
            <w:shd w:val="clear" w:color="auto" w:fill="D5DEE8"/>
          </w:tcPr>
          <w:p>
            <w:pPr>
              <w:spacing w:after="0"/>
              <w:rPr>
                <w:sz w:val="12"/>
                <w:szCs w:val="12"/>
                <w:color w:val="auto"/>
              </w:rPr>
            </w:pPr>
          </w:p>
        </w:tc>
        <w:tc>
          <w:tcPr>
            <w:tcW w:w="9340" w:type="dxa"/>
            <w:vAlign w:val="bottom"/>
          </w:tcPr>
          <w:p>
            <w:pPr>
              <w:ind w:left="60"/>
              <w:spacing w:after="0"/>
              <w:rPr>
                <w:sz w:val="20"/>
                <w:szCs w:val="20"/>
                <w:color w:val="auto"/>
              </w:rPr>
            </w:pPr>
            <w:r>
              <w:rPr>
                <w:rFonts w:ascii="Arial" w:cs="Arial" w:eastAsia="Arial" w:hAnsi="Arial"/>
                <w:sz w:val="13"/>
                <w:szCs w:val="13"/>
                <w:color w:val="auto"/>
              </w:rPr>
              <w:t>We also provide these severance protections to help ensure that executives can objectively evaluate change in control transactions that may be in the best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2"/>
        </w:trPr>
        <w:tc>
          <w:tcPr>
            <w:tcW w:w="1700" w:type="dxa"/>
            <w:vAlign w:val="bottom"/>
            <w:shd w:val="clear" w:color="auto" w:fill="D5DEE8"/>
          </w:tcPr>
          <w:p>
            <w:pPr>
              <w:spacing w:after="0"/>
              <w:rPr>
                <w:sz w:val="14"/>
                <w:szCs w:val="14"/>
                <w:color w:val="auto"/>
              </w:rPr>
            </w:pPr>
          </w:p>
        </w:tc>
        <w:tc>
          <w:tcPr>
            <w:tcW w:w="9340" w:type="dxa"/>
            <w:vAlign w:val="bottom"/>
          </w:tcPr>
          <w:p>
            <w:pPr>
              <w:ind w:left="60"/>
              <w:spacing w:after="0"/>
              <w:rPr>
                <w:sz w:val="20"/>
                <w:szCs w:val="20"/>
                <w:color w:val="auto"/>
              </w:rPr>
            </w:pPr>
            <w:r>
              <w:rPr>
                <w:rFonts w:ascii="Arial" w:cs="Arial" w:eastAsia="Arial" w:hAnsi="Arial"/>
                <w:sz w:val="13"/>
                <w:szCs w:val="13"/>
                <w:color w:val="auto"/>
              </w:rPr>
              <w:t>interests of stockholders despite the potential negative consequences such transactions may have on them personally.</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51"/>
        </w:trPr>
        <w:tc>
          <w:tcPr>
            <w:tcW w:w="1700" w:type="dxa"/>
            <w:vAlign w:val="bottom"/>
            <w:shd w:val="clear" w:color="auto" w:fill="D5DEE8"/>
          </w:tcPr>
          <w:p>
            <w:pPr>
              <w:spacing w:after="0"/>
              <w:rPr>
                <w:sz w:val="24"/>
                <w:szCs w:val="24"/>
                <w:color w:val="auto"/>
              </w:rPr>
            </w:pPr>
          </w:p>
        </w:tc>
        <w:tc>
          <w:tcPr>
            <w:tcW w:w="9340" w:type="dxa"/>
            <w:vAlign w:val="bottom"/>
          </w:tcPr>
          <w:p>
            <w:pPr>
              <w:ind w:left="60"/>
              <w:spacing w:after="0"/>
              <w:rPr>
                <w:sz w:val="20"/>
                <w:szCs w:val="20"/>
                <w:color w:val="auto"/>
              </w:rPr>
            </w:pPr>
            <w:r>
              <w:rPr>
                <w:rFonts w:ascii="Arial" w:cs="Arial" w:eastAsia="Arial" w:hAnsi="Arial"/>
                <w:sz w:val="13"/>
                <w:szCs w:val="13"/>
                <w:color w:val="auto"/>
              </w:rPr>
              <w:t>Please see the section entitled “Executive Compensation Tables and Narratives—Potential Payments upon Termination or Change in Control” for a</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8"/>
        </w:trPr>
        <w:tc>
          <w:tcPr>
            <w:tcW w:w="1700" w:type="dxa"/>
            <w:vAlign w:val="bottom"/>
            <w:shd w:val="clear" w:color="auto" w:fill="D5DEE8"/>
          </w:tcPr>
          <w:p>
            <w:pPr>
              <w:spacing w:after="0"/>
              <w:rPr>
                <w:sz w:val="12"/>
                <w:szCs w:val="12"/>
                <w:color w:val="auto"/>
              </w:rPr>
            </w:pPr>
          </w:p>
        </w:tc>
        <w:tc>
          <w:tcPr>
            <w:tcW w:w="9560" w:type="dxa"/>
            <w:vAlign w:val="bottom"/>
            <w:gridSpan w:val="3"/>
          </w:tcPr>
          <w:p>
            <w:pPr>
              <w:ind w:left="60"/>
              <w:spacing w:after="0"/>
              <w:rPr>
                <w:sz w:val="20"/>
                <w:szCs w:val="20"/>
                <w:color w:val="auto"/>
              </w:rPr>
            </w:pPr>
            <w:r>
              <w:rPr>
                <w:rFonts w:ascii="Arial" w:cs="Arial" w:eastAsia="Arial" w:hAnsi="Arial"/>
                <w:sz w:val="13"/>
                <w:szCs w:val="13"/>
                <w:color w:val="auto"/>
              </w:rPr>
              <w:t>description and quantification of the potential payments that may be made to our named executive officers in connection with their termination of employment</w:t>
            </w:r>
          </w:p>
        </w:tc>
      </w:tr>
      <w:tr>
        <w:trPr>
          <w:trHeight w:val="170"/>
        </w:trPr>
        <w:tc>
          <w:tcPr>
            <w:tcW w:w="1700" w:type="dxa"/>
            <w:vAlign w:val="bottom"/>
            <w:tcBorders>
              <w:bottom w:val="single" w:sz="8" w:color="959595"/>
            </w:tcBorders>
            <w:shd w:val="clear" w:color="auto" w:fill="D5DEE8"/>
          </w:tcPr>
          <w:p>
            <w:pPr>
              <w:spacing w:after="0"/>
              <w:rPr>
                <w:sz w:val="14"/>
                <w:szCs w:val="14"/>
                <w:color w:val="auto"/>
              </w:rPr>
            </w:pPr>
          </w:p>
        </w:tc>
        <w:tc>
          <w:tcPr>
            <w:tcW w:w="9340" w:type="dxa"/>
            <w:vAlign w:val="bottom"/>
            <w:tcBorders>
              <w:bottom w:val="single" w:sz="8" w:color="959595"/>
            </w:tcBorders>
          </w:tcPr>
          <w:p>
            <w:pPr>
              <w:ind w:left="60"/>
              <w:spacing w:after="0"/>
              <w:rPr>
                <w:sz w:val="20"/>
                <w:szCs w:val="20"/>
                <w:color w:val="auto"/>
              </w:rPr>
            </w:pPr>
            <w:r>
              <w:rPr>
                <w:rFonts w:ascii="Arial" w:cs="Arial" w:eastAsia="Arial" w:hAnsi="Arial"/>
                <w:sz w:val="13"/>
                <w:szCs w:val="13"/>
                <w:color w:val="auto"/>
              </w:rPr>
              <w:t>or a change in control.</w:t>
            </w:r>
          </w:p>
        </w:tc>
        <w:tc>
          <w:tcPr>
            <w:tcW w:w="200" w:type="dxa"/>
            <w:vAlign w:val="bottom"/>
            <w:tcBorders>
              <w:bottom w:val="single" w:sz="8" w:color="959595"/>
            </w:tcBorders>
          </w:tcPr>
          <w:p>
            <w:pPr>
              <w:spacing w:after="0"/>
              <w:rPr>
                <w:sz w:val="14"/>
                <w:szCs w:val="14"/>
                <w:color w:val="auto"/>
              </w:rPr>
            </w:pPr>
          </w:p>
        </w:tc>
        <w:tc>
          <w:tcPr>
            <w:tcW w:w="20" w:type="dxa"/>
            <w:vAlign w:val="bottom"/>
          </w:tcPr>
          <w:p>
            <w:pPr>
              <w:spacing w:after="0"/>
              <w:rPr>
                <w:sz w:val="14"/>
                <w:szCs w:val="14"/>
                <w:color w:val="auto"/>
              </w:rPr>
            </w:pPr>
          </w:p>
        </w:tc>
      </w:tr>
      <w:tr>
        <w:trPr>
          <w:trHeight w:val="159"/>
        </w:trPr>
        <w:tc>
          <w:tcPr>
            <w:tcW w:w="1700" w:type="dxa"/>
            <w:vAlign w:val="bottom"/>
            <w:shd w:val="clear" w:color="auto" w:fill="D5DEE8"/>
          </w:tcPr>
          <w:p>
            <w:pPr>
              <w:ind w:left="80"/>
              <w:spacing w:after="0"/>
              <w:rPr>
                <w:sz w:val="20"/>
                <w:szCs w:val="20"/>
                <w:color w:val="auto"/>
              </w:rPr>
            </w:pPr>
            <w:r>
              <w:rPr>
                <w:rFonts w:ascii="Arial" w:cs="Arial" w:eastAsia="Arial" w:hAnsi="Arial"/>
                <w:sz w:val="13"/>
                <w:szCs w:val="13"/>
                <w:b w:val="1"/>
                <w:bCs w:val="1"/>
                <w:color w:val="23628F"/>
              </w:rPr>
              <w:t>Employment</w:t>
            </w:r>
          </w:p>
        </w:tc>
        <w:tc>
          <w:tcPr>
            <w:tcW w:w="9340" w:type="dxa"/>
            <w:vAlign w:val="bottom"/>
          </w:tcPr>
          <w:p>
            <w:pPr>
              <w:ind w:left="60"/>
              <w:spacing w:after="0"/>
              <w:rPr>
                <w:sz w:val="20"/>
                <w:szCs w:val="20"/>
                <w:color w:val="auto"/>
              </w:rPr>
            </w:pPr>
            <w:r>
              <w:rPr>
                <w:rFonts w:ascii="Arial" w:cs="Arial" w:eastAsia="Arial" w:hAnsi="Arial"/>
                <w:sz w:val="13"/>
                <w:szCs w:val="13"/>
                <w:color w:val="auto"/>
              </w:rPr>
              <w:t>The Compensation and Talent Committee does not have an established policy for entering into employment agreements with executive officers. Generally,</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4"/>
        </w:trPr>
        <w:tc>
          <w:tcPr>
            <w:tcW w:w="1700" w:type="dxa"/>
            <w:vAlign w:val="bottom"/>
            <w:shd w:val="clear" w:color="auto" w:fill="D5DEE8"/>
          </w:tcPr>
          <w:p>
            <w:pPr>
              <w:ind w:left="80"/>
              <w:spacing w:after="0"/>
              <w:rPr>
                <w:sz w:val="20"/>
                <w:szCs w:val="20"/>
                <w:color w:val="auto"/>
              </w:rPr>
            </w:pPr>
            <w:r>
              <w:rPr>
                <w:rFonts w:ascii="Arial" w:cs="Arial" w:eastAsia="Arial" w:hAnsi="Arial"/>
                <w:sz w:val="13"/>
                <w:szCs w:val="13"/>
                <w:b w:val="1"/>
                <w:bCs w:val="1"/>
                <w:color w:val="23628F"/>
              </w:rPr>
              <w:t>Agreements</w:t>
            </w:r>
          </w:p>
        </w:tc>
        <w:tc>
          <w:tcPr>
            <w:tcW w:w="9340" w:type="dxa"/>
            <w:vAlign w:val="bottom"/>
          </w:tcPr>
          <w:p>
            <w:pPr>
              <w:ind w:left="60"/>
              <w:spacing w:after="0"/>
              <w:rPr>
                <w:sz w:val="20"/>
                <w:szCs w:val="20"/>
                <w:color w:val="auto"/>
              </w:rPr>
            </w:pPr>
            <w:r>
              <w:rPr>
                <w:rFonts w:ascii="Arial" w:cs="Arial" w:eastAsia="Arial" w:hAnsi="Arial"/>
                <w:sz w:val="13"/>
                <w:szCs w:val="13"/>
                <w:color w:val="auto"/>
              </w:rPr>
              <w:t>absent other factors, the Compensation and Talent Committee’s intent is to retain the flexibility to review and adjust compensation for our executive officers</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0"/>
        </w:trPr>
        <w:tc>
          <w:tcPr>
            <w:tcW w:w="1700" w:type="dxa"/>
            <w:vAlign w:val="bottom"/>
            <w:tcBorders>
              <w:bottom w:val="single" w:sz="8" w:color="959595"/>
            </w:tcBorders>
            <w:shd w:val="clear" w:color="auto" w:fill="D5DEE8"/>
          </w:tcPr>
          <w:p>
            <w:pPr>
              <w:spacing w:after="0"/>
              <w:rPr>
                <w:sz w:val="14"/>
                <w:szCs w:val="14"/>
                <w:color w:val="auto"/>
              </w:rPr>
            </w:pPr>
          </w:p>
        </w:tc>
        <w:tc>
          <w:tcPr>
            <w:tcW w:w="9340" w:type="dxa"/>
            <w:vAlign w:val="bottom"/>
            <w:tcBorders>
              <w:bottom w:val="single" w:sz="8" w:color="959595"/>
            </w:tcBorders>
          </w:tcPr>
          <w:p>
            <w:pPr>
              <w:ind w:left="60"/>
              <w:spacing w:after="0"/>
              <w:rPr>
                <w:sz w:val="20"/>
                <w:szCs w:val="20"/>
                <w:color w:val="auto"/>
              </w:rPr>
            </w:pPr>
            <w:r>
              <w:rPr>
                <w:rFonts w:ascii="Arial" w:cs="Arial" w:eastAsia="Arial" w:hAnsi="Arial"/>
                <w:sz w:val="13"/>
                <w:szCs w:val="13"/>
                <w:color w:val="auto"/>
              </w:rPr>
              <w:t>on at least an annual basis. None of our executive officers is currently party to an employment agreement with us.</w:t>
            </w:r>
          </w:p>
        </w:tc>
        <w:tc>
          <w:tcPr>
            <w:tcW w:w="200" w:type="dxa"/>
            <w:vAlign w:val="bottom"/>
            <w:tcBorders>
              <w:bottom w:val="single" w:sz="8" w:color="959595"/>
            </w:tcBorders>
          </w:tcPr>
          <w:p>
            <w:pPr>
              <w:spacing w:after="0"/>
              <w:rPr>
                <w:sz w:val="14"/>
                <w:szCs w:val="14"/>
                <w:color w:val="auto"/>
              </w:rPr>
            </w:pPr>
          </w:p>
        </w:tc>
        <w:tc>
          <w:tcPr>
            <w:tcW w:w="20" w:type="dxa"/>
            <w:vAlign w:val="bottom"/>
          </w:tcPr>
          <w:p>
            <w:pPr>
              <w:spacing w:after="0"/>
              <w:rPr>
                <w:sz w:val="14"/>
                <w:szCs w:val="14"/>
                <w:color w:val="auto"/>
              </w:rPr>
            </w:pPr>
          </w:p>
        </w:tc>
      </w:tr>
      <w:tr>
        <w:trPr>
          <w:trHeight w:val="159"/>
        </w:trPr>
        <w:tc>
          <w:tcPr>
            <w:tcW w:w="1700" w:type="dxa"/>
            <w:vAlign w:val="bottom"/>
            <w:shd w:val="clear" w:color="auto" w:fill="D5DEE8"/>
          </w:tcPr>
          <w:p>
            <w:pPr>
              <w:ind w:left="80"/>
              <w:spacing w:after="0"/>
              <w:rPr>
                <w:sz w:val="20"/>
                <w:szCs w:val="20"/>
                <w:color w:val="auto"/>
              </w:rPr>
            </w:pPr>
            <w:r>
              <w:rPr>
                <w:rFonts w:ascii="Arial" w:cs="Arial" w:eastAsia="Arial" w:hAnsi="Arial"/>
                <w:sz w:val="13"/>
                <w:szCs w:val="13"/>
                <w:b w:val="1"/>
                <w:bCs w:val="1"/>
                <w:color w:val="23628F"/>
              </w:rPr>
              <w:t>Compensation</w:t>
            </w:r>
          </w:p>
        </w:tc>
        <w:tc>
          <w:tcPr>
            <w:tcW w:w="9340" w:type="dxa"/>
            <w:vAlign w:val="bottom"/>
          </w:tcPr>
          <w:p>
            <w:pPr>
              <w:ind w:left="60"/>
              <w:spacing w:after="0"/>
              <w:rPr>
                <w:sz w:val="20"/>
                <w:szCs w:val="20"/>
                <w:color w:val="auto"/>
              </w:rPr>
            </w:pPr>
            <w:r>
              <w:rPr>
                <w:rFonts w:ascii="Arial" w:cs="Arial" w:eastAsia="Arial" w:hAnsi="Arial"/>
                <w:sz w:val="13"/>
                <w:szCs w:val="13"/>
                <w:color w:val="auto"/>
              </w:rPr>
              <w:t>Our Board of Directors previously adopted by resolution a compensation recovery (clawback) policy whereby in the event of a restatement of our audited</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8"/>
        </w:trPr>
        <w:tc>
          <w:tcPr>
            <w:tcW w:w="1700" w:type="dxa"/>
            <w:vAlign w:val="bottom"/>
            <w:shd w:val="clear" w:color="auto" w:fill="D5DEE8"/>
          </w:tcPr>
          <w:p>
            <w:pPr>
              <w:ind w:left="80"/>
              <w:spacing w:after="0"/>
              <w:rPr>
                <w:sz w:val="20"/>
                <w:szCs w:val="20"/>
                <w:color w:val="auto"/>
              </w:rPr>
            </w:pPr>
            <w:r>
              <w:rPr>
                <w:rFonts w:ascii="Arial" w:cs="Arial" w:eastAsia="Arial" w:hAnsi="Arial"/>
                <w:sz w:val="13"/>
                <w:szCs w:val="13"/>
                <w:b w:val="1"/>
                <w:bCs w:val="1"/>
                <w:color w:val="23628F"/>
              </w:rPr>
              <w:t>Recovery</w:t>
            </w:r>
          </w:p>
        </w:tc>
        <w:tc>
          <w:tcPr>
            <w:tcW w:w="9340" w:type="dxa"/>
            <w:vAlign w:val="bottom"/>
          </w:tcPr>
          <w:p>
            <w:pPr>
              <w:ind w:left="60"/>
              <w:spacing w:after="0"/>
              <w:rPr>
                <w:sz w:val="20"/>
                <w:szCs w:val="20"/>
                <w:color w:val="auto"/>
              </w:rPr>
            </w:pPr>
            <w:r>
              <w:rPr>
                <w:rFonts w:ascii="Arial" w:cs="Arial" w:eastAsia="Arial" w:hAnsi="Arial"/>
                <w:sz w:val="13"/>
                <w:szCs w:val="13"/>
                <w:color w:val="auto"/>
              </w:rPr>
              <w:t>financial statements involving misconduct by an executive officer, a Board committee will consider whether such officer engaged in intentional financial</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5"/>
        </w:trPr>
        <w:tc>
          <w:tcPr>
            <w:tcW w:w="1700" w:type="dxa"/>
            <w:vAlign w:val="bottom"/>
            <w:shd w:val="clear" w:color="auto" w:fill="D5DEE8"/>
          </w:tcPr>
          <w:p>
            <w:pPr>
              <w:ind w:left="80"/>
              <w:spacing w:after="0"/>
              <w:rPr>
                <w:sz w:val="20"/>
                <w:szCs w:val="20"/>
                <w:color w:val="auto"/>
              </w:rPr>
            </w:pPr>
            <w:r>
              <w:rPr>
                <w:rFonts w:ascii="Arial" w:cs="Arial" w:eastAsia="Arial" w:hAnsi="Arial"/>
                <w:sz w:val="13"/>
                <w:szCs w:val="13"/>
                <w:b w:val="1"/>
                <w:bCs w:val="1"/>
                <w:color w:val="23628F"/>
              </w:rPr>
              <w:t>(Clawback) Policy</w:t>
            </w:r>
          </w:p>
        </w:tc>
        <w:tc>
          <w:tcPr>
            <w:tcW w:w="9340" w:type="dxa"/>
            <w:vAlign w:val="bottom"/>
          </w:tcPr>
          <w:p>
            <w:pPr>
              <w:ind w:left="60"/>
              <w:spacing w:after="0"/>
              <w:rPr>
                <w:sz w:val="20"/>
                <w:szCs w:val="20"/>
                <w:color w:val="auto"/>
              </w:rPr>
            </w:pPr>
            <w:r>
              <w:rPr>
                <w:rFonts w:ascii="Arial" w:cs="Arial" w:eastAsia="Arial" w:hAnsi="Arial"/>
                <w:sz w:val="13"/>
                <w:szCs w:val="13"/>
                <w:color w:val="auto"/>
              </w:rPr>
              <w:t>accounting misconduct such that the officer should disgorge any equity award proceeds (including PSUs, RSUs and stock options) or cash bonuses</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0"/>
        </w:trPr>
        <w:tc>
          <w:tcPr>
            <w:tcW w:w="1700" w:type="dxa"/>
            <w:vAlign w:val="bottom"/>
            <w:tcBorders>
              <w:bottom w:val="single" w:sz="8" w:color="959595"/>
            </w:tcBorders>
            <w:shd w:val="clear" w:color="auto" w:fill="D5DEE8"/>
          </w:tcPr>
          <w:p>
            <w:pPr>
              <w:spacing w:after="0"/>
              <w:rPr>
                <w:sz w:val="14"/>
                <w:szCs w:val="14"/>
                <w:color w:val="auto"/>
              </w:rPr>
            </w:pPr>
          </w:p>
        </w:tc>
        <w:tc>
          <w:tcPr>
            <w:tcW w:w="9340" w:type="dxa"/>
            <w:vAlign w:val="bottom"/>
            <w:tcBorders>
              <w:bottom w:val="single" w:sz="8" w:color="959595"/>
            </w:tcBorders>
          </w:tcPr>
          <w:p>
            <w:pPr>
              <w:ind w:left="60"/>
              <w:spacing w:after="0"/>
              <w:rPr>
                <w:sz w:val="20"/>
                <w:szCs w:val="20"/>
                <w:color w:val="auto"/>
              </w:rPr>
            </w:pPr>
            <w:r>
              <w:rPr>
                <w:rFonts w:ascii="Arial" w:cs="Arial" w:eastAsia="Arial" w:hAnsi="Arial"/>
                <w:sz w:val="13"/>
                <w:szCs w:val="13"/>
                <w:color w:val="auto"/>
              </w:rPr>
              <w:t>attributable to such misconduct.</w:t>
            </w:r>
          </w:p>
        </w:tc>
        <w:tc>
          <w:tcPr>
            <w:tcW w:w="200" w:type="dxa"/>
            <w:vAlign w:val="bottom"/>
            <w:tcBorders>
              <w:bottom w:val="single" w:sz="8" w:color="959595"/>
            </w:tcBorders>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1700" w:type="dxa"/>
            <w:vAlign w:val="bottom"/>
            <w:shd w:val="clear" w:color="auto" w:fill="D5DEE8"/>
          </w:tcPr>
          <w:p>
            <w:pPr>
              <w:ind w:left="80"/>
              <w:spacing w:after="0"/>
              <w:rPr>
                <w:sz w:val="20"/>
                <w:szCs w:val="20"/>
                <w:color w:val="auto"/>
              </w:rPr>
            </w:pPr>
            <w:r>
              <w:rPr>
                <w:rFonts w:ascii="Arial" w:cs="Arial" w:eastAsia="Arial" w:hAnsi="Arial"/>
                <w:sz w:val="13"/>
                <w:szCs w:val="13"/>
                <w:b w:val="1"/>
                <w:bCs w:val="1"/>
                <w:color w:val="23628F"/>
              </w:rPr>
              <w:t>Misconduct Policies</w:t>
            </w:r>
          </w:p>
        </w:tc>
        <w:tc>
          <w:tcPr>
            <w:tcW w:w="9340" w:type="dxa"/>
            <w:vAlign w:val="bottom"/>
          </w:tcPr>
          <w:p>
            <w:pPr>
              <w:ind w:left="60"/>
              <w:spacing w:after="0"/>
              <w:rPr>
                <w:sz w:val="20"/>
                <w:szCs w:val="20"/>
                <w:color w:val="auto"/>
              </w:rPr>
            </w:pPr>
            <w:r>
              <w:rPr>
                <w:rFonts w:ascii="Arial" w:cs="Arial" w:eastAsia="Arial" w:hAnsi="Arial"/>
                <w:sz w:val="13"/>
                <w:szCs w:val="13"/>
                <w:color w:val="auto"/>
              </w:rPr>
              <w:t>We maintain several policies relating to employee misconduct. In the event an executive’s employment is terminated for cause due to the executive’s</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48"/>
        </w:trPr>
        <w:tc>
          <w:tcPr>
            <w:tcW w:w="1700" w:type="dxa"/>
            <w:vAlign w:val="bottom"/>
            <w:shd w:val="clear" w:color="auto" w:fill="D5DEE8"/>
          </w:tcPr>
          <w:p>
            <w:pPr>
              <w:spacing w:after="0"/>
              <w:rPr>
                <w:sz w:val="12"/>
                <w:szCs w:val="12"/>
                <w:color w:val="auto"/>
              </w:rPr>
            </w:pPr>
          </w:p>
        </w:tc>
        <w:tc>
          <w:tcPr>
            <w:tcW w:w="9560" w:type="dxa"/>
            <w:vAlign w:val="bottom"/>
            <w:gridSpan w:val="3"/>
          </w:tcPr>
          <w:p>
            <w:pPr>
              <w:ind w:left="60"/>
              <w:spacing w:after="0"/>
              <w:rPr>
                <w:sz w:val="20"/>
                <w:szCs w:val="20"/>
                <w:color w:val="auto"/>
              </w:rPr>
            </w:pPr>
            <w:r>
              <w:rPr>
                <w:rFonts w:ascii="Arial" w:cs="Arial" w:eastAsia="Arial" w:hAnsi="Arial"/>
                <w:sz w:val="13"/>
                <w:szCs w:val="13"/>
                <w:color w:val="auto"/>
              </w:rPr>
              <w:t>misconduct or violation of company policy, among other reasons, the executive will forfeit all outstanding incentives, including unearned or unvested LTI and</w:t>
            </w:r>
          </w:p>
        </w:tc>
      </w:tr>
      <w:tr>
        <w:trPr>
          <w:trHeight w:val="170"/>
        </w:trPr>
        <w:tc>
          <w:tcPr>
            <w:tcW w:w="1700" w:type="dxa"/>
            <w:vAlign w:val="bottom"/>
            <w:tcBorders>
              <w:bottom w:val="single" w:sz="8" w:color="959595"/>
            </w:tcBorders>
            <w:shd w:val="clear" w:color="auto" w:fill="D5DEE8"/>
          </w:tcPr>
          <w:p>
            <w:pPr>
              <w:spacing w:after="0"/>
              <w:rPr>
                <w:sz w:val="14"/>
                <w:szCs w:val="14"/>
                <w:color w:val="auto"/>
              </w:rPr>
            </w:pPr>
          </w:p>
        </w:tc>
        <w:tc>
          <w:tcPr>
            <w:tcW w:w="9340" w:type="dxa"/>
            <w:vAlign w:val="bottom"/>
            <w:tcBorders>
              <w:bottom w:val="single" w:sz="8" w:color="959595"/>
            </w:tcBorders>
          </w:tcPr>
          <w:p>
            <w:pPr>
              <w:ind w:left="60"/>
              <w:spacing w:after="0"/>
              <w:rPr>
                <w:sz w:val="20"/>
                <w:szCs w:val="20"/>
                <w:color w:val="auto"/>
              </w:rPr>
            </w:pPr>
            <w:r>
              <w:rPr>
                <w:rFonts w:ascii="Arial" w:cs="Arial" w:eastAsia="Arial" w:hAnsi="Arial"/>
                <w:sz w:val="13"/>
                <w:szCs w:val="13"/>
                <w:color w:val="auto"/>
              </w:rPr>
              <w:t>STI awards. In addition, the executive would not be eligible for severance benefits.</w:t>
            </w:r>
          </w:p>
        </w:tc>
        <w:tc>
          <w:tcPr>
            <w:tcW w:w="200" w:type="dxa"/>
            <w:vAlign w:val="bottom"/>
            <w:tcBorders>
              <w:bottom w:val="single" w:sz="8" w:color="959595"/>
            </w:tcBorders>
          </w:tcPr>
          <w:p>
            <w:pPr>
              <w:spacing w:after="0"/>
              <w:rPr>
                <w:sz w:val="14"/>
                <w:szCs w:val="14"/>
                <w:color w:val="auto"/>
              </w:rPr>
            </w:pPr>
          </w:p>
        </w:tc>
        <w:tc>
          <w:tcPr>
            <w:tcW w:w="20" w:type="dxa"/>
            <w:vAlign w:val="bottom"/>
          </w:tcPr>
          <w:p>
            <w:pPr>
              <w:spacing w:after="0"/>
              <w:rPr>
                <w:sz w:val="14"/>
                <w:szCs w:val="14"/>
                <w:color w:val="auto"/>
              </w:rPr>
            </w:pPr>
          </w:p>
        </w:tc>
      </w:tr>
      <w:tr>
        <w:trPr>
          <w:trHeight w:val="159"/>
        </w:trPr>
        <w:tc>
          <w:tcPr>
            <w:tcW w:w="1700" w:type="dxa"/>
            <w:vAlign w:val="bottom"/>
            <w:shd w:val="clear" w:color="auto" w:fill="D5DEE8"/>
          </w:tcPr>
          <w:p>
            <w:pPr>
              <w:ind w:left="80"/>
              <w:spacing w:after="0"/>
              <w:rPr>
                <w:sz w:val="20"/>
                <w:szCs w:val="20"/>
                <w:color w:val="auto"/>
              </w:rPr>
            </w:pPr>
            <w:r>
              <w:rPr>
                <w:rFonts w:ascii="Arial" w:cs="Arial" w:eastAsia="Arial" w:hAnsi="Arial"/>
                <w:sz w:val="13"/>
                <w:szCs w:val="13"/>
                <w:b w:val="1"/>
                <w:bCs w:val="1"/>
                <w:color w:val="23628F"/>
              </w:rPr>
              <w:t>Policies Prohibiting</w:t>
            </w:r>
          </w:p>
        </w:tc>
        <w:tc>
          <w:tcPr>
            <w:tcW w:w="9340" w:type="dxa"/>
            <w:vAlign w:val="bottom"/>
          </w:tcPr>
          <w:p>
            <w:pPr>
              <w:ind w:left="60"/>
              <w:spacing w:after="0"/>
              <w:rPr>
                <w:sz w:val="20"/>
                <w:szCs w:val="20"/>
                <w:color w:val="auto"/>
              </w:rPr>
            </w:pPr>
            <w:r>
              <w:rPr>
                <w:rFonts w:ascii="Arial" w:cs="Arial" w:eastAsia="Arial" w:hAnsi="Arial"/>
                <w:sz w:val="13"/>
                <w:szCs w:val="13"/>
                <w:color w:val="auto"/>
              </w:rPr>
              <w:t>We have an insider trading policy that, among other things, prohibits our executive officers (as well as our other employees and members of our Board of</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8"/>
        </w:trPr>
        <w:tc>
          <w:tcPr>
            <w:tcW w:w="1700" w:type="dxa"/>
            <w:vAlign w:val="bottom"/>
            <w:shd w:val="clear" w:color="auto" w:fill="D5DEE8"/>
          </w:tcPr>
          <w:p>
            <w:pPr>
              <w:ind w:left="80"/>
              <w:spacing w:after="0"/>
              <w:rPr>
                <w:sz w:val="20"/>
                <w:szCs w:val="20"/>
                <w:color w:val="auto"/>
              </w:rPr>
            </w:pPr>
            <w:r>
              <w:rPr>
                <w:rFonts w:ascii="Arial" w:cs="Arial" w:eastAsia="Arial" w:hAnsi="Arial"/>
                <w:sz w:val="13"/>
                <w:szCs w:val="13"/>
                <w:b w:val="1"/>
                <w:bCs w:val="1"/>
                <w:color w:val="23628F"/>
              </w:rPr>
              <w:t>Hedging, Pledging</w:t>
            </w:r>
          </w:p>
        </w:tc>
        <w:tc>
          <w:tcPr>
            <w:tcW w:w="9340" w:type="dxa"/>
            <w:vAlign w:val="bottom"/>
          </w:tcPr>
          <w:p>
            <w:pPr>
              <w:ind w:left="60"/>
              <w:spacing w:after="0"/>
              <w:rPr>
                <w:sz w:val="20"/>
                <w:szCs w:val="20"/>
                <w:color w:val="auto"/>
              </w:rPr>
            </w:pPr>
            <w:r>
              <w:rPr>
                <w:rFonts w:ascii="Arial" w:cs="Arial" w:eastAsia="Arial" w:hAnsi="Arial"/>
                <w:sz w:val="13"/>
                <w:szCs w:val="13"/>
                <w:color w:val="auto"/>
              </w:rPr>
              <w:t>Directors) from engaging in hedging transactions or speculative transactions involving our company’s securities and from pledging company securities.</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1700" w:type="dxa"/>
            <w:vAlign w:val="bottom"/>
            <w:shd w:val="clear" w:color="auto" w:fill="D5DEE8"/>
          </w:tcPr>
          <w:p>
            <w:pPr>
              <w:ind w:left="80"/>
              <w:spacing w:after="0"/>
              <w:rPr>
                <w:sz w:val="20"/>
                <w:szCs w:val="20"/>
                <w:color w:val="auto"/>
              </w:rPr>
            </w:pPr>
            <w:r>
              <w:rPr>
                <w:rFonts w:ascii="Arial" w:cs="Arial" w:eastAsia="Arial" w:hAnsi="Arial"/>
                <w:sz w:val="13"/>
                <w:szCs w:val="13"/>
                <w:b w:val="1"/>
                <w:bCs w:val="1"/>
                <w:color w:val="23628F"/>
              </w:rPr>
              <w:t>and Short Sale or</w:t>
            </w:r>
          </w:p>
        </w:tc>
        <w:tc>
          <w:tcPr>
            <w:tcW w:w="9340" w:type="dxa"/>
            <w:vAlign w:val="bottom"/>
          </w:tcPr>
          <w:p>
            <w:pPr>
              <w:ind w:left="60"/>
              <w:spacing w:after="0"/>
              <w:rPr>
                <w:sz w:val="20"/>
                <w:szCs w:val="20"/>
                <w:color w:val="auto"/>
              </w:rPr>
            </w:pPr>
            <w:r>
              <w:rPr>
                <w:rFonts w:ascii="Arial" w:cs="Arial" w:eastAsia="Arial" w:hAnsi="Arial"/>
                <w:sz w:val="13"/>
                <w:szCs w:val="13"/>
                <w:color w:val="auto"/>
              </w:rPr>
              <w:t>Prohibited transactions include hedging or monetization transactions, such as prepaid variable forwards, equity swaps, collars and exchange funds that are</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4"/>
        </w:trPr>
        <w:tc>
          <w:tcPr>
            <w:tcW w:w="1700" w:type="dxa"/>
            <w:vAlign w:val="bottom"/>
            <w:shd w:val="clear" w:color="auto" w:fill="D5DEE8"/>
          </w:tcPr>
          <w:p>
            <w:pPr>
              <w:ind w:left="80"/>
              <w:spacing w:after="0"/>
              <w:rPr>
                <w:sz w:val="20"/>
                <w:szCs w:val="20"/>
                <w:color w:val="auto"/>
              </w:rPr>
            </w:pPr>
            <w:r>
              <w:rPr>
                <w:rFonts w:ascii="Arial" w:cs="Arial" w:eastAsia="Arial" w:hAnsi="Arial"/>
                <w:sz w:val="13"/>
                <w:szCs w:val="13"/>
                <w:b w:val="1"/>
                <w:bCs w:val="1"/>
                <w:color w:val="23628F"/>
              </w:rPr>
              <w:t>Derivative Transaction</w:t>
            </w:r>
          </w:p>
        </w:tc>
        <w:tc>
          <w:tcPr>
            <w:tcW w:w="9560" w:type="dxa"/>
            <w:vAlign w:val="bottom"/>
            <w:gridSpan w:val="3"/>
          </w:tcPr>
          <w:p>
            <w:pPr>
              <w:ind w:left="60"/>
              <w:spacing w:after="0"/>
              <w:rPr>
                <w:sz w:val="20"/>
                <w:szCs w:val="20"/>
                <w:color w:val="auto"/>
              </w:rPr>
            </w:pPr>
            <w:r>
              <w:rPr>
                <w:rFonts w:ascii="Arial" w:cs="Arial" w:eastAsia="Arial" w:hAnsi="Arial"/>
                <w:sz w:val="13"/>
                <w:szCs w:val="13"/>
                <w:color w:val="auto"/>
              </w:rPr>
              <w:t>designed to hedge or offset any decrease in the market value of our company’s securities, shorts sales, transactions in derivative securities, such as publicly</w:t>
            </w:r>
          </w:p>
        </w:tc>
      </w:tr>
      <w:tr>
        <w:trPr>
          <w:trHeight w:val="148"/>
        </w:trPr>
        <w:tc>
          <w:tcPr>
            <w:tcW w:w="1700" w:type="dxa"/>
            <w:vAlign w:val="bottom"/>
            <w:shd w:val="clear" w:color="auto" w:fill="D5DEE8"/>
          </w:tcPr>
          <w:p>
            <w:pPr>
              <w:spacing w:after="0"/>
              <w:rPr>
                <w:sz w:val="12"/>
                <w:szCs w:val="12"/>
                <w:color w:val="auto"/>
              </w:rPr>
            </w:pPr>
          </w:p>
        </w:tc>
        <w:tc>
          <w:tcPr>
            <w:tcW w:w="9560" w:type="dxa"/>
            <w:vAlign w:val="bottom"/>
            <w:gridSpan w:val="3"/>
          </w:tcPr>
          <w:p>
            <w:pPr>
              <w:ind w:left="60"/>
              <w:spacing w:after="0"/>
              <w:rPr>
                <w:sz w:val="20"/>
                <w:szCs w:val="20"/>
                <w:color w:val="auto"/>
              </w:rPr>
            </w:pPr>
            <w:r>
              <w:rPr>
                <w:rFonts w:ascii="Arial" w:cs="Arial" w:eastAsia="Arial" w:hAnsi="Arial"/>
                <w:sz w:val="13"/>
                <w:szCs w:val="13"/>
                <w:color w:val="auto"/>
              </w:rPr>
              <w:t>traded options, related to our company’s securities and margining our company’s securities in a margin account or otherwise pledging company securities as</w:t>
            </w:r>
          </w:p>
        </w:tc>
      </w:tr>
      <w:tr>
        <w:trPr>
          <w:trHeight w:val="170"/>
        </w:trPr>
        <w:tc>
          <w:tcPr>
            <w:tcW w:w="1700" w:type="dxa"/>
            <w:vAlign w:val="bottom"/>
            <w:tcBorders>
              <w:bottom w:val="single" w:sz="8" w:color="959595"/>
            </w:tcBorders>
            <w:shd w:val="clear" w:color="auto" w:fill="D5DEE8"/>
          </w:tcPr>
          <w:p>
            <w:pPr>
              <w:spacing w:after="0"/>
              <w:rPr>
                <w:sz w:val="14"/>
                <w:szCs w:val="14"/>
                <w:color w:val="auto"/>
              </w:rPr>
            </w:pPr>
          </w:p>
        </w:tc>
        <w:tc>
          <w:tcPr>
            <w:tcW w:w="9340" w:type="dxa"/>
            <w:vAlign w:val="bottom"/>
            <w:tcBorders>
              <w:bottom w:val="single" w:sz="8" w:color="959595"/>
            </w:tcBorders>
          </w:tcPr>
          <w:p>
            <w:pPr>
              <w:ind w:left="60"/>
              <w:spacing w:after="0"/>
              <w:rPr>
                <w:sz w:val="20"/>
                <w:szCs w:val="20"/>
                <w:color w:val="auto"/>
              </w:rPr>
            </w:pPr>
            <w:r>
              <w:rPr>
                <w:rFonts w:ascii="Arial" w:cs="Arial" w:eastAsia="Arial" w:hAnsi="Arial"/>
                <w:sz w:val="13"/>
                <w:szCs w:val="13"/>
                <w:color w:val="auto"/>
              </w:rPr>
              <w:t>collateral for a loan.</w:t>
            </w:r>
          </w:p>
        </w:tc>
        <w:tc>
          <w:tcPr>
            <w:tcW w:w="200" w:type="dxa"/>
            <w:vAlign w:val="bottom"/>
            <w:tcBorders>
              <w:bottom w:val="single" w:sz="8" w:color="959595"/>
            </w:tcBorders>
          </w:tcPr>
          <w:p>
            <w:pPr>
              <w:spacing w:after="0"/>
              <w:rPr>
                <w:sz w:val="14"/>
                <w:szCs w:val="14"/>
                <w:color w:val="auto"/>
              </w:rPr>
            </w:pPr>
          </w:p>
        </w:tc>
        <w:tc>
          <w:tcPr>
            <w:tcW w:w="20" w:type="dxa"/>
            <w:vAlign w:val="bottom"/>
          </w:tcPr>
          <w:p>
            <w:pPr>
              <w:spacing w:after="0"/>
              <w:rPr>
                <w:sz w:val="14"/>
                <w:szCs w:val="14"/>
                <w:color w:val="auto"/>
              </w:rPr>
            </w:pPr>
          </w:p>
        </w:tc>
      </w:tr>
      <w:tr>
        <w:trPr>
          <w:trHeight w:val="430"/>
        </w:trPr>
        <w:tc>
          <w:tcPr>
            <w:tcW w:w="1700" w:type="dxa"/>
            <w:vAlign w:val="bottom"/>
          </w:tcPr>
          <w:p>
            <w:pPr>
              <w:spacing w:after="0"/>
              <w:rPr>
                <w:sz w:val="24"/>
                <w:szCs w:val="24"/>
                <w:color w:val="auto"/>
              </w:rPr>
            </w:pPr>
          </w:p>
        </w:tc>
        <w:tc>
          <w:tcPr>
            <w:tcW w:w="9340" w:type="dxa"/>
            <w:vAlign w:val="bottom"/>
          </w:tcPr>
          <w:p>
            <w:pPr>
              <w:ind w:left="7460"/>
              <w:spacing w:after="0"/>
              <w:rPr>
                <w:sz w:val="20"/>
                <w:szCs w:val="20"/>
                <w:color w:val="auto"/>
              </w:rPr>
            </w:pPr>
            <w:r>
              <w:rPr>
                <w:rFonts w:ascii="Arial" w:cs="Arial" w:eastAsia="Arial" w:hAnsi="Arial"/>
                <w:sz w:val="13"/>
                <w:szCs w:val="13"/>
                <w:color w:val="23628F"/>
              </w:rPr>
              <w:t>2020 PROXY STATEMENT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23628F"/>
                <w:w w:val="89"/>
              </w:rPr>
              <w:t>75</w:t>
            </w:r>
          </w:p>
        </w:tc>
      </w:tr>
      <w:tr>
        <w:trPr>
          <w:trHeight w:val="215"/>
        </w:trPr>
        <w:tc>
          <w:tcPr>
            <w:tcW w:w="1700" w:type="dxa"/>
            <w:vAlign w:val="bottom"/>
            <w:tcBorders>
              <w:bottom w:val="single" w:sz="8" w:color="808080"/>
            </w:tcBorders>
          </w:tcPr>
          <w:p>
            <w:pPr>
              <w:spacing w:after="0"/>
              <w:rPr>
                <w:sz w:val="18"/>
                <w:szCs w:val="18"/>
                <w:color w:val="auto"/>
              </w:rPr>
            </w:pPr>
          </w:p>
        </w:tc>
        <w:tc>
          <w:tcPr>
            <w:tcW w:w="934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-14605</wp:posOffset>
            </wp:positionV>
            <wp:extent cx="127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23628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278638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32320" cy="2786380"/>
                    </a:xfrm>
                    <a:prstGeom prst="rect">
                      <a:avLst/>
                    </a:prstGeom>
                    <a:noFill/>
                  </pic:spPr>
                </pic:pic>
              </a:graphicData>
            </a:graphic>
          </wp:anchor>
        </w:drawing>
      </w:r>
    </w:p>
    <w:p>
      <w:pPr>
        <w:spacing w:after="0" w:line="219"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13"/>
          <w:szCs w:val="13"/>
          <w:b w:val="1"/>
          <w:bCs w:val="1"/>
          <w:color w:val="23628F"/>
        </w:rPr>
        <w:t>Executive Stock</w:t>
      </w:r>
      <w:r>
        <w:rPr>
          <w:sz w:val="20"/>
          <w:szCs w:val="20"/>
          <w:color w:val="auto"/>
        </w:rPr>
        <w:tab/>
      </w:r>
      <w:r>
        <w:rPr>
          <w:rFonts w:ascii="Arial" w:cs="Arial" w:eastAsia="Arial" w:hAnsi="Arial"/>
          <w:sz w:val="13"/>
          <w:szCs w:val="13"/>
          <w:color w:val="auto"/>
        </w:rPr>
        <w:t>To help achieve our compensation objective of linking the interests of our stockholders with those of our executive officers, we established executive stock</w:t>
      </w:r>
    </w:p>
    <w:p>
      <w:pPr>
        <w:spacing w:after="0" w:line="14"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13"/>
          <w:szCs w:val="13"/>
          <w:b w:val="1"/>
          <w:bCs w:val="1"/>
          <w:color w:val="23628F"/>
        </w:rPr>
        <w:t>Ownership Guidelines</w:t>
      </w:r>
      <w:r>
        <w:rPr>
          <w:sz w:val="20"/>
          <w:szCs w:val="20"/>
          <w:color w:val="auto"/>
        </w:rPr>
        <w:tab/>
      </w:r>
      <w:r>
        <w:rPr>
          <w:rFonts w:ascii="Arial" w:cs="Arial" w:eastAsia="Arial" w:hAnsi="Arial"/>
          <w:sz w:val="13"/>
          <w:szCs w:val="13"/>
          <w:color w:val="auto"/>
        </w:rPr>
        <w:t>ownership guidelines covering our senior officers, including our named executive officers. The guidelines provide that each officer must achieve ownership of a</w:t>
      </w:r>
    </w:p>
    <w:p>
      <w:pPr>
        <w:ind w:left="1780"/>
        <w:spacing w:after="0"/>
        <w:rPr>
          <w:sz w:val="20"/>
          <w:szCs w:val="20"/>
          <w:color w:val="auto"/>
        </w:rPr>
      </w:pPr>
      <w:r>
        <w:rPr>
          <w:rFonts w:ascii="Arial" w:cs="Arial" w:eastAsia="Arial" w:hAnsi="Arial"/>
          <w:sz w:val="13"/>
          <w:szCs w:val="13"/>
          <w:color w:val="auto"/>
        </w:rPr>
        <w:t>number of “qualifying shares” with a market value equal to the specified multiple of the officer’s base salary in effect upon the date he or she first becomes</w:t>
      </w:r>
    </w:p>
    <w:p>
      <w:pPr>
        <w:ind w:left="1780"/>
        <w:spacing w:after="0"/>
        <w:rPr>
          <w:sz w:val="20"/>
          <w:szCs w:val="20"/>
          <w:color w:val="auto"/>
        </w:rPr>
      </w:pPr>
      <w:r>
        <w:rPr>
          <w:rFonts w:ascii="Arial" w:cs="Arial" w:eastAsia="Arial" w:hAnsi="Arial"/>
          <w:sz w:val="13"/>
          <w:szCs w:val="13"/>
          <w:color w:val="auto"/>
        </w:rPr>
        <w:t>subject to the guidelines shown below.</w:t>
      </w:r>
    </w:p>
    <w:p>
      <w:pPr>
        <w:spacing w:after="0" w:line="215" w:lineRule="exact"/>
        <w:rPr>
          <w:sz w:val="20"/>
          <w:szCs w:val="20"/>
          <w:color w:val="auto"/>
        </w:rPr>
      </w:pPr>
    </w:p>
    <w:p>
      <w:pPr>
        <w:ind w:left="1780" w:right="240"/>
        <w:spacing w:after="0" w:line="258" w:lineRule="auto"/>
        <w:rPr>
          <w:sz w:val="20"/>
          <w:szCs w:val="20"/>
          <w:color w:val="auto"/>
        </w:rPr>
      </w:pPr>
      <w:r>
        <w:rPr>
          <w:rFonts w:ascii="Arial" w:cs="Arial" w:eastAsia="Arial" w:hAnsi="Arial"/>
          <w:sz w:val="13"/>
          <w:szCs w:val="13"/>
          <w:color w:val="auto"/>
        </w:rPr>
        <w:t>In fiscal 2020, the Compensation and Talent Committee our Chief Executive Officer’s ownership requirement from 5x annual base salary to 6x annual base salary and increased our Chief Financial Officer’s ownership requirement from 2x annual base salary to 3x annual base salary.</w:t>
      </w:r>
    </w:p>
    <w:p>
      <w:pPr>
        <w:sectPr>
          <w:pgSz w:w="11900" w:h="16838" w:orient="portrait"/>
          <w:cols w:equalWidth="0" w:num="1">
            <w:col w:w="11240"/>
          </w:cols>
          <w:pgMar w:left="320" w:top="121" w:right="339" w:bottom="1440" w:gutter="0" w:footer="0" w:header="0"/>
        </w:sectPr>
      </w:pPr>
    </w:p>
    <w:p>
      <w:pPr>
        <w:spacing w:after="0" w:line="95" w:lineRule="exact"/>
        <w:rPr>
          <w:sz w:val="20"/>
          <w:szCs w:val="20"/>
          <w:color w:val="auto"/>
        </w:rPr>
      </w:pPr>
    </w:p>
    <w:p>
      <w:pPr>
        <w:ind w:left="1840"/>
        <w:spacing w:after="0"/>
        <w:rPr>
          <w:sz w:val="20"/>
          <w:szCs w:val="20"/>
          <w:color w:val="auto"/>
        </w:rPr>
      </w:pPr>
      <w:r>
        <w:rPr>
          <w:rFonts w:ascii="Arial" w:cs="Arial" w:eastAsia="Arial" w:hAnsi="Arial"/>
          <w:sz w:val="13"/>
          <w:szCs w:val="13"/>
          <w:b w:val="1"/>
          <w:bCs w:val="1"/>
          <w:color w:val="auto"/>
        </w:rPr>
        <w:t>Position</w:t>
      </w:r>
    </w:p>
    <w:p>
      <w:pPr>
        <w:spacing w:after="0" w:line="83" w:lineRule="exact"/>
        <w:rPr>
          <w:sz w:val="20"/>
          <w:szCs w:val="20"/>
          <w:color w:val="auto"/>
        </w:rPr>
      </w:pPr>
    </w:p>
    <w:p>
      <w:pPr>
        <w:ind w:left="1840"/>
        <w:spacing w:after="0"/>
        <w:rPr>
          <w:sz w:val="20"/>
          <w:szCs w:val="20"/>
          <w:color w:val="auto"/>
        </w:rPr>
      </w:pPr>
      <w:r>
        <w:rPr>
          <w:rFonts w:ascii="Arial" w:cs="Arial" w:eastAsia="Arial" w:hAnsi="Arial"/>
          <w:sz w:val="13"/>
          <w:szCs w:val="13"/>
          <w:color w:val="auto"/>
        </w:rPr>
        <w:t>Chief Executive Officer</w:t>
      </w:r>
    </w:p>
    <w:p>
      <w:pPr>
        <w:spacing w:after="0" w:line="67" w:lineRule="exact"/>
        <w:rPr>
          <w:sz w:val="20"/>
          <w:szCs w:val="20"/>
          <w:color w:val="auto"/>
        </w:rPr>
      </w:pPr>
    </w:p>
    <w:p>
      <w:pPr>
        <w:ind w:left="1840"/>
        <w:spacing w:after="0"/>
        <w:rPr>
          <w:sz w:val="20"/>
          <w:szCs w:val="20"/>
          <w:color w:val="auto"/>
        </w:rPr>
      </w:pPr>
      <w:r>
        <w:rPr>
          <w:rFonts w:ascii="Arial" w:cs="Arial" w:eastAsia="Arial" w:hAnsi="Arial"/>
          <w:sz w:val="13"/>
          <w:szCs w:val="13"/>
          <w:color w:val="auto"/>
        </w:rPr>
        <w:t>President, Chief Financial Officer and Division Presidents</w:t>
      </w:r>
    </w:p>
    <w:p>
      <w:pPr>
        <w:spacing w:after="0" w:line="67" w:lineRule="exact"/>
        <w:rPr>
          <w:sz w:val="20"/>
          <w:szCs w:val="20"/>
          <w:color w:val="auto"/>
        </w:rPr>
      </w:pPr>
    </w:p>
    <w:p>
      <w:pPr>
        <w:ind w:left="1840"/>
        <w:spacing w:after="0"/>
        <w:rPr>
          <w:sz w:val="20"/>
          <w:szCs w:val="20"/>
          <w:color w:val="auto"/>
        </w:rPr>
      </w:pPr>
      <w:r>
        <w:rPr>
          <w:rFonts w:ascii="Arial" w:cs="Arial" w:eastAsia="Arial" w:hAnsi="Arial"/>
          <w:sz w:val="13"/>
          <w:szCs w:val="13"/>
          <w:color w:val="auto"/>
        </w:rPr>
        <w:t>Executive Vice Presidents</w:t>
      </w:r>
    </w:p>
    <w:p>
      <w:pPr>
        <w:spacing w:after="0" w:line="67" w:lineRule="exact"/>
        <w:rPr>
          <w:sz w:val="20"/>
          <w:szCs w:val="20"/>
          <w:color w:val="auto"/>
        </w:rPr>
      </w:pPr>
    </w:p>
    <w:p>
      <w:pPr>
        <w:ind w:left="1840"/>
        <w:spacing w:after="0"/>
        <w:rPr>
          <w:sz w:val="20"/>
          <w:szCs w:val="20"/>
          <w:color w:val="auto"/>
        </w:rPr>
      </w:pPr>
      <w:r>
        <w:rPr>
          <w:rFonts w:ascii="Arial" w:cs="Arial" w:eastAsia="Arial" w:hAnsi="Arial"/>
          <w:sz w:val="13"/>
          <w:szCs w:val="13"/>
          <w:color w:val="auto"/>
        </w:rPr>
        <w:t>Senior Vice Presidents</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jc w:val="right"/>
        <w:ind w:right="80"/>
        <w:spacing w:after="0"/>
        <w:rPr>
          <w:sz w:val="20"/>
          <w:szCs w:val="20"/>
          <w:color w:val="auto"/>
        </w:rPr>
      </w:pPr>
      <w:r>
        <w:rPr>
          <w:rFonts w:ascii="Arial" w:cs="Arial" w:eastAsia="Arial" w:hAnsi="Arial"/>
          <w:sz w:val="13"/>
          <w:szCs w:val="13"/>
          <w:b w:val="1"/>
          <w:bCs w:val="1"/>
          <w:color w:val="auto"/>
        </w:rPr>
        <w:t>Multiple</w:t>
      </w:r>
    </w:p>
    <w:p>
      <w:pPr>
        <w:spacing w:after="0" w:line="83" w:lineRule="exact"/>
        <w:rPr>
          <w:sz w:val="20"/>
          <w:szCs w:val="20"/>
          <w:color w:val="auto"/>
        </w:rPr>
      </w:pPr>
    </w:p>
    <w:p>
      <w:pPr>
        <w:spacing w:after="0"/>
        <w:rPr>
          <w:sz w:val="20"/>
          <w:szCs w:val="20"/>
          <w:color w:val="auto"/>
        </w:rPr>
      </w:pPr>
      <w:r>
        <w:rPr>
          <w:rFonts w:ascii="Arial" w:cs="Arial" w:eastAsia="Arial" w:hAnsi="Arial"/>
          <w:sz w:val="13"/>
          <w:szCs w:val="13"/>
          <w:color w:val="auto"/>
        </w:rPr>
        <w:t>6 x Salary</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3 x Salary</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2 x Salary</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1 x Salary</w:t>
      </w:r>
    </w:p>
    <w:p>
      <w:pPr>
        <w:spacing w:after="0" w:line="67" w:lineRule="exact"/>
        <w:rPr>
          <w:sz w:val="20"/>
          <w:szCs w:val="20"/>
          <w:color w:val="auto"/>
        </w:rPr>
      </w:pPr>
    </w:p>
    <w:p>
      <w:pPr>
        <w:sectPr>
          <w:pgSz w:w="11900" w:h="16838" w:orient="portrait"/>
          <w:cols w:equalWidth="0" w:num="2">
            <w:col w:w="9840" w:space="720"/>
            <w:col w:w="680"/>
          </w:cols>
          <w:pgMar w:left="320" w:top="121" w:right="339" w:bottom="1440" w:gutter="0" w:footer="0" w:header="0"/>
          <w:type w:val="continuous"/>
        </w:sectPr>
      </w:pPr>
    </w:p>
    <w:p>
      <w:pPr>
        <w:ind w:left="1780" w:right="60"/>
        <w:spacing w:after="0" w:line="241" w:lineRule="auto"/>
        <w:rPr>
          <w:sz w:val="20"/>
          <w:szCs w:val="20"/>
          <w:color w:val="auto"/>
        </w:rPr>
      </w:pPr>
      <w:r>
        <w:rPr>
          <w:rFonts w:ascii="Arial" w:cs="Arial" w:eastAsia="Arial" w:hAnsi="Arial"/>
          <w:sz w:val="13"/>
          <w:szCs w:val="13"/>
          <w:color w:val="auto"/>
        </w:rPr>
        <w:t>Each officer must achieve ownership of the required market value of shares within three years of becoming subject to the guidelines. Thereafter, the officer must maintain ownership of at least the number of shares that were necessary to meet the executive’s required market value of ownership on the date the requirement was first achieved (subject to certain adjustments in the event of a change in base salary or position). Ownership that counts toward the guidelines includes common stock, RSUs, PSUs, deferred stock units and common stock beneficially owned by the officer by virtue of being held in a trust, by a spouse or by the executive’s minor children. Shares the officer has a right to acquire through the exercise of stock options (whether or not vested) are not counted toward the stock ownership requirement. All of our current officers who are subject to these guidelines have met their required ownership level as of the date of this Proxy Statement or have sufficient time remaining in which to meet the required ownership level.</w:t>
      </w:r>
    </w:p>
    <w:p>
      <w:pPr>
        <w:spacing w:after="0" w:line="39"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13"/>
          <w:szCs w:val="13"/>
          <w:b w:val="1"/>
          <w:bCs w:val="1"/>
          <w:color w:val="23628F"/>
        </w:rPr>
        <w:t>Internal Revenue Code</w:t>
      </w:r>
      <w:r>
        <w:rPr>
          <w:sz w:val="20"/>
          <w:szCs w:val="20"/>
          <w:color w:val="auto"/>
        </w:rPr>
        <w:tab/>
      </w:r>
      <w:r>
        <w:rPr>
          <w:rFonts w:ascii="Arial" w:cs="Arial" w:eastAsia="Arial" w:hAnsi="Arial"/>
          <w:sz w:val="13"/>
          <w:szCs w:val="13"/>
          <w:color w:val="auto"/>
        </w:rPr>
        <w:t>Section 162(m) of the Internal Revenue Code (“Section 162(m)”) generally disallows a tax deduction to public companies for compensation in excess of $1</w:t>
      </w:r>
    </w:p>
    <w:p>
      <w:pPr>
        <w:spacing w:after="0" w:line="15" w:lineRule="exact"/>
        <w:rPr>
          <w:sz w:val="20"/>
          <w:szCs w:val="20"/>
          <w:color w:val="auto"/>
        </w:rPr>
      </w:pPr>
    </w:p>
    <w:p>
      <w:pPr>
        <w:ind w:left="1780" w:right="140" w:hanging="1695"/>
        <w:spacing w:after="0" w:line="243" w:lineRule="auto"/>
        <w:tabs>
          <w:tab w:leader="none" w:pos="1760" w:val="left"/>
        </w:tabs>
        <w:rPr>
          <w:sz w:val="20"/>
          <w:szCs w:val="20"/>
          <w:color w:val="auto"/>
        </w:rPr>
      </w:pPr>
      <w:r>
        <w:rPr>
          <w:rFonts w:ascii="Arial" w:cs="Arial" w:eastAsia="Arial" w:hAnsi="Arial"/>
          <w:sz w:val="13"/>
          <w:szCs w:val="13"/>
          <w:b w:val="1"/>
          <w:bCs w:val="1"/>
          <w:color w:val="23628F"/>
        </w:rPr>
        <w:t>Section 162(m)</w:t>
      </w:r>
      <w:r>
        <w:rPr>
          <w:sz w:val="20"/>
          <w:szCs w:val="20"/>
          <w:color w:val="auto"/>
        </w:rPr>
        <w:tab/>
      </w:r>
      <w:r>
        <w:rPr>
          <w:rFonts w:ascii="Arial" w:cs="Arial" w:eastAsia="Arial" w:hAnsi="Arial"/>
          <w:sz w:val="13"/>
          <w:szCs w:val="13"/>
          <w:color w:val="auto"/>
        </w:rPr>
        <w:t>million paid to a company’s chief executive officer and certain current and former executive officers. Certain awards granted before November 2, 2017 that were based upon attaining pre-established performance measures that were set by the Compensation and Talent Committee under a plan approved by our stockholders, as well as amounts payable to former executives pursuant to a written binding contract that was in effect on November 2, 2017, may qualify for an exception to the $1 million deductibility limit. In order to achieve the objectives of our executive compensation program, we may continue to pay compensation that will not be deductible for federal income tax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8" w:lineRule="exact"/>
        <w:rPr>
          <w:sz w:val="20"/>
          <w:szCs w:val="20"/>
          <w:color w:val="auto"/>
        </w:rPr>
      </w:pPr>
    </w:p>
    <w:p>
      <w:pPr>
        <w:ind w:left="440" w:hanging="432"/>
        <w:spacing w:after="0"/>
        <w:tabs>
          <w:tab w:leader="none" w:pos="440" w:val="left"/>
        </w:tabs>
        <w:numPr>
          <w:ilvl w:val="0"/>
          <w:numId w:val="193"/>
        </w:numPr>
        <w:rPr>
          <w:rFonts w:ascii="Arial" w:cs="Arial" w:eastAsia="Arial" w:hAnsi="Arial"/>
          <w:sz w:val="18"/>
          <w:szCs w:val="18"/>
          <w:b w:val="1"/>
          <w:bCs w:val="1"/>
          <w:color w:val="23628F"/>
        </w:rPr>
      </w:pPr>
      <w:r>
        <w:rPr>
          <w:rFonts w:ascii="Arial" w:cs="Arial" w:eastAsia="Arial" w:hAnsi="Arial"/>
          <w:sz w:val="13"/>
          <w:szCs w:val="13"/>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153275" cy="209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0" w:name="page81"/>
    <w:bookmarkEnd w:id="80"/>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right"/>
        <w:spacing w:after="0"/>
        <w:rPr>
          <w:sz w:val="20"/>
          <w:szCs w:val="20"/>
          <w:color w:val="auto"/>
        </w:rPr>
      </w:pPr>
      <w:r>
        <w:rPr>
          <w:rFonts w:ascii="Arial" w:cs="Arial" w:eastAsia="Arial" w:hAnsi="Arial"/>
          <w:sz w:val="13"/>
          <w:szCs w:val="13"/>
          <w:color w:val="23628F"/>
        </w:rPr>
        <w:t>COMPENSATION DISCUSSION AND ANALYSIS</w:t>
      </w:r>
    </w:p>
    <w:p>
      <w:pPr>
        <w:spacing w:after="0" w:line="184" w:lineRule="exact"/>
        <w:rPr>
          <w:sz w:val="20"/>
          <w:szCs w:val="20"/>
          <w:color w:val="auto"/>
        </w:rPr>
      </w:pPr>
    </w:p>
    <w:p>
      <w:pPr>
        <w:spacing w:after="0"/>
        <w:rPr>
          <w:sz w:val="20"/>
          <w:szCs w:val="20"/>
          <w:color w:val="auto"/>
        </w:rPr>
      </w:pPr>
      <w:r>
        <w:rPr>
          <w:rFonts w:ascii="Arial" w:cs="Arial" w:eastAsia="Arial" w:hAnsi="Arial"/>
          <w:sz w:val="31"/>
          <w:szCs w:val="31"/>
          <w:b w:val="1"/>
          <w:bCs w:val="1"/>
          <w:color w:val="567EA5"/>
        </w:rPr>
        <w:t>EXECUTIVE COMPENSATION TABLES AND NARRATIVES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1234440" cy="6858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34440" cy="68580"/>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FISCAL 2018—2020 SUMMARY COMPENSATION TABLE</w:t>
      </w:r>
    </w:p>
    <w:p>
      <w:pPr>
        <w:spacing w:after="0" w:line="252" w:lineRule="exact"/>
        <w:rPr>
          <w:sz w:val="20"/>
          <w:szCs w:val="20"/>
          <w:color w:val="auto"/>
        </w:rPr>
      </w:pPr>
    </w:p>
    <w:p>
      <w:pPr>
        <w:ind w:right="20"/>
        <w:spacing w:after="0" w:line="248" w:lineRule="auto"/>
        <w:rPr>
          <w:sz w:val="20"/>
          <w:szCs w:val="20"/>
          <w:color w:val="auto"/>
        </w:rPr>
      </w:pPr>
      <w:r>
        <w:rPr>
          <w:rFonts w:ascii="Arial" w:cs="Arial" w:eastAsia="Arial" w:hAnsi="Arial"/>
          <w:sz w:val="13"/>
          <w:szCs w:val="13"/>
          <w:color w:val="auto"/>
        </w:rPr>
        <w:t>The following table presents information regarding compensation earned for fiscal 2018, 2019 and 2020 by our named executive officers. Unless otherwise noted, the footnote disclosures apply to fiscal 2020 compensation. For an explanation of the amounts included in the table for fiscal 2018 or 2019, please see the footnote disclosures in our proxy statement for our annual meeting of stockholders for the corresponding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44577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Name and Principal Position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Fiscal</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Salary</w:t>
      </w:r>
    </w:p>
    <w:p>
      <w:pPr>
        <w:jc w:val="right"/>
        <w:spacing w:after="0" w:line="181" w:lineRule="auto"/>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1"/>
          <w:szCs w:val="11"/>
          <w:b w:val="1"/>
          <w:bCs w:val="1"/>
          <w:color w:val="auto"/>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Bonus</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9"/>
        </w:trPr>
        <w:tc>
          <w:tcPr>
            <w:tcW w:w="580" w:type="dxa"/>
            <w:vAlign w:val="bottom"/>
            <w:tcBorders>
              <w:right w:val="single" w:sz="8" w:color="auto"/>
            </w:tcBorders>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Non-Equity</w:t>
            </w:r>
          </w:p>
        </w:tc>
        <w:tc>
          <w:tcPr>
            <w:tcW w:w="1000" w:type="dxa"/>
            <w:vAlign w:val="bottom"/>
          </w:tcPr>
          <w:p>
            <w:pPr>
              <w:spacing w:after="0"/>
              <w:rPr>
                <w:sz w:val="13"/>
                <w:szCs w:val="13"/>
                <w:color w:val="auto"/>
              </w:rPr>
            </w:pPr>
          </w:p>
        </w:tc>
      </w:tr>
      <w:tr>
        <w:trPr>
          <w:trHeight w:val="179"/>
        </w:trPr>
        <w:tc>
          <w:tcPr>
            <w:tcW w:w="580" w:type="dxa"/>
            <w:vAlign w:val="bottom"/>
            <w:tcBorders>
              <w:right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Stock</w:t>
            </w:r>
          </w:p>
        </w:tc>
        <w:tc>
          <w:tcPr>
            <w:tcW w:w="64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Option</w:t>
            </w:r>
          </w:p>
        </w:tc>
        <w:tc>
          <w:tcPr>
            <w:tcW w:w="1120" w:type="dxa"/>
            <w:vAlign w:val="bottom"/>
            <w:tcBorders>
              <w:right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Incentive Plan</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All Other</w:t>
            </w:r>
          </w:p>
        </w:tc>
      </w:tr>
      <w:tr>
        <w:trPr>
          <w:trHeight w:val="148"/>
        </w:trPr>
        <w:tc>
          <w:tcPr>
            <w:tcW w:w="580" w:type="dxa"/>
            <w:vAlign w:val="bottom"/>
            <w:tcBorders>
              <w:right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97"/>
              </w:rPr>
              <w:t>Awards</w:t>
            </w:r>
          </w:p>
        </w:tc>
        <w:tc>
          <w:tcPr>
            <w:tcW w:w="64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Awards</w:t>
            </w:r>
          </w:p>
        </w:tc>
        <w:tc>
          <w:tcPr>
            <w:tcW w:w="1120" w:type="dxa"/>
            <w:vAlign w:val="bottom"/>
            <w:tcBorders>
              <w:right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Compensation</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Compensation</w:t>
            </w:r>
          </w:p>
        </w:tc>
      </w:tr>
      <w:tr>
        <w:trPr>
          <w:trHeight w:val="216"/>
        </w:trPr>
        <w:tc>
          <w:tcPr>
            <w:tcW w:w="580" w:type="dxa"/>
            <w:vAlign w:val="bottom"/>
            <w:tcBorders>
              <w:right w:val="single" w:sz="8" w:color="auto"/>
            </w:tcBorders>
          </w:tcPr>
          <w:p>
            <w:pPr>
              <w:jc w:val="right"/>
              <w:ind w:right="37"/>
              <w:spacing w:after="0" w:line="216"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1"/>
                <w:szCs w:val="11"/>
                <w:b w:val="1"/>
                <w:bCs w:val="1"/>
                <w:color w:val="auto"/>
              </w:rPr>
              <w:t>(2)</w:t>
            </w:r>
          </w:p>
        </w:tc>
        <w:tc>
          <w:tcPr>
            <w:tcW w:w="64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w:t>
            </w:r>
          </w:p>
        </w:tc>
        <w:tc>
          <w:tcPr>
            <w:tcW w:w="1120" w:type="dxa"/>
            <w:vAlign w:val="bottom"/>
            <w:tcBorders>
              <w:right w:val="single" w:sz="8" w:color="auto"/>
            </w:tcBorders>
          </w:tcPr>
          <w:p>
            <w:pPr>
              <w:jc w:val="right"/>
              <w:ind w:right="36"/>
              <w:spacing w:after="0" w:line="216"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1"/>
                <w:szCs w:val="11"/>
                <w:b w:val="1"/>
                <w:bCs w:val="1"/>
                <w:color w:val="auto"/>
              </w:rPr>
              <w:t>(3)</w:t>
            </w:r>
          </w:p>
        </w:tc>
        <w:tc>
          <w:tcPr>
            <w:tcW w:w="1000" w:type="dxa"/>
            <w:vAlign w:val="bottom"/>
          </w:tcPr>
          <w:p>
            <w:pPr>
              <w:jc w:val="right"/>
              <w:spacing w:after="0" w:line="216"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1"/>
                <w:szCs w:val="11"/>
                <w:b w:val="1"/>
                <w:bCs w:val="1"/>
                <w:color w:val="auto"/>
              </w:rPr>
              <w:t>(4)</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jc w:val="right"/>
        <w:ind w:right="80"/>
        <w:spacing w:after="0"/>
        <w:rPr>
          <w:sz w:val="20"/>
          <w:szCs w:val="20"/>
          <w:color w:val="auto"/>
        </w:rPr>
      </w:pPr>
      <w:r>
        <w:rPr>
          <w:rFonts w:ascii="Arial" w:cs="Arial" w:eastAsia="Arial" w:hAnsi="Arial"/>
          <w:sz w:val="12"/>
          <w:szCs w:val="12"/>
          <w:b w:val="1"/>
          <w:bCs w:val="1"/>
          <w:color w:val="auto"/>
        </w:rPr>
        <w:t>Total</w:t>
      </w:r>
    </w:p>
    <w:p>
      <w:pPr>
        <w:spacing w:after="0" w:line="27" w:lineRule="exact"/>
        <w:rPr>
          <w:sz w:val="20"/>
          <w:szCs w:val="20"/>
          <w:color w:val="auto"/>
        </w:rPr>
      </w:pPr>
    </w:p>
    <w:p>
      <w:pPr>
        <w:jc w:val="right"/>
        <w:ind w:right="80"/>
        <w:spacing w:after="0"/>
        <w:rPr>
          <w:sz w:val="20"/>
          <w:szCs w:val="20"/>
          <w:color w:val="auto"/>
        </w:rPr>
      </w:pPr>
      <w:r>
        <w:rPr>
          <w:rFonts w:ascii="Arial" w:cs="Arial" w:eastAsia="Arial" w:hAnsi="Arial"/>
          <w:sz w:val="13"/>
          <w:szCs w:val="13"/>
          <w:b w:val="1"/>
          <w:bCs w:val="1"/>
          <w:color w:val="auto"/>
        </w:rPr>
        <w:t>($)</w:t>
      </w:r>
    </w:p>
    <w:p>
      <w:pPr>
        <w:spacing w:after="0" w:line="50" w:lineRule="exact"/>
        <w:rPr>
          <w:sz w:val="20"/>
          <w:szCs w:val="20"/>
          <w:color w:val="auto"/>
        </w:rPr>
      </w:pPr>
    </w:p>
    <w:p>
      <w:pPr>
        <w:sectPr>
          <w:pgSz w:w="11900" w:h="16838" w:orient="portrait"/>
          <w:cols w:equalWidth="0" w:num="6">
            <w:col w:w="3900" w:space="720"/>
            <w:col w:w="380" w:space="340"/>
            <w:col w:w="420" w:space="460"/>
            <w:col w:w="420" w:space="340"/>
            <w:col w:w="3340" w:space="540"/>
            <w:col w:w="3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64"/>
        </w:trPr>
        <w:tc>
          <w:tcPr>
            <w:tcW w:w="4540" w:type="dxa"/>
            <w:vAlign w:val="bottom"/>
          </w:tcPr>
          <w:p>
            <w:pPr>
              <w:ind w:left="80"/>
              <w:spacing w:after="0"/>
              <w:rPr>
                <w:sz w:val="20"/>
                <w:szCs w:val="20"/>
                <w:color w:val="auto"/>
              </w:rPr>
            </w:pPr>
            <w:r>
              <w:rPr>
                <w:rFonts w:ascii="Arial" w:cs="Arial" w:eastAsia="Arial" w:hAnsi="Arial"/>
                <w:sz w:val="13"/>
                <w:szCs w:val="13"/>
                <w:b w:val="1"/>
                <w:bCs w:val="1"/>
                <w:color w:val="567EA5"/>
              </w:rPr>
              <w:t>David V. Goeckeler</w:t>
            </w:r>
          </w:p>
        </w:tc>
        <w:tc>
          <w:tcPr>
            <w:tcW w:w="540" w:type="dxa"/>
            <w:vAlign w:val="bottom"/>
          </w:tcPr>
          <w:p>
            <w:pPr>
              <w:jc w:val="right"/>
              <w:spacing w:after="0"/>
              <w:rPr>
                <w:sz w:val="20"/>
                <w:szCs w:val="20"/>
                <w:color w:val="auto"/>
              </w:rPr>
            </w:pPr>
            <w:r>
              <w:rPr>
                <w:rFonts w:ascii="Arial" w:cs="Arial" w:eastAsia="Arial" w:hAnsi="Arial"/>
                <w:sz w:val="13"/>
                <w:szCs w:val="13"/>
                <w:color w:val="auto"/>
              </w:rPr>
              <w:t>2020</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408,654</w:t>
            </w:r>
          </w:p>
        </w:tc>
        <w:tc>
          <w:tcPr>
            <w:tcW w:w="880" w:type="dxa"/>
            <w:vAlign w:val="bottom"/>
          </w:tcPr>
          <w:p>
            <w:pPr>
              <w:jc w:val="right"/>
              <w:spacing w:after="0"/>
              <w:rPr>
                <w:sz w:val="20"/>
                <w:szCs w:val="20"/>
                <w:color w:val="auto"/>
              </w:rPr>
            </w:pPr>
            <w:r>
              <w:rPr>
                <w:rFonts w:ascii="Arial" w:cs="Arial" w:eastAsia="Arial" w:hAnsi="Arial"/>
                <w:sz w:val="13"/>
                <w:szCs w:val="13"/>
                <w:color w:val="auto"/>
              </w:rPr>
              <w:t>3,500,000</w:t>
            </w:r>
            <w:r>
              <w:rPr>
                <w:rFonts w:ascii="Arial" w:cs="Arial" w:eastAsia="Arial" w:hAnsi="Arial"/>
                <w:sz w:val="11"/>
                <w:szCs w:val="11"/>
                <w:color w:val="auto"/>
              </w:rPr>
              <w:t>(5)</w:t>
            </w:r>
          </w:p>
        </w:tc>
        <w:tc>
          <w:tcPr>
            <w:tcW w:w="1020" w:type="dxa"/>
            <w:vAlign w:val="bottom"/>
          </w:tcPr>
          <w:p>
            <w:pPr>
              <w:jc w:val="right"/>
              <w:ind w:right="193"/>
              <w:spacing w:after="0"/>
              <w:rPr>
                <w:sz w:val="20"/>
                <w:szCs w:val="20"/>
                <w:color w:val="auto"/>
              </w:rPr>
            </w:pPr>
            <w:r>
              <w:rPr>
                <w:rFonts w:ascii="Arial" w:cs="Arial" w:eastAsia="Arial" w:hAnsi="Arial"/>
                <w:sz w:val="13"/>
                <w:szCs w:val="13"/>
                <w:color w:val="auto"/>
              </w:rPr>
              <w:t>31,140,040</w:t>
            </w:r>
          </w:p>
        </w:tc>
        <w:tc>
          <w:tcPr>
            <w:tcW w:w="640" w:type="dxa"/>
            <w:vAlign w:val="bottom"/>
          </w:tcPr>
          <w:p>
            <w:pPr>
              <w:ind w:left="260"/>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233"/>
              <w:spacing w:after="0"/>
              <w:rPr>
                <w:sz w:val="20"/>
                <w:szCs w:val="20"/>
                <w:color w:val="auto"/>
              </w:rPr>
            </w:pPr>
            <w:r>
              <w:rPr>
                <w:rFonts w:ascii="Arial" w:cs="Arial" w:eastAsia="Arial" w:hAnsi="Arial"/>
                <w:sz w:val="13"/>
                <w:szCs w:val="13"/>
                <w:color w:val="auto"/>
              </w:rPr>
              <w:t>673,077</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1,605</w:t>
            </w: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35,723,376</w:t>
            </w:r>
          </w:p>
        </w:tc>
        <w:tc>
          <w:tcPr>
            <w:tcW w:w="0" w:type="dxa"/>
            <w:vAlign w:val="bottom"/>
          </w:tcPr>
          <w:p>
            <w:pPr>
              <w:spacing w:after="0"/>
              <w:rPr>
                <w:sz w:val="1"/>
                <w:szCs w:val="1"/>
                <w:color w:val="auto"/>
              </w:rPr>
            </w:pPr>
          </w:p>
        </w:tc>
      </w:tr>
      <w:tr>
        <w:trPr>
          <w:trHeight w:val="170"/>
        </w:trPr>
        <w:tc>
          <w:tcPr>
            <w:tcW w:w="4540" w:type="dxa"/>
            <w:vAlign w:val="bottom"/>
            <w:tcBorders>
              <w:bottom w:val="single" w:sz="8" w:color="959595"/>
            </w:tcBorders>
          </w:tcPr>
          <w:p>
            <w:pPr>
              <w:ind w:left="80"/>
              <w:spacing w:after="0"/>
              <w:rPr>
                <w:sz w:val="20"/>
                <w:szCs w:val="20"/>
                <w:color w:val="auto"/>
              </w:rPr>
            </w:pPr>
            <w:r>
              <w:rPr>
                <w:rFonts w:ascii="Arial" w:cs="Arial" w:eastAsia="Arial" w:hAnsi="Arial"/>
                <w:sz w:val="13"/>
                <w:szCs w:val="13"/>
                <w:color w:val="auto"/>
              </w:rPr>
              <w:t>Chief Executive Officer</w:t>
            </w:r>
          </w:p>
        </w:tc>
        <w:tc>
          <w:tcPr>
            <w:tcW w:w="540" w:type="dxa"/>
            <w:vAlign w:val="bottom"/>
            <w:tcBorders>
              <w:bottom w:val="single" w:sz="8" w:color="959595"/>
            </w:tcBorders>
          </w:tcPr>
          <w:p>
            <w:pPr>
              <w:spacing w:after="0"/>
              <w:rPr>
                <w:sz w:val="14"/>
                <w:szCs w:val="14"/>
                <w:color w:val="auto"/>
              </w:rPr>
            </w:pPr>
          </w:p>
        </w:tc>
        <w:tc>
          <w:tcPr>
            <w:tcW w:w="760" w:type="dxa"/>
            <w:vAlign w:val="bottom"/>
            <w:tcBorders>
              <w:bottom w:val="single" w:sz="8" w:color="959595"/>
            </w:tcBorders>
          </w:tcPr>
          <w:p>
            <w:pPr>
              <w:spacing w:after="0"/>
              <w:rPr>
                <w:sz w:val="14"/>
                <w:szCs w:val="14"/>
                <w:color w:val="auto"/>
              </w:rPr>
            </w:pPr>
          </w:p>
        </w:tc>
        <w:tc>
          <w:tcPr>
            <w:tcW w:w="880" w:type="dxa"/>
            <w:vAlign w:val="bottom"/>
            <w:tcBorders>
              <w:bottom w:val="single" w:sz="8" w:color="959595"/>
            </w:tcBorders>
          </w:tcPr>
          <w:p>
            <w:pPr>
              <w:spacing w:after="0"/>
              <w:rPr>
                <w:sz w:val="14"/>
                <w:szCs w:val="14"/>
                <w:color w:val="auto"/>
              </w:rPr>
            </w:pPr>
          </w:p>
        </w:tc>
        <w:tc>
          <w:tcPr>
            <w:tcW w:w="1020" w:type="dxa"/>
            <w:vAlign w:val="bottom"/>
            <w:tcBorders>
              <w:bottom w:val="single" w:sz="8" w:color="959595"/>
            </w:tcBorders>
          </w:tcPr>
          <w:p>
            <w:pPr>
              <w:spacing w:after="0"/>
              <w:rPr>
                <w:sz w:val="14"/>
                <w:szCs w:val="14"/>
                <w:color w:val="auto"/>
              </w:rPr>
            </w:pPr>
          </w:p>
        </w:tc>
        <w:tc>
          <w:tcPr>
            <w:tcW w:w="640" w:type="dxa"/>
            <w:vAlign w:val="bottom"/>
            <w:tcBorders>
              <w:bottom w:val="single" w:sz="8" w:color="959595"/>
            </w:tcBorders>
          </w:tcPr>
          <w:p>
            <w:pPr>
              <w:spacing w:after="0"/>
              <w:rPr>
                <w:sz w:val="14"/>
                <w:szCs w:val="14"/>
                <w:color w:val="auto"/>
              </w:rPr>
            </w:pPr>
          </w:p>
        </w:tc>
        <w:tc>
          <w:tcPr>
            <w:tcW w:w="1160" w:type="dxa"/>
            <w:vAlign w:val="bottom"/>
            <w:tcBorders>
              <w:bottom w:val="single" w:sz="8" w:color="959595"/>
            </w:tcBorders>
          </w:tcPr>
          <w:p>
            <w:pPr>
              <w:spacing w:after="0"/>
              <w:rPr>
                <w:sz w:val="14"/>
                <w:szCs w:val="14"/>
                <w:color w:val="auto"/>
              </w:rPr>
            </w:pPr>
          </w:p>
        </w:tc>
        <w:tc>
          <w:tcPr>
            <w:tcW w:w="880" w:type="dxa"/>
            <w:vAlign w:val="bottom"/>
            <w:tcBorders>
              <w:bottom w:val="single" w:sz="8" w:color="959595"/>
            </w:tcBorders>
          </w:tcPr>
          <w:p>
            <w:pPr>
              <w:spacing w:after="0"/>
              <w:rPr>
                <w:sz w:val="14"/>
                <w:szCs w:val="14"/>
                <w:color w:val="auto"/>
              </w:rPr>
            </w:pPr>
          </w:p>
        </w:tc>
        <w:tc>
          <w:tcPr>
            <w:tcW w:w="820" w:type="dxa"/>
            <w:vAlign w:val="bottom"/>
            <w:tcBorders>
              <w:bottom w:val="single" w:sz="8" w:color="959595"/>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40" w:type="dxa"/>
            <w:vAlign w:val="bottom"/>
          </w:tcPr>
          <w:p>
            <w:pPr>
              <w:ind w:left="80"/>
              <w:spacing w:after="0"/>
              <w:rPr>
                <w:sz w:val="20"/>
                <w:szCs w:val="20"/>
                <w:color w:val="auto"/>
              </w:rPr>
            </w:pPr>
            <w:r>
              <w:rPr>
                <w:rFonts w:ascii="Arial" w:cs="Arial" w:eastAsia="Arial" w:hAnsi="Arial"/>
                <w:sz w:val="13"/>
                <w:szCs w:val="13"/>
                <w:b w:val="1"/>
                <w:bCs w:val="1"/>
                <w:color w:val="567EA5"/>
              </w:rPr>
              <w:t>Robert K. Eulau</w:t>
            </w:r>
          </w:p>
        </w:tc>
        <w:tc>
          <w:tcPr>
            <w:tcW w:w="540" w:type="dxa"/>
            <w:vAlign w:val="bottom"/>
          </w:tcPr>
          <w:p>
            <w:pPr>
              <w:jc w:val="right"/>
              <w:spacing w:after="0"/>
              <w:rPr>
                <w:sz w:val="20"/>
                <w:szCs w:val="20"/>
                <w:color w:val="auto"/>
              </w:rPr>
            </w:pPr>
            <w:r>
              <w:rPr>
                <w:rFonts w:ascii="Arial" w:cs="Arial" w:eastAsia="Arial" w:hAnsi="Arial"/>
                <w:sz w:val="13"/>
                <w:szCs w:val="13"/>
                <w:color w:val="auto"/>
              </w:rPr>
              <w:t>2020</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721,135</w:t>
            </w:r>
          </w:p>
        </w:tc>
        <w:tc>
          <w:tcPr>
            <w:tcW w:w="880" w:type="dxa"/>
            <w:vAlign w:val="bottom"/>
          </w:tcPr>
          <w:p>
            <w:pPr>
              <w:jc w:val="right"/>
              <w:spacing w:after="0"/>
              <w:rPr>
                <w:sz w:val="20"/>
                <w:szCs w:val="20"/>
                <w:color w:val="auto"/>
              </w:rPr>
            </w:pPr>
            <w:r>
              <w:rPr>
                <w:rFonts w:ascii="Arial" w:cs="Arial" w:eastAsia="Arial" w:hAnsi="Arial"/>
                <w:sz w:val="13"/>
                <w:szCs w:val="13"/>
                <w:color w:val="auto"/>
              </w:rPr>
              <w:t>250,000</w:t>
            </w:r>
            <w:r>
              <w:rPr>
                <w:rFonts w:ascii="Arial" w:cs="Arial" w:eastAsia="Arial" w:hAnsi="Arial"/>
                <w:sz w:val="11"/>
                <w:szCs w:val="11"/>
                <w:color w:val="auto"/>
              </w:rPr>
              <w:t>(6)</w:t>
            </w:r>
          </w:p>
        </w:tc>
        <w:tc>
          <w:tcPr>
            <w:tcW w:w="1020" w:type="dxa"/>
            <w:vAlign w:val="bottom"/>
          </w:tcPr>
          <w:p>
            <w:pPr>
              <w:jc w:val="right"/>
              <w:ind w:right="193"/>
              <w:spacing w:after="0"/>
              <w:rPr>
                <w:sz w:val="20"/>
                <w:szCs w:val="20"/>
                <w:color w:val="auto"/>
              </w:rPr>
            </w:pPr>
            <w:r>
              <w:rPr>
                <w:rFonts w:ascii="Arial" w:cs="Arial" w:eastAsia="Arial" w:hAnsi="Arial"/>
                <w:sz w:val="13"/>
                <w:szCs w:val="13"/>
                <w:color w:val="auto"/>
              </w:rPr>
              <w:t>4,667,943</w:t>
            </w:r>
          </w:p>
        </w:tc>
        <w:tc>
          <w:tcPr>
            <w:tcW w:w="640" w:type="dxa"/>
            <w:vAlign w:val="bottom"/>
          </w:tcPr>
          <w:p>
            <w:pPr>
              <w:ind w:left="260"/>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233"/>
              <w:spacing w:after="0"/>
              <w:rPr>
                <w:sz w:val="20"/>
                <w:szCs w:val="20"/>
                <w:color w:val="auto"/>
              </w:rPr>
            </w:pPr>
            <w:r>
              <w:rPr>
                <w:rFonts w:ascii="Arial" w:cs="Arial" w:eastAsia="Arial" w:hAnsi="Arial"/>
                <w:sz w:val="13"/>
                <w:szCs w:val="13"/>
                <w:color w:val="auto"/>
              </w:rPr>
              <w:t>778,123</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25,564</w:t>
            </w: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6,442,765</w:t>
            </w:r>
          </w:p>
        </w:tc>
        <w:tc>
          <w:tcPr>
            <w:tcW w:w="0" w:type="dxa"/>
            <w:vAlign w:val="bottom"/>
          </w:tcPr>
          <w:p>
            <w:pPr>
              <w:spacing w:after="0"/>
              <w:rPr>
                <w:sz w:val="1"/>
                <w:szCs w:val="1"/>
                <w:color w:val="auto"/>
              </w:rPr>
            </w:pPr>
          </w:p>
        </w:tc>
      </w:tr>
      <w:tr>
        <w:trPr>
          <w:trHeight w:val="68"/>
        </w:trPr>
        <w:tc>
          <w:tcPr>
            <w:tcW w:w="4540" w:type="dxa"/>
            <w:vAlign w:val="bottom"/>
            <w:vMerge w:val="restart"/>
          </w:tcPr>
          <w:p>
            <w:pPr>
              <w:ind w:left="80"/>
              <w:spacing w:after="0"/>
              <w:rPr>
                <w:sz w:val="20"/>
                <w:szCs w:val="20"/>
                <w:color w:val="auto"/>
              </w:rPr>
            </w:pPr>
            <w:r>
              <w:rPr>
                <w:rFonts w:ascii="Arial" w:cs="Arial" w:eastAsia="Arial" w:hAnsi="Arial"/>
                <w:sz w:val="13"/>
                <w:szCs w:val="13"/>
                <w:color w:val="auto"/>
              </w:rPr>
              <w:t>Executive Vice President</w:t>
            </w:r>
          </w:p>
        </w:tc>
        <w:tc>
          <w:tcPr>
            <w:tcW w:w="540" w:type="dxa"/>
            <w:vAlign w:val="bottom"/>
            <w:tcBorders>
              <w:bottom w:val="single" w:sz="8" w:color="959595"/>
            </w:tcBorders>
          </w:tcPr>
          <w:p>
            <w:pPr>
              <w:spacing w:after="0"/>
              <w:rPr>
                <w:sz w:val="5"/>
                <w:szCs w:val="5"/>
                <w:color w:val="auto"/>
              </w:rPr>
            </w:pPr>
          </w:p>
        </w:tc>
        <w:tc>
          <w:tcPr>
            <w:tcW w:w="760" w:type="dxa"/>
            <w:vAlign w:val="bottom"/>
            <w:tcBorders>
              <w:bottom w:val="single" w:sz="8" w:color="959595"/>
            </w:tcBorders>
          </w:tcPr>
          <w:p>
            <w:pPr>
              <w:spacing w:after="0"/>
              <w:rPr>
                <w:sz w:val="5"/>
                <w:szCs w:val="5"/>
                <w:color w:val="auto"/>
              </w:rPr>
            </w:pPr>
          </w:p>
        </w:tc>
        <w:tc>
          <w:tcPr>
            <w:tcW w:w="880" w:type="dxa"/>
            <w:vAlign w:val="bottom"/>
            <w:tcBorders>
              <w:bottom w:val="single" w:sz="8" w:color="959595"/>
            </w:tcBorders>
          </w:tcPr>
          <w:p>
            <w:pPr>
              <w:spacing w:after="0"/>
              <w:rPr>
                <w:sz w:val="5"/>
                <w:szCs w:val="5"/>
                <w:color w:val="auto"/>
              </w:rPr>
            </w:pPr>
          </w:p>
        </w:tc>
        <w:tc>
          <w:tcPr>
            <w:tcW w:w="1020" w:type="dxa"/>
            <w:vAlign w:val="bottom"/>
            <w:tcBorders>
              <w:bottom w:val="single" w:sz="8" w:color="959595"/>
            </w:tcBorders>
          </w:tcPr>
          <w:p>
            <w:pPr>
              <w:spacing w:after="0"/>
              <w:rPr>
                <w:sz w:val="5"/>
                <w:szCs w:val="5"/>
                <w:color w:val="auto"/>
              </w:rPr>
            </w:pPr>
          </w:p>
        </w:tc>
        <w:tc>
          <w:tcPr>
            <w:tcW w:w="640" w:type="dxa"/>
            <w:vAlign w:val="bottom"/>
            <w:tcBorders>
              <w:bottom w:val="single" w:sz="8" w:color="959595"/>
            </w:tcBorders>
          </w:tcPr>
          <w:p>
            <w:pPr>
              <w:spacing w:after="0"/>
              <w:rPr>
                <w:sz w:val="5"/>
                <w:szCs w:val="5"/>
                <w:color w:val="auto"/>
              </w:rPr>
            </w:pPr>
          </w:p>
        </w:tc>
        <w:tc>
          <w:tcPr>
            <w:tcW w:w="1160" w:type="dxa"/>
            <w:vAlign w:val="bottom"/>
            <w:tcBorders>
              <w:bottom w:val="single" w:sz="8" w:color="959595"/>
            </w:tcBorders>
          </w:tcPr>
          <w:p>
            <w:pPr>
              <w:spacing w:after="0"/>
              <w:rPr>
                <w:sz w:val="5"/>
                <w:szCs w:val="5"/>
                <w:color w:val="auto"/>
              </w:rPr>
            </w:pPr>
          </w:p>
        </w:tc>
        <w:tc>
          <w:tcPr>
            <w:tcW w:w="880" w:type="dxa"/>
            <w:vAlign w:val="bottom"/>
            <w:tcBorders>
              <w:bottom w:val="single" w:sz="8" w:color="959595"/>
            </w:tcBorders>
          </w:tcPr>
          <w:p>
            <w:pPr>
              <w:spacing w:after="0"/>
              <w:rPr>
                <w:sz w:val="5"/>
                <w:szCs w:val="5"/>
                <w:color w:val="auto"/>
              </w:rPr>
            </w:pPr>
          </w:p>
        </w:tc>
        <w:tc>
          <w:tcPr>
            <w:tcW w:w="820" w:type="dxa"/>
            <w:vAlign w:val="bottom"/>
            <w:tcBorders>
              <w:bottom w:val="single" w:sz="8" w:color="959595"/>
            </w:tcBorders>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4540" w:type="dxa"/>
            <w:vAlign w:val="bottom"/>
            <w:vMerge w:val="continue"/>
          </w:tcPr>
          <w:p>
            <w:pPr>
              <w:spacing w:after="0"/>
              <w:rPr>
                <w:sz w:val="5"/>
                <w:szCs w:val="5"/>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2019</w:t>
            </w:r>
          </w:p>
        </w:tc>
        <w:tc>
          <w:tcPr>
            <w:tcW w:w="760" w:type="dxa"/>
            <w:vAlign w:val="bottom"/>
            <w:vMerge w:val="restart"/>
          </w:tcPr>
          <w:p>
            <w:pPr>
              <w:jc w:val="right"/>
              <w:ind w:right="13"/>
              <w:spacing w:after="0"/>
              <w:rPr>
                <w:sz w:val="20"/>
                <w:szCs w:val="20"/>
                <w:color w:val="auto"/>
              </w:rPr>
            </w:pPr>
            <w:r>
              <w:rPr>
                <w:rFonts w:ascii="Arial" w:cs="Arial" w:eastAsia="Arial" w:hAnsi="Arial"/>
                <w:sz w:val="13"/>
                <w:szCs w:val="13"/>
                <w:color w:val="auto"/>
              </w:rPr>
              <w:t>134,615</w:t>
            </w:r>
          </w:p>
        </w:tc>
        <w:tc>
          <w:tcPr>
            <w:tcW w:w="880" w:type="dxa"/>
            <w:vAlign w:val="bottom"/>
            <w:vMerge w:val="restart"/>
          </w:tcPr>
          <w:p>
            <w:pPr>
              <w:jc w:val="right"/>
              <w:ind w:right="133"/>
              <w:spacing w:after="0"/>
              <w:rPr>
                <w:sz w:val="20"/>
                <w:szCs w:val="20"/>
                <w:color w:val="auto"/>
              </w:rPr>
            </w:pPr>
            <w:r>
              <w:rPr>
                <w:rFonts w:ascii="Arial" w:cs="Arial" w:eastAsia="Arial" w:hAnsi="Arial"/>
                <w:sz w:val="13"/>
                <w:szCs w:val="13"/>
                <w:color w:val="auto"/>
              </w:rPr>
              <w:t>250,000</w:t>
            </w:r>
          </w:p>
        </w:tc>
        <w:tc>
          <w:tcPr>
            <w:tcW w:w="1020" w:type="dxa"/>
            <w:vAlign w:val="bottom"/>
            <w:vMerge w:val="restart"/>
          </w:tcPr>
          <w:p>
            <w:pPr>
              <w:jc w:val="right"/>
              <w:ind w:right="193"/>
              <w:spacing w:after="0"/>
              <w:rPr>
                <w:sz w:val="20"/>
                <w:szCs w:val="20"/>
                <w:color w:val="auto"/>
              </w:rPr>
            </w:pPr>
            <w:r>
              <w:rPr>
                <w:rFonts w:ascii="Arial" w:cs="Arial" w:eastAsia="Arial" w:hAnsi="Arial"/>
                <w:sz w:val="13"/>
                <w:szCs w:val="13"/>
                <w:color w:val="auto"/>
              </w:rPr>
              <w:t>1,999,970</w:t>
            </w:r>
          </w:p>
        </w:tc>
        <w:tc>
          <w:tcPr>
            <w:tcW w:w="640" w:type="dxa"/>
            <w:vAlign w:val="bottom"/>
            <w:vMerge w:val="restart"/>
          </w:tcPr>
          <w:p>
            <w:pPr>
              <w:ind w:left="260"/>
              <w:spacing w:after="0"/>
              <w:rPr>
                <w:sz w:val="20"/>
                <w:szCs w:val="20"/>
                <w:color w:val="auto"/>
              </w:rPr>
            </w:pPr>
            <w:r>
              <w:rPr>
                <w:rFonts w:ascii="Arial" w:cs="Arial" w:eastAsia="Arial" w:hAnsi="Arial"/>
                <w:sz w:val="13"/>
                <w:szCs w:val="13"/>
                <w:color w:val="auto"/>
              </w:rPr>
              <w:t>—</w:t>
            </w:r>
          </w:p>
        </w:tc>
        <w:tc>
          <w:tcPr>
            <w:tcW w:w="1160" w:type="dxa"/>
            <w:vAlign w:val="bottom"/>
            <w:vMerge w:val="restart"/>
          </w:tcPr>
          <w:p>
            <w:pPr>
              <w:jc w:val="right"/>
              <w:ind w:right="233"/>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ind w:right="13"/>
              <w:spacing w:after="0"/>
              <w:rPr>
                <w:sz w:val="20"/>
                <w:szCs w:val="20"/>
                <w:color w:val="auto"/>
              </w:rPr>
            </w:pPr>
            <w:r>
              <w:rPr>
                <w:rFonts w:ascii="Arial" w:cs="Arial" w:eastAsia="Arial" w:hAnsi="Arial"/>
                <w:sz w:val="13"/>
                <w:szCs w:val="13"/>
                <w:color w:val="auto"/>
              </w:rPr>
              <w:t>3,231</w:t>
            </w:r>
          </w:p>
        </w:tc>
        <w:tc>
          <w:tcPr>
            <w:tcW w:w="820" w:type="dxa"/>
            <w:vAlign w:val="bottom"/>
            <w:vMerge w:val="restart"/>
          </w:tcPr>
          <w:p>
            <w:pPr>
              <w:jc w:val="right"/>
              <w:ind w:right="13"/>
              <w:spacing w:after="0"/>
              <w:rPr>
                <w:sz w:val="20"/>
                <w:szCs w:val="20"/>
                <w:color w:val="auto"/>
              </w:rPr>
            </w:pPr>
            <w:r>
              <w:rPr>
                <w:rFonts w:ascii="Arial" w:cs="Arial" w:eastAsia="Arial" w:hAnsi="Arial"/>
                <w:sz w:val="13"/>
                <w:szCs w:val="13"/>
                <w:color w:val="auto"/>
              </w:rPr>
              <w:t>2,387,816</w:t>
            </w:r>
          </w:p>
        </w:tc>
        <w:tc>
          <w:tcPr>
            <w:tcW w:w="0" w:type="dxa"/>
            <w:vAlign w:val="bottom"/>
          </w:tcPr>
          <w:p>
            <w:pPr>
              <w:spacing w:after="0"/>
              <w:rPr>
                <w:sz w:val="1"/>
                <w:szCs w:val="1"/>
                <w:color w:val="auto"/>
              </w:rPr>
            </w:pPr>
          </w:p>
        </w:tc>
      </w:tr>
      <w:tr>
        <w:trPr>
          <w:trHeight w:val="170"/>
        </w:trPr>
        <w:tc>
          <w:tcPr>
            <w:tcW w:w="4540" w:type="dxa"/>
            <w:vAlign w:val="bottom"/>
            <w:tcBorders>
              <w:bottom w:val="single" w:sz="8" w:color="959595"/>
            </w:tcBorders>
          </w:tcPr>
          <w:p>
            <w:pPr>
              <w:ind w:left="80"/>
              <w:spacing w:after="0"/>
              <w:rPr>
                <w:sz w:val="20"/>
                <w:szCs w:val="20"/>
                <w:color w:val="auto"/>
              </w:rPr>
            </w:pPr>
            <w:r>
              <w:rPr>
                <w:rFonts w:ascii="Arial" w:cs="Arial" w:eastAsia="Arial" w:hAnsi="Arial"/>
                <w:sz w:val="13"/>
                <w:szCs w:val="13"/>
                <w:color w:val="auto"/>
              </w:rPr>
              <w:t>and Chief Financial Officer</w:t>
            </w:r>
          </w:p>
        </w:tc>
        <w:tc>
          <w:tcPr>
            <w:tcW w:w="540" w:type="dxa"/>
            <w:vAlign w:val="bottom"/>
            <w:tcBorders>
              <w:bottom w:val="single" w:sz="8" w:color="959595"/>
            </w:tcBorders>
            <w:vMerge w:val="continue"/>
          </w:tcPr>
          <w:p>
            <w:pPr>
              <w:spacing w:after="0"/>
              <w:rPr>
                <w:sz w:val="14"/>
                <w:szCs w:val="14"/>
                <w:color w:val="auto"/>
              </w:rPr>
            </w:pPr>
          </w:p>
        </w:tc>
        <w:tc>
          <w:tcPr>
            <w:tcW w:w="760" w:type="dxa"/>
            <w:vAlign w:val="bottom"/>
            <w:tcBorders>
              <w:bottom w:val="single" w:sz="8" w:color="959595"/>
            </w:tcBorders>
            <w:vMerge w:val="continue"/>
          </w:tcPr>
          <w:p>
            <w:pPr>
              <w:spacing w:after="0"/>
              <w:rPr>
                <w:sz w:val="14"/>
                <w:szCs w:val="14"/>
                <w:color w:val="auto"/>
              </w:rPr>
            </w:pPr>
          </w:p>
        </w:tc>
        <w:tc>
          <w:tcPr>
            <w:tcW w:w="880" w:type="dxa"/>
            <w:vAlign w:val="bottom"/>
            <w:tcBorders>
              <w:bottom w:val="single" w:sz="8" w:color="959595"/>
            </w:tcBorders>
            <w:vMerge w:val="continue"/>
          </w:tcPr>
          <w:p>
            <w:pPr>
              <w:spacing w:after="0"/>
              <w:rPr>
                <w:sz w:val="14"/>
                <w:szCs w:val="14"/>
                <w:color w:val="auto"/>
              </w:rPr>
            </w:pPr>
          </w:p>
        </w:tc>
        <w:tc>
          <w:tcPr>
            <w:tcW w:w="1020" w:type="dxa"/>
            <w:vAlign w:val="bottom"/>
            <w:tcBorders>
              <w:bottom w:val="single" w:sz="8" w:color="959595"/>
            </w:tcBorders>
            <w:vMerge w:val="continue"/>
          </w:tcPr>
          <w:p>
            <w:pPr>
              <w:spacing w:after="0"/>
              <w:rPr>
                <w:sz w:val="14"/>
                <w:szCs w:val="14"/>
                <w:color w:val="auto"/>
              </w:rPr>
            </w:pPr>
          </w:p>
        </w:tc>
        <w:tc>
          <w:tcPr>
            <w:tcW w:w="640" w:type="dxa"/>
            <w:vAlign w:val="bottom"/>
            <w:tcBorders>
              <w:bottom w:val="single" w:sz="8" w:color="959595"/>
            </w:tcBorders>
            <w:vMerge w:val="continue"/>
          </w:tcPr>
          <w:p>
            <w:pPr>
              <w:spacing w:after="0"/>
              <w:rPr>
                <w:sz w:val="14"/>
                <w:szCs w:val="14"/>
                <w:color w:val="auto"/>
              </w:rPr>
            </w:pPr>
          </w:p>
        </w:tc>
        <w:tc>
          <w:tcPr>
            <w:tcW w:w="1160" w:type="dxa"/>
            <w:vAlign w:val="bottom"/>
            <w:tcBorders>
              <w:bottom w:val="single" w:sz="8" w:color="959595"/>
            </w:tcBorders>
            <w:vMerge w:val="continue"/>
          </w:tcPr>
          <w:p>
            <w:pPr>
              <w:spacing w:after="0"/>
              <w:rPr>
                <w:sz w:val="14"/>
                <w:szCs w:val="14"/>
                <w:color w:val="auto"/>
              </w:rPr>
            </w:pPr>
          </w:p>
        </w:tc>
        <w:tc>
          <w:tcPr>
            <w:tcW w:w="880" w:type="dxa"/>
            <w:vAlign w:val="bottom"/>
            <w:tcBorders>
              <w:bottom w:val="single" w:sz="8" w:color="959595"/>
            </w:tcBorders>
            <w:vMerge w:val="continue"/>
          </w:tcPr>
          <w:p>
            <w:pPr>
              <w:spacing w:after="0"/>
              <w:rPr>
                <w:sz w:val="14"/>
                <w:szCs w:val="14"/>
                <w:color w:val="auto"/>
              </w:rPr>
            </w:pPr>
          </w:p>
        </w:tc>
        <w:tc>
          <w:tcPr>
            <w:tcW w:w="820" w:type="dxa"/>
            <w:vAlign w:val="bottom"/>
            <w:tcBorders>
              <w:bottom w:val="single" w:sz="8" w:color="959595"/>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40" w:type="dxa"/>
            <w:vAlign w:val="bottom"/>
          </w:tcPr>
          <w:p>
            <w:pPr>
              <w:ind w:left="80"/>
              <w:spacing w:after="0"/>
              <w:rPr>
                <w:sz w:val="20"/>
                <w:szCs w:val="20"/>
                <w:color w:val="auto"/>
              </w:rPr>
            </w:pPr>
            <w:r>
              <w:rPr>
                <w:rFonts w:ascii="Arial" w:cs="Arial" w:eastAsia="Arial" w:hAnsi="Arial"/>
                <w:sz w:val="13"/>
                <w:szCs w:val="13"/>
                <w:b w:val="1"/>
                <w:bCs w:val="1"/>
                <w:color w:val="567EA5"/>
              </w:rPr>
              <w:t>Srinivasan Sivaram</w:t>
            </w:r>
          </w:p>
        </w:tc>
        <w:tc>
          <w:tcPr>
            <w:tcW w:w="540" w:type="dxa"/>
            <w:vAlign w:val="bottom"/>
          </w:tcPr>
          <w:p>
            <w:pPr>
              <w:jc w:val="right"/>
              <w:spacing w:after="0"/>
              <w:rPr>
                <w:sz w:val="20"/>
                <w:szCs w:val="20"/>
                <w:color w:val="auto"/>
              </w:rPr>
            </w:pPr>
            <w:r>
              <w:rPr>
                <w:rFonts w:ascii="Arial" w:cs="Arial" w:eastAsia="Arial" w:hAnsi="Arial"/>
                <w:sz w:val="13"/>
                <w:szCs w:val="13"/>
                <w:color w:val="auto"/>
              </w:rPr>
              <w:t>2020</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719,712</w:t>
            </w:r>
          </w:p>
        </w:tc>
        <w:tc>
          <w:tcPr>
            <w:tcW w:w="88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93"/>
              <w:spacing w:after="0"/>
              <w:rPr>
                <w:sz w:val="20"/>
                <w:szCs w:val="20"/>
                <w:color w:val="auto"/>
              </w:rPr>
            </w:pPr>
            <w:r>
              <w:rPr>
                <w:rFonts w:ascii="Arial" w:cs="Arial" w:eastAsia="Arial" w:hAnsi="Arial"/>
                <w:sz w:val="13"/>
                <w:szCs w:val="13"/>
                <w:color w:val="auto"/>
              </w:rPr>
              <w:t>4,667,943</w:t>
            </w:r>
          </w:p>
        </w:tc>
        <w:tc>
          <w:tcPr>
            <w:tcW w:w="640" w:type="dxa"/>
            <w:vAlign w:val="bottom"/>
          </w:tcPr>
          <w:p>
            <w:pPr>
              <w:ind w:left="260"/>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233"/>
              <w:spacing w:after="0"/>
              <w:rPr>
                <w:sz w:val="20"/>
                <w:szCs w:val="20"/>
                <w:color w:val="auto"/>
              </w:rPr>
            </w:pPr>
            <w:r>
              <w:rPr>
                <w:rFonts w:ascii="Arial" w:cs="Arial" w:eastAsia="Arial" w:hAnsi="Arial"/>
                <w:sz w:val="13"/>
                <w:szCs w:val="13"/>
                <w:color w:val="auto"/>
              </w:rPr>
              <w:t>776,875</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22,432</w:t>
            </w: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6,186,962</w:t>
            </w:r>
          </w:p>
        </w:tc>
        <w:tc>
          <w:tcPr>
            <w:tcW w:w="0" w:type="dxa"/>
            <w:vAlign w:val="bottom"/>
          </w:tcPr>
          <w:p>
            <w:pPr>
              <w:spacing w:after="0"/>
              <w:rPr>
                <w:sz w:val="1"/>
                <w:szCs w:val="1"/>
                <w:color w:val="auto"/>
              </w:rPr>
            </w:pPr>
          </w:p>
        </w:tc>
      </w:tr>
      <w:tr>
        <w:trPr>
          <w:trHeight w:val="28"/>
        </w:trPr>
        <w:tc>
          <w:tcPr>
            <w:tcW w:w="4540" w:type="dxa"/>
            <w:vAlign w:val="bottom"/>
            <w:vMerge w:val="restart"/>
          </w:tcPr>
          <w:p>
            <w:pPr>
              <w:ind w:left="80"/>
              <w:spacing w:after="0"/>
              <w:rPr>
                <w:sz w:val="20"/>
                <w:szCs w:val="20"/>
                <w:color w:val="auto"/>
              </w:rPr>
            </w:pPr>
            <w:r>
              <w:rPr>
                <w:rFonts w:ascii="Arial" w:cs="Arial" w:eastAsia="Arial" w:hAnsi="Arial"/>
                <w:sz w:val="13"/>
                <w:szCs w:val="13"/>
                <w:color w:val="auto"/>
              </w:rPr>
              <w:t>President, Technology</w:t>
            </w:r>
          </w:p>
        </w:tc>
        <w:tc>
          <w:tcPr>
            <w:tcW w:w="540" w:type="dxa"/>
            <w:vAlign w:val="bottom"/>
            <w:tcBorders>
              <w:bottom w:val="single" w:sz="8" w:color="959595"/>
            </w:tcBorders>
          </w:tcPr>
          <w:p>
            <w:pPr>
              <w:spacing w:after="0"/>
              <w:rPr>
                <w:sz w:val="2"/>
                <w:szCs w:val="2"/>
                <w:color w:val="auto"/>
              </w:rPr>
            </w:pPr>
          </w:p>
        </w:tc>
        <w:tc>
          <w:tcPr>
            <w:tcW w:w="760" w:type="dxa"/>
            <w:vAlign w:val="bottom"/>
            <w:tcBorders>
              <w:bottom w:val="single" w:sz="8" w:color="959595"/>
            </w:tcBorders>
          </w:tcPr>
          <w:p>
            <w:pPr>
              <w:spacing w:after="0"/>
              <w:rPr>
                <w:sz w:val="2"/>
                <w:szCs w:val="2"/>
                <w:color w:val="auto"/>
              </w:rPr>
            </w:pPr>
          </w:p>
        </w:tc>
        <w:tc>
          <w:tcPr>
            <w:tcW w:w="880" w:type="dxa"/>
            <w:vAlign w:val="bottom"/>
            <w:tcBorders>
              <w:bottom w:val="single" w:sz="8" w:color="959595"/>
            </w:tcBorders>
          </w:tcPr>
          <w:p>
            <w:pPr>
              <w:spacing w:after="0"/>
              <w:rPr>
                <w:sz w:val="2"/>
                <w:szCs w:val="2"/>
                <w:color w:val="auto"/>
              </w:rPr>
            </w:pPr>
          </w:p>
        </w:tc>
        <w:tc>
          <w:tcPr>
            <w:tcW w:w="1020" w:type="dxa"/>
            <w:vAlign w:val="bottom"/>
            <w:tcBorders>
              <w:bottom w:val="single" w:sz="8" w:color="959595"/>
            </w:tcBorders>
          </w:tcPr>
          <w:p>
            <w:pPr>
              <w:spacing w:after="0"/>
              <w:rPr>
                <w:sz w:val="2"/>
                <w:szCs w:val="2"/>
                <w:color w:val="auto"/>
              </w:rPr>
            </w:pPr>
          </w:p>
        </w:tc>
        <w:tc>
          <w:tcPr>
            <w:tcW w:w="640" w:type="dxa"/>
            <w:vAlign w:val="bottom"/>
            <w:tcBorders>
              <w:bottom w:val="single" w:sz="8" w:color="959595"/>
            </w:tcBorders>
          </w:tcPr>
          <w:p>
            <w:pPr>
              <w:spacing w:after="0"/>
              <w:rPr>
                <w:sz w:val="2"/>
                <w:szCs w:val="2"/>
                <w:color w:val="auto"/>
              </w:rPr>
            </w:pPr>
          </w:p>
        </w:tc>
        <w:tc>
          <w:tcPr>
            <w:tcW w:w="1160" w:type="dxa"/>
            <w:vAlign w:val="bottom"/>
            <w:tcBorders>
              <w:bottom w:val="single" w:sz="8" w:color="959595"/>
            </w:tcBorders>
          </w:tcPr>
          <w:p>
            <w:pPr>
              <w:spacing w:after="0"/>
              <w:rPr>
                <w:sz w:val="2"/>
                <w:szCs w:val="2"/>
                <w:color w:val="auto"/>
              </w:rPr>
            </w:pPr>
          </w:p>
        </w:tc>
        <w:tc>
          <w:tcPr>
            <w:tcW w:w="880" w:type="dxa"/>
            <w:vAlign w:val="bottom"/>
            <w:tcBorders>
              <w:bottom w:val="single" w:sz="8" w:color="959595"/>
            </w:tcBorders>
          </w:tcPr>
          <w:p>
            <w:pPr>
              <w:spacing w:after="0"/>
              <w:rPr>
                <w:sz w:val="2"/>
                <w:szCs w:val="2"/>
                <w:color w:val="auto"/>
              </w:rPr>
            </w:pPr>
          </w:p>
        </w:tc>
        <w:tc>
          <w:tcPr>
            <w:tcW w:w="820" w:type="dxa"/>
            <w:vAlign w:val="bottom"/>
            <w:tcBorders>
              <w:bottom w:val="single" w:sz="8" w:color="959595"/>
            </w:tcBorders>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4540" w:type="dxa"/>
            <w:vAlign w:val="bottom"/>
            <w:vMerge w:val="continue"/>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2019</w:t>
            </w:r>
          </w:p>
        </w:tc>
        <w:tc>
          <w:tcPr>
            <w:tcW w:w="760" w:type="dxa"/>
            <w:vAlign w:val="bottom"/>
            <w:vMerge w:val="restart"/>
          </w:tcPr>
          <w:p>
            <w:pPr>
              <w:jc w:val="right"/>
              <w:ind w:right="13"/>
              <w:spacing w:after="0"/>
              <w:rPr>
                <w:sz w:val="20"/>
                <w:szCs w:val="20"/>
                <w:color w:val="auto"/>
              </w:rPr>
            </w:pPr>
            <w:r>
              <w:rPr>
                <w:rFonts w:ascii="Arial" w:cs="Arial" w:eastAsia="Arial" w:hAnsi="Arial"/>
                <w:sz w:val="13"/>
                <w:szCs w:val="13"/>
                <w:color w:val="auto"/>
              </w:rPr>
              <w:t>625,000</w:t>
            </w:r>
          </w:p>
        </w:tc>
        <w:tc>
          <w:tcPr>
            <w:tcW w:w="880" w:type="dxa"/>
            <w:vAlign w:val="bottom"/>
            <w:vMerge w:val="restart"/>
          </w:tcPr>
          <w:p>
            <w:pPr>
              <w:jc w:val="right"/>
              <w:ind w:right="133"/>
              <w:spacing w:after="0"/>
              <w:rPr>
                <w:sz w:val="20"/>
                <w:szCs w:val="20"/>
                <w:color w:val="auto"/>
              </w:rPr>
            </w:pPr>
            <w:r>
              <w:rPr>
                <w:rFonts w:ascii="Arial" w:cs="Arial" w:eastAsia="Arial" w:hAnsi="Arial"/>
                <w:sz w:val="13"/>
                <w:szCs w:val="13"/>
                <w:color w:val="auto"/>
              </w:rPr>
              <w:t>—</w:t>
            </w:r>
          </w:p>
        </w:tc>
        <w:tc>
          <w:tcPr>
            <w:tcW w:w="1020" w:type="dxa"/>
            <w:vAlign w:val="bottom"/>
            <w:vMerge w:val="restart"/>
          </w:tcPr>
          <w:p>
            <w:pPr>
              <w:jc w:val="right"/>
              <w:ind w:right="193"/>
              <w:spacing w:after="0"/>
              <w:rPr>
                <w:sz w:val="20"/>
                <w:szCs w:val="20"/>
                <w:color w:val="auto"/>
              </w:rPr>
            </w:pPr>
            <w:r>
              <w:rPr>
                <w:rFonts w:ascii="Arial" w:cs="Arial" w:eastAsia="Arial" w:hAnsi="Arial"/>
                <w:sz w:val="13"/>
                <w:szCs w:val="13"/>
                <w:color w:val="auto"/>
              </w:rPr>
              <w:t>3,038,291</w:t>
            </w:r>
          </w:p>
        </w:tc>
        <w:tc>
          <w:tcPr>
            <w:tcW w:w="640" w:type="dxa"/>
            <w:vAlign w:val="bottom"/>
            <w:vMerge w:val="restart"/>
          </w:tcPr>
          <w:p>
            <w:pPr>
              <w:ind w:left="260"/>
              <w:spacing w:after="0"/>
              <w:rPr>
                <w:sz w:val="20"/>
                <w:szCs w:val="20"/>
                <w:color w:val="auto"/>
              </w:rPr>
            </w:pPr>
            <w:r>
              <w:rPr>
                <w:rFonts w:ascii="Arial" w:cs="Arial" w:eastAsia="Arial" w:hAnsi="Arial"/>
                <w:sz w:val="13"/>
                <w:szCs w:val="13"/>
                <w:color w:val="auto"/>
              </w:rPr>
              <w:t>—</w:t>
            </w:r>
          </w:p>
        </w:tc>
        <w:tc>
          <w:tcPr>
            <w:tcW w:w="1160" w:type="dxa"/>
            <w:vAlign w:val="bottom"/>
            <w:vMerge w:val="restart"/>
          </w:tcPr>
          <w:p>
            <w:pPr>
              <w:jc w:val="right"/>
              <w:ind w:right="233"/>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ind w:right="13"/>
              <w:spacing w:after="0"/>
              <w:rPr>
                <w:sz w:val="20"/>
                <w:szCs w:val="20"/>
                <w:color w:val="auto"/>
              </w:rPr>
            </w:pPr>
            <w:r>
              <w:rPr>
                <w:rFonts w:ascii="Arial" w:cs="Arial" w:eastAsia="Arial" w:hAnsi="Arial"/>
                <w:sz w:val="13"/>
                <w:szCs w:val="13"/>
                <w:color w:val="auto"/>
              </w:rPr>
              <w:t>10,158</w:t>
            </w:r>
          </w:p>
        </w:tc>
        <w:tc>
          <w:tcPr>
            <w:tcW w:w="820" w:type="dxa"/>
            <w:vAlign w:val="bottom"/>
            <w:vMerge w:val="restart"/>
          </w:tcPr>
          <w:p>
            <w:pPr>
              <w:jc w:val="right"/>
              <w:ind w:right="13"/>
              <w:spacing w:after="0"/>
              <w:rPr>
                <w:sz w:val="20"/>
                <w:szCs w:val="20"/>
                <w:color w:val="auto"/>
              </w:rPr>
            </w:pPr>
            <w:r>
              <w:rPr>
                <w:rFonts w:ascii="Arial" w:cs="Arial" w:eastAsia="Arial" w:hAnsi="Arial"/>
                <w:sz w:val="13"/>
                <w:szCs w:val="13"/>
                <w:color w:val="auto"/>
              </w:rPr>
              <w:t>3,673,449</w:t>
            </w:r>
          </w:p>
        </w:tc>
        <w:tc>
          <w:tcPr>
            <w:tcW w:w="0" w:type="dxa"/>
            <w:vAlign w:val="bottom"/>
          </w:tcPr>
          <w:p>
            <w:pPr>
              <w:spacing w:after="0"/>
              <w:rPr>
                <w:sz w:val="1"/>
                <w:szCs w:val="1"/>
                <w:color w:val="auto"/>
              </w:rPr>
            </w:pPr>
          </w:p>
        </w:tc>
      </w:tr>
      <w:tr>
        <w:trPr>
          <w:trHeight w:val="94"/>
        </w:trPr>
        <w:tc>
          <w:tcPr>
            <w:tcW w:w="4540" w:type="dxa"/>
            <w:vAlign w:val="bottom"/>
            <w:vMerge w:val="restart"/>
          </w:tcPr>
          <w:p>
            <w:pPr>
              <w:ind w:left="80"/>
              <w:spacing w:after="0"/>
              <w:rPr>
                <w:sz w:val="20"/>
                <w:szCs w:val="20"/>
                <w:color w:val="auto"/>
              </w:rPr>
            </w:pPr>
            <w:r>
              <w:rPr>
                <w:rFonts w:ascii="Arial" w:cs="Arial" w:eastAsia="Arial" w:hAnsi="Arial"/>
                <w:sz w:val="13"/>
                <w:szCs w:val="13"/>
                <w:color w:val="auto"/>
              </w:rPr>
              <w:t>and Strategy</w:t>
            </w:r>
          </w:p>
        </w:tc>
        <w:tc>
          <w:tcPr>
            <w:tcW w:w="540" w:type="dxa"/>
            <w:vAlign w:val="bottom"/>
            <w:tcBorders>
              <w:bottom w:val="single" w:sz="8" w:color="959595"/>
            </w:tcBorders>
            <w:vMerge w:val="continue"/>
          </w:tcPr>
          <w:p>
            <w:pPr>
              <w:spacing w:after="0"/>
              <w:rPr>
                <w:sz w:val="7"/>
                <w:szCs w:val="7"/>
                <w:color w:val="auto"/>
              </w:rPr>
            </w:pPr>
          </w:p>
        </w:tc>
        <w:tc>
          <w:tcPr>
            <w:tcW w:w="760" w:type="dxa"/>
            <w:vAlign w:val="bottom"/>
            <w:tcBorders>
              <w:bottom w:val="single" w:sz="8" w:color="959595"/>
            </w:tcBorders>
            <w:vMerge w:val="continue"/>
          </w:tcPr>
          <w:p>
            <w:pPr>
              <w:spacing w:after="0"/>
              <w:rPr>
                <w:sz w:val="7"/>
                <w:szCs w:val="7"/>
                <w:color w:val="auto"/>
              </w:rPr>
            </w:pPr>
          </w:p>
        </w:tc>
        <w:tc>
          <w:tcPr>
            <w:tcW w:w="880" w:type="dxa"/>
            <w:vAlign w:val="bottom"/>
            <w:tcBorders>
              <w:bottom w:val="single" w:sz="8" w:color="959595"/>
            </w:tcBorders>
            <w:vMerge w:val="continue"/>
          </w:tcPr>
          <w:p>
            <w:pPr>
              <w:spacing w:after="0"/>
              <w:rPr>
                <w:sz w:val="7"/>
                <w:szCs w:val="7"/>
                <w:color w:val="auto"/>
              </w:rPr>
            </w:pPr>
          </w:p>
        </w:tc>
        <w:tc>
          <w:tcPr>
            <w:tcW w:w="1020" w:type="dxa"/>
            <w:vAlign w:val="bottom"/>
            <w:tcBorders>
              <w:bottom w:val="single" w:sz="8" w:color="959595"/>
            </w:tcBorders>
            <w:vMerge w:val="continue"/>
          </w:tcPr>
          <w:p>
            <w:pPr>
              <w:spacing w:after="0"/>
              <w:rPr>
                <w:sz w:val="7"/>
                <w:szCs w:val="7"/>
                <w:color w:val="auto"/>
              </w:rPr>
            </w:pPr>
          </w:p>
        </w:tc>
        <w:tc>
          <w:tcPr>
            <w:tcW w:w="640" w:type="dxa"/>
            <w:vAlign w:val="bottom"/>
            <w:tcBorders>
              <w:bottom w:val="single" w:sz="8" w:color="959595"/>
            </w:tcBorders>
            <w:vMerge w:val="continue"/>
          </w:tcPr>
          <w:p>
            <w:pPr>
              <w:spacing w:after="0"/>
              <w:rPr>
                <w:sz w:val="7"/>
                <w:szCs w:val="7"/>
                <w:color w:val="auto"/>
              </w:rPr>
            </w:pPr>
          </w:p>
        </w:tc>
        <w:tc>
          <w:tcPr>
            <w:tcW w:w="1160" w:type="dxa"/>
            <w:vAlign w:val="bottom"/>
            <w:tcBorders>
              <w:bottom w:val="single" w:sz="8" w:color="959595"/>
            </w:tcBorders>
            <w:vMerge w:val="continue"/>
          </w:tcPr>
          <w:p>
            <w:pPr>
              <w:spacing w:after="0"/>
              <w:rPr>
                <w:sz w:val="7"/>
                <w:szCs w:val="7"/>
                <w:color w:val="auto"/>
              </w:rPr>
            </w:pPr>
          </w:p>
        </w:tc>
        <w:tc>
          <w:tcPr>
            <w:tcW w:w="880" w:type="dxa"/>
            <w:vAlign w:val="bottom"/>
            <w:tcBorders>
              <w:bottom w:val="single" w:sz="8" w:color="959595"/>
            </w:tcBorders>
            <w:vMerge w:val="continue"/>
          </w:tcPr>
          <w:p>
            <w:pPr>
              <w:spacing w:after="0"/>
              <w:rPr>
                <w:sz w:val="7"/>
                <w:szCs w:val="7"/>
                <w:color w:val="auto"/>
              </w:rPr>
            </w:pPr>
          </w:p>
        </w:tc>
        <w:tc>
          <w:tcPr>
            <w:tcW w:w="820" w:type="dxa"/>
            <w:vAlign w:val="bottom"/>
            <w:tcBorders>
              <w:bottom w:val="single" w:sz="8" w:color="959595"/>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4540" w:type="dxa"/>
            <w:vAlign w:val="bottom"/>
            <w:vMerge w:val="continue"/>
          </w:tcPr>
          <w:p>
            <w:pPr>
              <w:spacing w:after="0"/>
              <w:rPr>
                <w:sz w:val="4"/>
                <w:szCs w:val="4"/>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2018</w:t>
            </w:r>
          </w:p>
        </w:tc>
        <w:tc>
          <w:tcPr>
            <w:tcW w:w="760" w:type="dxa"/>
            <w:vAlign w:val="bottom"/>
            <w:vMerge w:val="restart"/>
          </w:tcPr>
          <w:p>
            <w:pPr>
              <w:jc w:val="right"/>
              <w:ind w:right="13"/>
              <w:spacing w:after="0"/>
              <w:rPr>
                <w:sz w:val="20"/>
                <w:szCs w:val="20"/>
                <w:color w:val="auto"/>
              </w:rPr>
            </w:pPr>
            <w:r>
              <w:rPr>
                <w:rFonts w:ascii="Arial" w:cs="Arial" w:eastAsia="Arial" w:hAnsi="Arial"/>
                <w:sz w:val="13"/>
                <w:szCs w:val="13"/>
                <w:color w:val="auto"/>
              </w:rPr>
              <w:t>623,377</w:t>
            </w:r>
          </w:p>
        </w:tc>
        <w:tc>
          <w:tcPr>
            <w:tcW w:w="880" w:type="dxa"/>
            <w:vAlign w:val="bottom"/>
            <w:vMerge w:val="restart"/>
          </w:tcPr>
          <w:p>
            <w:pPr>
              <w:jc w:val="right"/>
              <w:ind w:right="133"/>
              <w:spacing w:after="0"/>
              <w:rPr>
                <w:sz w:val="20"/>
                <w:szCs w:val="20"/>
                <w:color w:val="auto"/>
              </w:rPr>
            </w:pPr>
            <w:r>
              <w:rPr>
                <w:rFonts w:ascii="Arial" w:cs="Arial" w:eastAsia="Arial" w:hAnsi="Arial"/>
                <w:sz w:val="13"/>
                <w:szCs w:val="13"/>
                <w:color w:val="auto"/>
              </w:rPr>
              <w:t>—</w:t>
            </w:r>
          </w:p>
        </w:tc>
        <w:tc>
          <w:tcPr>
            <w:tcW w:w="1020" w:type="dxa"/>
            <w:vAlign w:val="bottom"/>
            <w:vMerge w:val="restart"/>
          </w:tcPr>
          <w:p>
            <w:pPr>
              <w:jc w:val="right"/>
              <w:ind w:right="193"/>
              <w:spacing w:after="0"/>
              <w:rPr>
                <w:sz w:val="20"/>
                <w:szCs w:val="20"/>
                <w:color w:val="auto"/>
              </w:rPr>
            </w:pPr>
            <w:r>
              <w:rPr>
                <w:rFonts w:ascii="Arial" w:cs="Arial" w:eastAsia="Arial" w:hAnsi="Arial"/>
                <w:sz w:val="13"/>
                <w:szCs w:val="13"/>
                <w:color w:val="auto"/>
              </w:rPr>
              <w:t>4,724,167</w:t>
            </w:r>
          </w:p>
        </w:tc>
        <w:tc>
          <w:tcPr>
            <w:tcW w:w="640" w:type="dxa"/>
            <w:vAlign w:val="bottom"/>
            <w:vMerge w:val="restart"/>
          </w:tcPr>
          <w:p>
            <w:pPr>
              <w:ind w:left="260"/>
              <w:spacing w:after="0"/>
              <w:rPr>
                <w:sz w:val="20"/>
                <w:szCs w:val="20"/>
                <w:color w:val="auto"/>
              </w:rPr>
            </w:pPr>
            <w:r>
              <w:rPr>
                <w:rFonts w:ascii="Arial" w:cs="Arial" w:eastAsia="Arial" w:hAnsi="Arial"/>
                <w:sz w:val="13"/>
                <w:szCs w:val="13"/>
                <w:color w:val="auto"/>
              </w:rPr>
              <w:t>—</w:t>
            </w:r>
          </w:p>
        </w:tc>
        <w:tc>
          <w:tcPr>
            <w:tcW w:w="1160" w:type="dxa"/>
            <w:vAlign w:val="bottom"/>
            <w:vMerge w:val="restart"/>
          </w:tcPr>
          <w:p>
            <w:pPr>
              <w:jc w:val="right"/>
              <w:ind w:right="233"/>
              <w:spacing w:after="0"/>
              <w:rPr>
                <w:sz w:val="20"/>
                <w:szCs w:val="20"/>
                <w:color w:val="auto"/>
              </w:rPr>
            </w:pPr>
            <w:r>
              <w:rPr>
                <w:rFonts w:ascii="Arial" w:cs="Arial" w:eastAsia="Arial" w:hAnsi="Arial"/>
                <w:sz w:val="13"/>
                <w:szCs w:val="13"/>
                <w:color w:val="auto"/>
              </w:rPr>
              <w:t>774,377</w:t>
            </w:r>
          </w:p>
        </w:tc>
        <w:tc>
          <w:tcPr>
            <w:tcW w:w="880" w:type="dxa"/>
            <w:vAlign w:val="bottom"/>
            <w:vMerge w:val="restart"/>
          </w:tcPr>
          <w:p>
            <w:pPr>
              <w:jc w:val="right"/>
              <w:ind w:right="13"/>
              <w:spacing w:after="0"/>
              <w:rPr>
                <w:sz w:val="20"/>
                <w:szCs w:val="20"/>
                <w:color w:val="auto"/>
              </w:rPr>
            </w:pPr>
            <w:r>
              <w:rPr>
                <w:rFonts w:ascii="Arial" w:cs="Arial" w:eastAsia="Arial" w:hAnsi="Arial"/>
                <w:sz w:val="13"/>
                <w:szCs w:val="13"/>
                <w:color w:val="auto"/>
              </w:rPr>
              <w:t>8,976</w:t>
            </w:r>
          </w:p>
        </w:tc>
        <w:tc>
          <w:tcPr>
            <w:tcW w:w="820" w:type="dxa"/>
            <w:vAlign w:val="bottom"/>
            <w:vMerge w:val="restart"/>
          </w:tcPr>
          <w:p>
            <w:pPr>
              <w:jc w:val="right"/>
              <w:ind w:right="13"/>
              <w:spacing w:after="0"/>
              <w:rPr>
                <w:sz w:val="20"/>
                <w:szCs w:val="20"/>
                <w:color w:val="auto"/>
              </w:rPr>
            </w:pPr>
            <w:r>
              <w:rPr>
                <w:rFonts w:ascii="Arial" w:cs="Arial" w:eastAsia="Arial" w:hAnsi="Arial"/>
                <w:sz w:val="13"/>
                <w:szCs w:val="13"/>
                <w:color w:val="auto"/>
              </w:rPr>
              <w:t>6,130,897</w:t>
            </w:r>
          </w:p>
        </w:tc>
        <w:tc>
          <w:tcPr>
            <w:tcW w:w="0" w:type="dxa"/>
            <w:vAlign w:val="bottom"/>
          </w:tcPr>
          <w:p>
            <w:pPr>
              <w:spacing w:after="0"/>
              <w:rPr>
                <w:sz w:val="1"/>
                <w:szCs w:val="1"/>
                <w:color w:val="auto"/>
              </w:rPr>
            </w:pPr>
          </w:p>
        </w:tc>
      </w:tr>
      <w:tr>
        <w:trPr>
          <w:trHeight w:val="143"/>
        </w:trPr>
        <w:tc>
          <w:tcPr>
            <w:tcW w:w="4540" w:type="dxa"/>
            <w:vAlign w:val="bottom"/>
            <w:tcBorders>
              <w:bottom w:val="single" w:sz="8" w:color="959595"/>
            </w:tcBorders>
          </w:tcPr>
          <w:p>
            <w:pPr>
              <w:spacing w:after="0"/>
              <w:rPr>
                <w:sz w:val="12"/>
                <w:szCs w:val="12"/>
                <w:color w:val="auto"/>
              </w:rPr>
            </w:pPr>
          </w:p>
        </w:tc>
        <w:tc>
          <w:tcPr>
            <w:tcW w:w="540" w:type="dxa"/>
            <w:vAlign w:val="bottom"/>
            <w:tcBorders>
              <w:bottom w:val="single" w:sz="8" w:color="959595"/>
            </w:tcBorders>
            <w:vMerge w:val="continue"/>
          </w:tcPr>
          <w:p>
            <w:pPr>
              <w:spacing w:after="0"/>
              <w:rPr>
                <w:sz w:val="12"/>
                <w:szCs w:val="12"/>
                <w:color w:val="auto"/>
              </w:rPr>
            </w:pPr>
          </w:p>
        </w:tc>
        <w:tc>
          <w:tcPr>
            <w:tcW w:w="760" w:type="dxa"/>
            <w:vAlign w:val="bottom"/>
            <w:tcBorders>
              <w:bottom w:val="single" w:sz="8" w:color="959595"/>
            </w:tcBorders>
            <w:vMerge w:val="continue"/>
          </w:tcPr>
          <w:p>
            <w:pPr>
              <w:spacing w:after="0"/>
              <w:rPr>
                <w:sz w:val="12"/>
                <w:szCs w:val="12"/>
                <w:color w:val="auto"/>
              </w:rPr>
            </w:pPr>
          </w:p>
        </w:tc>
        <w:tc>
          <w:tcPr>
            <w:tcW w:w="880" w:type="dxa"/>
            <w:vAlign w:val="bottom"/>
            <w:tcBorders>
              <w:bottom w:val="single" w:sz="8" w:color="959595"/>
            </w:tcBorders>
            <w:vMerge w:val="continue"/>
          </w:tcPr>
          <w:p>
            <w:pPr>
              <w:spacing w:after="0"/>
              <w:rPr>
                <w:sz w:val="12"/>
                <w:szCs w:val="12"/>
                <w:color w:val="auto"/>
              </w:rPr>
            </w:pPr>
          </w:p>
        </w:tc>
        <w:tc>
          <w:tcPr>
            <w:tcW w:w="1020" w:type="dxa"/>
            <w:vAlign w:val="bottom"/>
            <w:tcBorders>
              <w:bottom w:val="single" w:sz="8" w:color="959595"/>
            </w:tcBorders>
            <w:vMerge w:val="continue"/>
          </w:tcPr>
          <w:p>
            <w:pPr>
              <w:spacing w:after="0"/>
              <w:rPr>
                <w:sz w:val="12"/>
                <w:szCs w:val="12"/>
                <w:color w:val="auto"/>
              </w:rPr>
            </w:pPr>
          </w:p>
        </w:tc>
        <w:tc>
          <w:tcPr>
            <w:tcW w:w="640" w:type="dxa"/>
            <w:vAlign w:val="bottom"/>
            <w:tcBorders>
              <w:bottom w:val="single" w:sz="8" w:color="959595"/>
            </w:tcBorders>
            <w:vMerge w:val="continue"/>
          </w:tcPr>
          <w:p>
            <w:pPr>
              <w:spacing w:after="0"/>
              <w:rPr>
                <w:sz w:val="12"/>
                <w:szCs w:val="12"/>
                <w:color w:val="auto"/>
              </w:rPr>
            </w:pPr>
          </w:p>
        </w:tc>
        <w:tc>
          <w:tcPr>
            <w:tcW w:w="1160" w:type="dxa"/>
            <w:vAlign w:val="bottom"/>
            <w:tcBorders>
              <w:bottom w:val="single" w:sz="8" w:color="959595"/>
            </w:tcBorders>
            <w:vMerge w:val="continue"/>
          </w:tcPr>
          <w:p>
            <w:pPr>
              <w:spacing w:after="0"/>
              <w:rPr>
                <w:sz w:val="12"/>
                <w:szCs w:val="12"/>
                <w:color w:val="auto"/>
              </w:rPr>
            </w:pPr>
          </w:p>
        </w:tc>
        <w:tc>
          <w:tcPr>
            <w:tcW w:w="880" w:type="dxa"/>
            <w:vAlign w:val="bottom"/>
            <w:tcBorders>
              <w:bottom w:val="single" w:sz="8" w:color="959595"/>
            </w:tcBorders>
            <w:vMerge w:val="continue"/>
          </w:tcPr>
          <w:p>
            <w:pPr>
              <w:spacing w:after="0"/>
              <w:rPr>
                <w:sz w:val="12"/>
                <w:szCs w:val="12"/>
                <w:color w:val="auto"/>
              </w:rPr>
            </w:pPr>
          </w:p>
        </w:tc>
        <w:tc>
          <w:tcPr>
            <w:tcW w:w="820" w:type="dxa"/>
            <w:vAlign w:val="bottom"/>
            <w:tcBorders>
              <w:bottom w:val="single" w:sz="8" w:color="959595"/>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540" w:type="dxa"/>
            <w:vAlign w:val="bottom"/>
          </w:tcPr>
          <w:p>
            <w:pPr>
              <w:ind w:left="80"/>
              <w:spacing w:after="0"/>
              <w:rPr>
                <w:sz w:val="20"/>
                <w:szCs w:val="20"/>
                <w:color w:val="auto"/>
              </w:rPr>
            </w:pPr>
            <w:r>
              <w:rPr>
                <w:rFonts w:ascii="Arial" w:cs="Arial" w:eastAsia="Arial" w:hAnsi="Arial"/>
                <w:sz w:val="13"/>
                <w:szCs w:val="13"/>
                <w:b w:val="1"/>
                <w:bCs w:val="1"/>
                <w:color w:val="567EA5"/>
              </w:rPr>
              <w:t>Michael C. Ray</w:t>
            </w:r>
          </w:p>
        </w:tc>
        <w:tc>
          <w:tcPr>
            <w:tcW w:w="540" w:type="dxa"/>
            <w:vAlign w:val="bottom"/>
          </w:tcPr>
          <w:p>
            <w:pPr>
              <w:jc w:val="right"/>
              <w:spacing w:after="0"/>
              <w:rPr>
                <w:sz w:val="20"/>
                <w:szCs w:val="20"/>
                <w:color w:val="auto"/>
              </w:rPr>
            </w:pPr>
            <w:r>
              <w:rPr>
                <w:rFonts w:ascii="Arial" w:cs="Arial" w:eastAsia="Arial" w:hAnsi="Arial"/>
                <w:sz w:val="13"/>
                <w:szCs w:val="13"/>
                <w:color w:val="auto"/>
              </w:rPr>
              <w:t>2020</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631,250</w:t>
            </w:r>
          </w:p>
        </w:tc>
        <w:tc>
          <w:tcPr>
            <w:tcW w:w="880" w:type="dxa"/>
            <w:vAlign w:val="bottom"/>
          </w:tcPr>
          <w:p>
            <w:pPr>
              <w:jc w:val="right"/>
              <w:spacing w:after="0"/>
              <w:rPr>
                <w:sz w:val="20"/>
                <w:szCs w:val="20"/>
                <w:color w:val="auto"/>
              </w:rPr>
            </w:pPr>
            <w:r>
              <w:rPr>
                <w:rFonts w:ascii="Arial" w:cs="Arial" w:eastAsia="Arial" w:hAnsi="Arial"/>
                <w:sz w:val="13"/>
                <w:szCs w:val="13"/>
                <w:color w:val="auto"/>
              </w:rPr>
              <w:t>500,000</w:t>
            </w:r>
            <w:r>
              <w:rPr>
                <w:rFonts w:ascii="Arial" w:cs="Arial" w:eastAsia="Arial" w:hAnsi="Arial"/>
                <w:sz w:val="11"/>
                <w:szCs w:val="11"/>
                <w:color w:val="auto"/>
              </w:rPr>
              <w:t>(7)</w:t>
            </w:r>
          </w:p>
        </w:tc>
        <w:tc>
          <w:tcPr>
            <w:tcW w:w="1020" w:type="dxa"/>
            <w:vAlign w:val="bottom"/>
          </w:tcPr>
          <w:p>
            <w:pPr>
              <w:jc w:val="right"/>
              <w:ind w:right="193"/>
              <w:spacing w:after="0"/>
              <w:rPr>
                <w:sz w:val="20"/>
                <w:szCs w:val="20"/>
                <w:color w:val="auto"/>
              </w:rPr>
            </w:pPr>
            <w:r>
              <w:rPr>
                <w:rFonts w:ascii="Arial" w:cs="Arial" w:eastAsia="Arial" w:hAnsi="Arial"/>
                <w:sz w:val="13"/>
                <w:szCs w:val="13"/>
                <w:color w:val="auto"/>
              </w:rPr>
              <w:t>3,646,792</w:t>
            </w:r>
          </w:p>
        </w:tc>
        <w:tc>
          <w:tcPr>
            <w:tcW w:w="640" w:type="dxa"/>
            <w:vAlign w:val="bottom"/>
          </w:tcPr>
          <w:p>
            <w:pPr>
              <w:ind w:left="260"/>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233"/>
              <w:spacing w:after="0"/>
              <w:rPr>
                <w:sz w:val="20"/>
                <w:szCs w:val="20"/>
                <w:color w:val="auto"/>
              </w:rPr>
            </w:pPr>
            <w:r>
              <w:rPr>
                <w:rFonts w:ascii="Arial" w:cs="Arial" w:eastAsia="Arial" w:hAnsi="Arial"/>
                <w:sz w:val="13"/>
                <w:szCs w:val="13"/>
                <w:color w:val="auto"/>
              </w:rPr>
              <w:t>526,346</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7,491</w:t>
            </w: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5,311,879</w:t>
            </w:r>
          </w:p>
        </w:tc>
        <w:tc>
          <w:tcPr>
            <w:tcW w:w="0" w:type="dxa"/>
            <w:vAlign w:val="bottom"/>
          </w:tcPr>
          <w:p>
            <w:pPr>
              <w:spacing w:after="0"/>
              <w:rPr>
                <w:sz w:val="1"/>
                <w:szCs w:val="1"/>
                <w:color w:val="auto"/>
              </w:rPr>
            </w:pPr>
          </w:p>
        </w:tc>
      </w:tr>
      <w:tr>
        <w:trPr>
          <w:trHeight w:val="148"/>
        </w:trPr>
        <w:tc>
          <w:tcPr>
            <w:tcW w:w="4540" w:type="dxa"/>
            <w:vAlign w:val="bottom"/>
          </w:tcPr>
          <w:p>
            <w:pPr>
              <w:ind w:left="80"/>
              <w:spacing w:after="0"/>
              <w:rPr>
                <w:sz w:val="20"/>
                <w:szCs w:val="20"/>
                <w:color w:val="auto"/>
              </w:rPr>
            </w:pPr>
            <w:r>
              <w:rPr>
                <w:rFonts w:ascii="Arial" w:cs="Arial" w:eastAsia="Arial" w:hAnsi="Arial"/>
                <w:sz w:val="13"/>
                <w:szCs w:val="13"/>
                <w:color w:val="auto"/>
              </w:rPr>
              <w:t>Executive Vice President,</w:t>
            </w: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ind w:left="80"/>
              <w:spacing w:after="0"/>
              <w:rPr>
                <w:sz w:val="20"/>
                <w:szCs w:val="20"/>
                <w:color w:val="auto"/>
              </w:rPr>
            </w:pPr>
            <w:r>
              <w:rPr>
                <w:rFonts w:ascii="Arial" w:cs="Arial" w:eastAsia="Arial" w:hAnsi="Arial"/>
                <w:sz w:val="13"/>
                <w:szCs w:val="13"/>
                <w:color w:val="auto"/>
              </w:rPr>
              <w:t>Chief Legal Officer</w:t>
            </w: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540" w:type="dxa"/>
            <w:vAlign w:val="bottom"/>
            <w:tcBorders>
              <w:bottom w:val="single" w:sz="8" w:color="959595"/>
            </w:tcBorders>
          </w:tcPr>
          <w:p>
            <w:pPr>
              <w:ind w:left="80"/>
              <w:spacing w:after="0"/>
              <w:rPr>
                <w:sz w:val="20"/>
                <w:szCs w:val="20"/>
                <w:color w:val="auto"/>
              </w:rPr>
            </w:pPr>
            <w:r>
              <w:rPr>
                <w:rFonts w:ascii="Arial" w:cs="Arial" w:eastAsia="Arial" w:hAnsi="Arial"/>
                <w:sz w:val="13"/>
                <w:szCs w:val="13"/>
                <w:color w:val="auto"/>
              </w:rPr>
              <w:t>and Secretary</w:t>
            </w:r>
          </w:p>
        </w:tc>
        <w:tc>
          <w:tcPr>
            <w:tcW w:w="540" w:type="dxa"/>
            <w:vAlign w:val="bottom"/>
            <w:tcBorders>
              <w:bottom w:val="single" w:sz="8" w:color="959595"/>
            </w:tcBorders>
          </w:tcPr>
          <w:p>
            <w:pPr>
              <w:spacing w:after="0"/>
              <w:rPr>
                <w:sz w:val="14"/>
                <w:szCs w:val="14"/>
                <w:color w:val="auto"/>
              </w:rPr>
            </w:pPr>
          </w:p>
        </w:tc>
        <w:tc>
          <w:tcPr>
            <w:tcW w:w="760" w:type="dxa"/>
            <w:vAlign w:val="bottom"/>
            <w:tcBorders>
              <w:bottom w:val="single" w:sz="8" w:color="959595"/>
            </w:tcBorders>
          </w:tcPr>
          <w:p>
            <w:pPr>
              <w:spacing w:after="0"/>
              <w:rPr>
                <w:sz w:val="14"/>
                <w:szCs w:val="14"/>
                <w:color w:val="auto"/>
              </w:rPr>
            </w:pPr>
          </w:p>
        </w:tc>
        <w:tc>
          <w:tcPr>
            <w:tcW w:w="880" w:type="dxa"/>
            <w:vAlign w:val="bottom"/>
            <w:tcBorders>
              <w:bottom w:val="single" w:sz="8" w:color="959595"/>
            </w:tcBorders>
          </w:tcPr>
          <w:p>
            <w:pPr>
              <w:spacing w:after="0"/>
              <w:rPr>
                <w:sz w:val="14"/>
                <w:szCs w:val="14"/>
                <w:color w:val="auto"/>
              </w:rPr>
            </w:pPr>
          </w:p>
        </w:tc>
        <w:tc>
          <w:tcPr>
            <w:tcW w:w="1020" w:type="dxa"/>
            <w:vAlign w:val="bottom"/>
            <w:tcBorders>
              <w:bottom w:val="single" w:sz="8" w:color="959595"/>
            </w:tcBorders>
          </w:tcPr>
          <w:p>
            <w:pPr>
              <w:spacing w:after="0"/>
              <w:rPr>
                <w:sz w:val="14"/>
                <w:szCs w:val="14"/>
                <w:color w:val="auto"/>
              </w:rPr>
            </w:pPr>
          </w:p>
        </w:tc>
        <w:tc>
          <w:tcPr>
            <w:tcW w:w="640" w:type="dxa"/>
            <w:vAlign w:val="bottom"/>
            <w:tcBorders>
              <w:bottom w:val="single" w:sz="8" w:color="959595"/>
            </w:tcBorders>
          </w:tcPr>
          <w:p>
            <w:pPr>
              <w:spacing w:after="0"/>
              <w:rPr>
                <w:sz w:val="14"/>
                <w:szCs w:val="14"/>
                <w:color w:val="auto"/>
              </w:rPr>
            </w:pPr>
          </w:p>
        </w:tc>
        <w:tc>
          <w:tcPr>
            <w:tcW w:w="1160" w:type="dxa"/>
            <w:vAlign w:val="bottom"/>
            <w:tcBorders>
              <w:bottom w:val="single" w:sz="8" w:color="959595"/>
            </w:tcBorders>
          </w:tcPr>
          <w:p>
            <w:pPr>
              <w:spacing w:after="0"/>
              <w:rPr>
                <w:sz w:val="14"/>
                <w:szCs w:val="14"/>
                <w:color w:val="auto"/>
              </w:rPr>
            </w:pPr>
          </w:p>
        </w:tc>
        <w:tc>
          <w:tcPr>
            <w:tcW w:w="880" w:type="dxa"/>
            <w:vAlign w:val="bottom"/>
            <w:tcBorders>
              <w:bottom w:val="single" w:sz="8" w:color="959595"/>
            </w:tcBorders>
          </w:tcPr>
          <w:p>
            <w:pPr>
              <w:spacing w:after="0"/>
              <w:rPr>
                <w:sz w:val="14"/>
                <w:szCs w:val="14"/>
                <w:color w:val="auto"/>
              </w:rPr>
            </w:pPr>
          </w:p>
        </w:tc>
        <w:tc>
          <w:tcPr>
            <w:tcW w:w="820" w:type="dxa"/>
            <w:vAlign w:val="bottom"/>
            <w:tcBorders>
              <w:bottom w:val="single" w:sz="8" w:color="959595"/>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40" w:type="dxa"/>
            <w:vAlign w:val="bottom"/>
          </w:tcPr>
          <w:p>
            <w:pPr>
              <w:ind w:left="80"/>
              <w:spacing w:after="0"/>
              <w:rPr>
                <w:sz w:val="20"/>
                <w:szCs w:val="20"/>
                <w:color w:val="auto"/>
              </w:rPr>
            </w:pPr>
            <w:r>
              <w:rPr>
                <w:rFonts w:ascii="Arial" w:cs="Arial" w:eastAsia="Arial" w:hAnsi="Arial"/>
                <w:sz w:val="13"/>
                <w:szCs w:val="13"/>
                <w:b w:val="1"/>
                <w:bCs w:val="1"/>
                <w:color w:val="567EA5"/>
              </w:rPr>
              <w:t>Lori S. Sundberg</w:t>
            </w:r>
          </w:p>
        </w:tc>
        <w:tc>
          <w:tcPr>
            <w:tcW w:w="540" w:type="dxa"/>
            <w:vAlign w:val="bottom"/>
          </w:tcPr>
          <w:p>
            <w:pPr>
              <w:jc w:val="right"/>
              <w:spacing w:after="0"/>
              <w:rPr>
                <w:sz w:val="20"/>
                <w:szCs w:val="20"/>
                <w:color w:val="auto"/>
              </w:rPr>
            </w:pPr>
            <w:r>
              <w:rPr>
                <w:rFonts w:ascii="Arial" w:cs="Arial" w:eastAsia="Arial" w:hAnsi="Arial"/>
                <w:sz w:val="13"/>
                <w:szCs w:val="13"/>
                <w:color w:val="auto"/>
              </w:rPr>
              <w:t>2020</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522,404</w:t>
            </w:r>
          </w:p>
        </w:tc>
        <w:tc>
          <w:tcPr>
            <w:tcW w:w="88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93"/>
              <w:spacing w:after="0"/>
              <w:rPr>
                <w:sz w:val="20"/>
                <w:szCs w:val="20"/>
                <w:color w:val="auto"/>
              </w:rPr>
            </w:pPr>
            <w:r>
              <w:rPr>
                <w:rFonts w:ascii="Arial" w:cs="Arial" w:eastAsia="Arial" w:hAnsi="Arial"/>
                <w:sz w:val="13"/>
                <w:szCs w:val="13"/>
                <w:color w:val="auto"/>
              </w:rPr>
              <w:t>2,625,640</w:t>
            </w:r>
          </w:p>
        </w:tc>
        <w:tc>
          <w:tcPr>
            <w:tcW w:w="640" w:type="dxa"/>
            <w:vAlign w:val="bottom"/>
          </w:tcPr>
          <w:p>
            <w:pPr>
              <w:ind w:left="260"/>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233"/>
              <w:spacing w:after="0"/>
              <w:rPr>
                <w:sz w:val="20"/>
                <w:szCs w:val="20"/>
                <w:color w:val="auto"/>
              </w:rPr>
            </w:pPr>
            <w:r>
              <w:rPr>
                <w:rFonts w:ascii="Arial" w:cs="Arial" w:eastAsia="Arial" w:hAnsi="Arial"/>
                <w:sz w:val="13"/>
                <w:szCs w:val="13"/>
                <w:color w:val="auto"/>
              </w:rPr>
              <w:t>435,462</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135,746</w:t>
            </w: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3,719,252</w:t>
            </w:r>
          </w:p>
        </w:tc>
        <w:tc>
          <w:tcPr>
            <w:tcW w:w="0" w:type="dxa"/>
            <w:vAlign w:val="bottom"/>
          </w:tcPr>
          <w:p>
            <w:pPr>
              <w:spacing w:after="0"/>
              <w:rPr>
                <w:sz w:val="1"/>
                <w:szCs w:val="1"/>
                <w:color w:val="auto"/>
              </w:rPr>
            </w:pPr>
          </w:p>
        </w:tc>
      </w:tr>
      <w:tr>
        <w:trPr>
          <w:trHeight w:val="149"/>
        </w:trPr>
        <w:tc>
          <w:tcPr>
            <w:tcW w:w="4540" w:type="dxa"/>
            <w:vAlign w:val="bottom"/>
          </w:tcPr>
          <w:p>
            <w:pPr>
              <w:ind w:left="80"/>
              <w:spacing w:after="0"/>
              <w:rPr>
                <w:sz w:val="20"/>
                <w:szCs w:val="20"/>
                <w:color w:val="auto"/>
              </w:rPr>
            </w:pPr>
            <w:r>
              <w:rPr>
                <w:rFonts w:ascii="Arial" w:cs="Arial" w:eastAsia="Arial" w:hAnsi="Arial"/>
                <w:sz w:val="13"/>
                <w:szCs w:val="13"/>
                <w:color w:val="auto"/>
              </w:rPr>
              <w:t>Executive Vice President</w:t>
            </w: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ind w:left="80"/>
              <w:spacing w:after="0"/>
              <w:rPr>
                <w:sz w:val="20"/>
                <w:szCs w:val="20"/>
                <w:color w:val="auto"/>
              </w:rPr>
            </w:pPr>
            <w:r>
              <w:rPr>
                <w:rFonts w:ascii="Arial" w:cs="Arial" w:eastAsia="Arial" w:hAnsi="Arial"/>
                <w:sz w:val="13"/>
                <w:szCs w:val="13"/>
                <w:color w:val="auto"/>
              </w:rPr>
              <w:t>and Chief Human</w:t>
            </w: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540" w:type="dxa"/>
            <w:vAlign w:val="bottom"/>
            <w:tcBorders>
              <w:bottom w:val="single" w:sz="8" w:color="959595"/>
            </w:tcBorders>
          </w:tcPr>
          <w:p>
            <w:pPr>
              <w:ind w:left="80"/>
              <w:spacing w:after="0"/>
              <w:rPr>
                <w:sz w:val="20"/>
                <w:szCs w:val="20"/>
                <w:color w:val="auto"/>
              </w:rPr>
            </w:pPr>
            <w:r>
              <w:rPr>
                <w:rFonts w:ascii="Arial" w:cs="Arial" w:eastAsia="Arial" w:hAnsi="Arial"/>
                <w:sz w:val="13"/>
                <w:szCs w:val="13"/>
                <w:color w:val="auto"/>
              </w:rPr>
              <w:t>Resources Officer</w:t>
            </w:r>
          </w:p>
        </w:tc>
        <w:tc>
          <w:tcPr>
            <w:tcW w:w="540" w:type="dxa"/>
            <w:vAlign w:val="bottom"/>
            <w:tcBorders>
              <w:bottom w:val="single" w:sz="8" w:color="959595"/>
            </w:tcBorders>
          </w:tcPr>
          <w:p>
            <w:pPr>
              <w:spacing w:after="0"/>
              <w:rPr>
                <w:sz w:val="14"/>
                <w:szCs w:val="14"/>
                <w:color w:val="auto"/>
              </w:rPr>
            </w:pPr>
          </w:p>
        </w:tc>
        <w:tc>
          <w:tcPr>
            <w:tcW w:w="760" w:type="dxa"/>
            <w:vAlign w:val="bottom"/>
            <w:tcBorders>
              <w:bottom w:val="single" w:sz="8" w:color="959595"/>
            </w:tcBorders>
          </w:tcPr>
          <w:p>
            <w:pPr>
              <w:spacing w:after="0"/>
              <w:rPr>
                <w:sz w:val="14"/>
                <w:szCs w:val="14"/>
                <w:color w:val="auto"/>
              </w:rPr>
            </w:pPr>
          </w:p>
        </w:tc>
        <w:tc>
          <w:tcPr>
            <w:tcW w:w="880" w:type="dxa"/>
            <w:vAlign w:val="bottom"/>
            <w:tcBorders>
              <w:bottom w:val="single" w:sz="8" w:color="959595"/>
            </w:tcBorders>
          </w:tcPr>
          <w:p>
            <w:pPr>
              <w:spacing w:after="0"/>
              <w:rPr>
                <w:sz w:val="14"/>
                <w:szCs w:val="14"/>
                <w:color w:val="auto"/>
              </w:rPr>
            </w:pPr>
          </w:p>
        </w:tc>
        <w:tc>
          <w:tcPr>
            <w:tcW w:w="1020" w:type="dxa"/>
            <w:vAlign w:val="bottom"/>
            <w:tcBorders>
              <w:bottom w:val="single" w:sz="8" w:color="959595"/>
            </w:tcBorders>
          </w:tcPr>
          <w:p>
            <w:pPr>
              <w:spacing w:after="0"/>
              <w:rPr>
                <w:sz w:val="14"/>
                <w:szCs w:val="14"/>
                <w:color w:val="auto"/>
              </w:rPr>
            </w:pPr>
          </w:p>
        </w:tc>
        <w:tc>
          <w:tcPr>
            <w:tcW w:w="640" w:type="dxa"/>
            <w:vAlign w:val="bottom"/>
            <w:tcBorders>
              <w:bottom w:val="single" w:sz="8" w:color="959595"/>
            </w:tcBorders>
          </w:tcPr>
          <w:p>
            <w:pPr>
              <w:spacing w:after="0"/>
              <w:rPr>
                <w:sz w:val="14"/>
                <w:szCs w:val="14"/>
                <w:color w:val="auto"/>
              </w:rPr>
            </w:pPr>
          </w:p>
        </w:tc>
        <w:tc>
          <w:tcPr>
            <w:tcW w:w="1160" w:type="dxa"/>
            <w:vAlign w:val="bottom"/>
            <w:tcBorders>
              <w:bottom w:val="single" w:sz="8" w:color="959595"/>
            </w:tcBorders>
          </w:tcPr>
          <w:p>
            <w:pPr>
              <w:spacing w:after="0"/>
              <w:rPr>
                <w:sz w:val="14"/>
                <w:szCs w:val="14"/>
                <w:color w:val="auto"/>
              </w:rPr>
            </w:pPr>
          </w:p>
        </w:tc>
        <w:tc>
          <w:tcPr>
            <w:tcW w:w="880" w:type="dxa"/>
            <w:vAlign w:val="bottom"/>
            <w:tcBorders>
              <w:bottom w:val="single" w:sz="8" w:color="959595"/>
            </w:tcBorders>
          </w:tcPr>
          <w:p>
            <w:pPr>
              <w:spacing w:after="0"/>
              <w:rPr>
                <w:sz w:val="14"/>
                <w:szCs w:val="14"/>
                <w:color w:val="auto"/>
              </w:rPr>
            </w:pPr>
          </w:p>
        </w:tc>
        <w:tc>
          <w:tcPr>
            <w:tcW w:w="820" w:type="dxa"/>
            <w:vAlign w:val="bottom"/>
            <w:tcBorders>
              <w:bottom w:val="single" w:sz="8" w:color="959595"/>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40" w:type="dxa"/>
            <w:vAlign w:val="bottom"/>
          </w:tcPr>
          <w:p>
            <w:pPr>
              <w:ind w:left="80"/>
              <w:spacing w:after="0"/>
              <w:rPr>
                <w:sz w:val="20"/>
                <w:szCs w:val="20"/>
                <w:color w:val="auto"/>
              </w:rPr>
            </w:pPr>
            <w:r>
              <w:rPr>
                <w:rFonts w:ascii="Arial" w:cs="Arial" w:eastAsia="Arial" w:hAnsi="Arial"/>
                <w:sz w:val="13"/>
                <w:szCs w:val="13"/>
                <w:b w:val="1"/>
                <w:bCs w:val="1"/>
                <w:color w:val="567EA5"/>
              </w:rPr>
              <w:t>Stephen D. Milligan</w:t>
            </w:r>
          </w:p>
        </w:tc>
        <w:tc>
          <w:tcPr>
            <w:tcW w:w="540" w:type="dxa"/>
            <w:vAlign w:val="bottom"/>
          </w:tcPr>
          <w:p>
            <w:pPr>
              <w:jc w:val="right"/>
              <w:spacing w:after="0"/>
              <w:rPr>
                <w:sz w:val="20"/>
                <w:szCs w:val="20"/>
                <w:color w:val="auto"/>
              </w:rPr>
            </w:pPr>
            <w:r>
              <w:rPr>
                <w:rFonts w:ascii="Arial" w:cs="Arial" w:eastAsia="Arial" w:hAnsi="Arial"/>
                <w:sz w:val="13"/>
                <w:szCs w:val="13"/>
                <w:color w:val="auto"/>
              </w:rPr>
              <w:t>2020</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1,274,038</w:t>
            </w:r>
          </w:p>
        </w:tc>
        <w:tc>
          <w:tcPr>
            <w:tcW w:w="88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93"/>
              <w:spacing w:after="0"/>
              <w:rPr>
                <w:sz w:val="20"/>
                <w:szCs w:val="20"/>
                <w:color w:val="auto"/>
              </w:rPr>
            </w:pPr>
            <w:r>
              <w:rPr>
                <w:rFonts w:ascii="Arial" w:cs="Arial" w:eastAsia="Arial" w:hAnsi="Arial"/>
                <w:sz w:val="13"/>
                <w:szCs w:val="13"/>
                <w:color w:val="auto"/>
              </w:rPr>
              <w:t>14,405,144</w:t>
            </w:r>
          </w:p>
        </w:tc>
        <w:tc>
          <w:tcPr>
            <w:tcW w:w="640" w:type="dxa"/>
            <w:vAlign w:val="bottom"/>
          </w:tcPr>
          <w:p>
            <w:pPr>
              <w:ind w:left="260"/>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233"/>
              <w:spacing w:after="0"/>
              <w:rPr>
                <w:sz w:val="20"/>
                <w:szCs w:val="20"/>
                <w:color w:val="auto"/>
              </w:rPr>
            </w:pPr>
            <w:r>
              <w:rPr>
                <w:rFonts w:ascii="Arial" w:cs="Arial" w:eastAsia="Arial" w:hAnsi="Arial"/>
                <w:sz w:val="13"/>
                <w:szCs w:val="13"/>
                <w:color w:val="auto"/>
              </w:rPr>
              <w:t>1,875,000</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24,793</w:t>
            </w: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17,578,975</w:t>
            </w:r>
          </w:p>
        </w:tc>
        <w:tc>
          <w:tcPr>
            <w:tcW w:w="0" w:type="dxa"/>
            <w:vAlign w:val="bottom"/>
          </w:tcPr>
          <w:p>
            <w:pPr>
              <w:spacing w:after="0"/>
              <w:rPr>
                <w:sz w:val="1"/>
                <w:szCs w:val="1"/>
                <w:color w:val="auto"/>
              </w:rPr>
            </w:pPr>
          </w:p>
        </w:tc>
      </w:tr>
      <w:tr>
        <w:trPr>
          <w:trHeight w:val="28"/>
        </w:trPr>
        <w:tc>
          <w:tcPr>
            <w:tcW w:w="4540" w:type="dxa"/>
            <w:vAlign w:val="bottom"/>
            <w:vMerge w:val="restart"/>
          </w:tcPr>
          <w:p>
            <w:pPr>
              <w:ind w:left="80"/>
              <w:spacing w:after="0"/>
              <w:rPr>
                <w:sz w:val="20"/>
                <w:szCs w:val="20"/>
                <w:color w:val="auto"/>
              </w:rPr>
            </w:pPr>
            <w:r>
              <w:rPr>
                <w:rFonts w:ascii="Arial" w:cs="Arial" w:eastAsia="Arial" w:hAnsi="Arial"/>
                <w:sz w:val="13"/>
                <w:szCs w:val="13"/>
                <w:color w:val="auto"/>
              </w:rPr>
              <w:t>Former Chief</w:t>
            </w:r>
          </w:p>
        </w:tc>
        <w:tc>
          <w:tcPr>
            <w:tcW w:w="540" w:type="dxa"/>
            <w:vAlign w:val="bottom"/>
            <w:tcBorders>
              <w:bottom w:val="single" w:sz="8" w:color="959595"/>
            </w:tcBorders>
          </w:tcPr>
          <w:p>
            <w:pPr>
              <w:spacing w:after="0"/>
              <w:rPr>
                <w:sz w:val="2"/>
                <w:szCs w:val="2"/>
                <w:color w:val="auto"/>
              </w:rPr>
            </w:pPr>
          </w:p>
        </w:tc>
        <w:tc>
          <w:tcPr>
            <w:tcW w:w="760" w:type="dxa"/>
            <w:vAlign w:val="bottom"/>
            <w:tcBorders>
              <w:bottom w:val="single" w:sz="8" w:color="959595"/>
            </w:tcBorders>
          </w:tcPr>
          <w:p>
            <w:pPr>
              <w:spacing w:after="0"/>
              <w:rPr>
                <w:sz w:val="2"/>
                <w:szCs w:val="2"/>
                <w:color w:val="auto"/>
              </w:rPr>
            </w:pPr>
          </w:p>
        </w:tc>
        <w:tc>
          <w:tcPr>
            <w:tcW w:w="880" w:type="dxa"/>
            <w:vAlign w:val="bottom"/>
            <w:tcBorders>
              <w:bottom w:val="single" w:sz="8" w:color="959595"/>
            </w:tcBorders>
          </w:tcPr>
          <w:p>
            <w:pPr>
              <w:spacing w:after="0"/>
              <w:rPr>
                <w:sz w:val="2"/>
                <w:szCs w:val="2"/>
                <w:color w:val="auto"/>
              </w:rPr>
            </w:pPr>
          </w:p>
        </w:tc>
        <w:tc>
          <w:tcPr>
            <w:tcW w:w="1020" w:type="dxa"/>
            <w:vAlign w:val="bottom"/>
            <w:tcBorders>
              <w:bottom w:val="single" w:sz="8" w:color="959595"/>
            </w:tcBorders>
          </w:tcPr>
          <w:p>
            <w:pPr>
              <w:spacing w:after="0"/>
              <w:rPr>
                <w:sz w:val="2"/>
                <w:szCs w:val="2"/>
                <w:color w:val="auto"/>
              </w:rPr>
            </w:pPr>
          </w:p>
        </w:tc>
        <w:tc>
          <w:tcPr>
            <w:tcW w:w="640" w:type="dxa"/>
            <w:vAlign w:val="bottom"/>
            <w:tcBorders>
              <w:bottom w:val="single" w:sz="8" w:color="959595"/>
            </w:tcBorders>
          </w:tcPr>
          <w:p>
            <w:pPr>
              <w:spacing w:after="0"/>
              <w:rPr>
                <w:sz w:val="2"/>
                <w:szCs w:val="2"/>
                <w:color w:val="auto"/>
              </w:rPr>
            </w:pPr>
          </w:p>
        </w:tc>
        <w:tc>
          <w:tcPr>
            <w:tcW w:w="1160" w:type="dxa"/>
            <w:vAlign w:val="bottom"/>
            <w:tcBorders>
              <w:bottom w:val="single" w:sz="8" w:color="959595"/>
            </w:tcBorders>
          </w:tcPr>
          <w:p>
            <w:pPr>
              <w:spacing w:after="0"/>
              <w:rPr>
                <w:sz w:val="2"/>
                <w:szCs w:val="2"/>
                <w:color w:val="auto"/>
              </w:rPr>
            </w:pPr>
          </w:p>
        </w:tc>
        <w:tc>
          <w:tcPr>
            <w:tcW w:w="880" w:type="dxa"/>
            <w:vAlign w:val="bottom"/>
            <w:tcBorders>
              <w:bottom w:val="single" w:sz="8" w:color="959595"/>
            </w:tcBorders>
          </w:tcPr>
          <w:p>
            <w:pPr>
              <w:spacing w:after="0"/>
              <w:rPr>
                <w:sz w:val="2"/>
                <w:szCs w:val="2"/>
                <w:color w:val="auto"/>
              </w:rPr>
            </w:pPr>
          </w:p>
        </w:tc>
        <w:tc>
          <w:tcPr>
            <w:tcW w:w="820" w:type="dxa"/>
            <w:vAlign w:val="bottom"/>
            <w:tcBorders>
              <w:bottom w:val="single" w:sz="8" w:color="959595"/>
            </w:tcBorders>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4540" w:type="dxa"/>
            <w:vAlign w:val="bottom"/>
            <w:vMerge w:val="continue"/>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2019</w:t>
            </w:r>
          </w:p>
        </w:tc>
        <w:tc>
          <w:tcPr>
            <w:tcW w:w="760" w:type="dxa"/>
            <w:vAlign w:val="bottom"/>
            <w:vMerge w:val="restart"/>
          </w:tcPr>
          <w:p>
            <w:pPr>
              <w:jc w:val="right"/>
              <w:ind w:right="13"/>
              <w:spacing w:after="0"/>
              <w:rPr>
                <w:sz w:val="20"/>
                <w:szCs w:val="20"/>
                <w:color w:val="auto"/>
              </w:rPr>
            </w:pPr>
            <w:r>
              <w:rPr>
                <w:rFonts w:ascii="Arial" w:cs="Arial" w:eastAsia="Arial" w:hAnsi="Arial"/>
                <w:sz w:val="13"/>
                <w:szCs w:val="13"/>
                <w:color w:val="auto"/>
              </w:rPr>
              <w:t>1,250,000</w:t>
            </w:r>
          </w:p>
        </w:tc>
        <w:tc>
          <w:tcPr>
            <w:tcW w:w="880" w:type="dxa"/>
            <w:vAlign w:val="bottom"/>
            <w:vMerge w:val="restart"/>
          </w:tcPr>
          <w:p>
            <w:pPr>
              <w:jc w:val="right"/>
              <w:ind w:right="133"/>
              <w:spacing w:after="0"/>
              <w:rPr>
                <w:sz w:val="20"/>
                <w:szCs w:val="20"/>
                <w:color w:val="auto"/>
              </w:rPr>
            </w:pPr>
            <w:r>
              <w:rPr>
                <w:rFonts w:ascii="Arial" w:cs="Arial" w:eastAsia="Arial" w:hAnsi="Arial"/>
                <w:sz w:val="13"/>
                <w:szCs w:val="13"/>
                <w:color w:val="auto"/>
              </w:rPr>
              <w:t>—</w:t>
            </w:r>
          </w:p>
        </w:tc>
        <w:tc>
          <w:tcPr>
            <w:tcW w:w="1020" w:type="dxa"/>
            <w:vAlign w:val="bottom"/>
            <w:vMerge w:val="restart"/>
          </w:tcPr>
          <w:p>
            <w:pPr>
              <w:jc w:val="right"/>
              <w:ind w:right="193"/>
              <w:spacing w:after="0"/>
              <w:rPr>
                <w:sz w:val="20"/>
                <w:szCs w:val="20"/>
                <w:color w:val="auto"/>
              </w:rPr>
            </w:pPr>
            <w:r>
              <w:rPr>
                <w:rFonts w:ascii="Arial" w:cs="Arial" w:eastAsia="Arial" w:hAnsi="Arial"/>
                <w:sz w:val="13"/>
                <w:szCs w:val="13"/>
                <w:color w:val="auto"/>
              </w:rPr>
              <w:t>11,601,177</w:t>
            </w:r>
          </w:p>
        </w:tc>
        <w:tc>
          <w:tcPr>
            <w:tcW w:w="640" w:type="dxa"/>
            <w:vAlign w:val="bottom"/>
            <w:vMerge w:val="restart"/>
          </w:tcPr>
          <w:p>
            <w:pPr>
              <w:ind w:left="260"/>
              <w:spacing w:after="0"/>
              <w:rPr>
                <w:sz w:val="20"/>
                <w:szCs w:val="20"/>
                <w:color w:val="auto"/>
              </w:rPr>
            </w:pPr>
            <w:r>
              <w:rPr>
                <w:rFonts w:ascii="Arial" w:cs="Arial" w:eastAsia="Arial" w:hAnsi="Arial"/>
                <w:sz w:val="13"/>
                <w:szCs w:val="13"/>
                <w:color w:val="auto"/>
              </w:rPr>
              <w:t>—</w:t>
            </w:r>
          </w:p>
        </w:tc>
        <w:tc>
          <w:tcPr>
            <w:tcW w:w="1160" w:type="dxa"/>
            <w:vAlign w:val="bottom"/>
            <w:vMerge w:val="restart"/>
          </w:tcPr>
          <w:p>
            <w:pPr>
              <w:jc w:val="right"/>
              <w:ind w:right="233"/>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ind w:right="13"/>
              <w:spacing w:after="0"/>
              <w:rPr>
                <w:sz w:val="20"/>
                <w:szCs w:val="20"/>
                <w:color w:val="auto"/>
              </w:rPr>
            </w:pPr>
            <w:r>
              <w:rPr>
                <w:rFonts w:ascii="Arial" w:cs="Arial" w:eastAsia="Arial" w:hAnsi="Arial"/>
                <w:sz w:val="13"/>
                <w:szCs w:val="13"/>
                <w:color w:val="auto"/>
              </w:rPr>
              <w:t>15,292</w:t>
            </w:r>
          </w:p>
        </w:tc>
        <w:tc>
          <w:tcPr>
            <w:tcW w:w="820" w:type="dxa"/>
            <w:vAlign w:val="bottom"/>
            <w:vMerge w:val="restart"/>
          </w:tcPr>
          <w:p>
            <w:pPr>
              <w:jc w:val="right"/>
              <w:ind w:right="13"/>
              <w:spacing w:after="0"/>
              <w:rPr>
                <w:sz w:val="20"/>
                <w:szCs w:val="20"/>
                <w:color w:val="auto"/>
              </w:rPr>
            </w:pPr>
            <w:r>
              <w:rPr>
                <w:rFonts w:ascii="Arial" w:cs="Arial" w:eastAsia="Arial" w:hAnsi="Arial"/>
                <w:sz w:val="13"/>
                <w:szCs w:val="13"/>
                <w:color w:val="auto"/>
              </w:rPr>
              <w:t>12,866,469</w:t>
            </w:r>
          </w:p>
        </w:tc>
        <w:tc>
          <w:tcPr>
            <w:tcW w:w="0" w:type="dxa"/>
            <w:vAlign w:val="bottom"/>
          </w:tcPr>
          <w:p>
            <w:pPr>
              <w:spacing w:after="0"/>
              <w:rPr>
                <w:sz w:val="1"/>
                <w:szCs w:val="1"/>
                <w:color w:val="auto"/>
              </w:rPr>
            </w:pPr>
          </w:p>
        </w:tc>
      </w:tr>
      <w:tr>
        <w:trPr>
          <w:trHeight w:val="94"/>
        </w:trPr>
        <w:tc>
          <w:tcPr>
            <w:tcW w:w="4540" w:type="dxa"/>
            <w:vAlign w:val="bottom"/>
            <w:vMerge w:val="restart"/>
          </w:tcPr>
          <w:p>
            <w:pPr>
              <w:ind w:left="80"/>
              <w:spacing w:after="0"/>
              <w:rPr>
                <w:sz w:val="20"/>
                <w:szCs w:val="20"/>
                <w:color w:val="auto"/>
              </w:rPr>
            </w:pPr>
            <w:r>
              <w:rPr>
                <w:rFonts w:ascii="Arial" w:cs="Arial" w:eastAsia="Arial" w:hAnsi="Arial"/>
                <w:sz w:val="13"/>
                <w:szCs w:val="13"/>
                <w:color w:val="auto"/>
              </w:rPr>
              <w:t>Executive Officer</w:t>
            </w:r>
          </w:p>
        </w:tc>
        <w:tc>
          <w:tcPr>
            <w:tcW w:w="540" w:type="dxa"/>
            <w:vAlign w:val="bottom"/>
            <w:tcBorders>
              <w:bottom w:val="single" w:sz="8" w:color="959595"/>
            </w:tcBorders>
            <w:vMerge w:val="continue"/>
          </w:tcPr>
          <w:p>
            <w:pPr>
              <w:spacing w:after="0"/>
              <w:rPr>
                <w:sz w:val="7"/>
                <w:szCs w:val="7"/>
                <w:color w:val="auto"/>
              </w:rPr>
            </w:pPr>
          </w:p>
        </w:tc>
        <w:tc>
          <w:tcPr>
            <w:tcW w:w="760" w:type="dxa"/>
            <w:vAlign w:val="bottom"/>
            <w:tcBorders>
              <w:bottom w:val="single" w:sz="8" w:color="959595"/>
            </w:tcBorders>
            <w:vMerge w:val="continue"/>
          </w:tcPr>
          <w:p>
            <w:pPr>
              <w:spacing w:after="0"/>
              <w:rPr>
                <w:sz w:val="7"/>
                <w:szCs w:val="7"/>
                <w:color w:val="auto"/>
              </w:rPr>
            </w:pPr>
          </w:p>
        </w:tc>
        <w:tc>
          <w:tcPr>
            <w:tcW w:w="880" w:type="dxa"/>
            <w:vAlign w:val="bottom"/>
            <w:tcBorders>
              <w:bottom w:val="single" w:sz="8" w:color="959595"/>
            </w:tcBorders>
            <w:vMerge w:val="continue"/>
          </w:tcPr>
          <w:p>
            <w:pPr>
              <w:spacing w:after="0"/>
              <w:rPr>
                <w:sz w:val="7"/>
                <w:szCs w:val="7"/>
                <w:color w:val="auto"/>
              </w:rPr>
            </w:pPr>
          </w:p>
        </w:tc>
        <w:tc>
          <w:tcPr>
            <w:tcW w:w="1020" w:type="dxa"/>
            <w:vAlign w:val="bottom"/>
            <w:tcBorders>
              <w:bottom w:val="single" w:sz="8" w:color="959595"/>
            </w:tcBorders>
            <w:vMerge w:val="continue"/>
          </w:tcPr>
          <w:p>
            <w:pPr>
              <w:spacing w:after="0"/>
              <w:rPr>
                <w:sz w:val="7"/>
                <w:szCs w:val="7"/>
                <w:color w:val="auto"/>
              </w:rPr>
            </w:pPr>
          </w:p>
        </w:tc>
        <w:tc>
          <w:tcPr>
            <w:tcW w:w="640" w:type="dxa"/>
            <w:vAlign w:val="bottom"/>
            <w:tcBorders>
              <w:bottom w:val="single" w:sz="8" w:color="959595"/>
            </w:tcBorders>
            <w:vMerge w:val="continue"/>
          </w:tcPr>
          <w:p>
            <w:pPr>
              <w:spacing w:after="0"/>
              <w:rPr>
                <w:sz w:val="7"/>
                <w:szCs w:val="7"/>
                <w:color w:val="auto"/>
              </w:rPr>
            </w:pPr>
          </w:p>
        </w:tc>
        <w:tc>
          <w:tcPr>
            <w:tcW w:w="1160" w:type="dxa"/>
            <w:vAlign w:val="bottom"/>
            <w:tcBorders>
              <w:bottom w:val="single" w:sz="8" w:color="959595"/>
            </w:tcBorders>
            <w:vMerge w:val="continue"/>
          </w:tcPr>
          <w:p>
            <w:pPr>
              <w:spacing w:after="0"/>
              <w:rPr>
                <w:sz w:val="7"/>
                <w:szCs w:val="7"/>
                <w:color w:val="auto"/>
              </w:rPr>
            </w:pPr>
          </w:p>
        </w:tc>
        <w:tc>
          <w:tcPr>
            <w:tcW w:w="880" w:type="dxa"/>
            <w:vAlign w:val="bottom"/>
            <w:tcBorders>
              <w:bottom w:val="single" w:sz="8" w:color="959595"/>
            </w:tcBorders>
            <w:vMerge w:val="continue"/>
          </w:tcPr>
          <w:p>
            <w:pPr>
              <w:spacing w:after="0"/>
              <w:rPr>
                <w:sz w:val="7"/>
                <w:szCs w:val="7"/>
                <w:color w:val="auto"/>
              </w:rPr>
            </w:pPr>
          </w:p>
        </w:tc>
        <w:tc>
          <w:tcPr>
            <w:tcW w:w="820" w:type="dxa"/>
            <w:vAlign w:val="bottom"/>
            <w:tcBorders>
              <w:bottom w:val="single" w:sz="8" w:color="959595"/>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4540" w:type="dxa"/>
            <w:vAlign w:val="bottom"/>
            <w:vMerge w:val="continue"/>
          </w:tcPr>
          <w:p>
            <w:pPr>
              <w:spacing w:after="0"/>
              <w:rPr>
                <w:sz w:val="4"/>
                <w:szCs w:val="4"/>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2018</w:t>
            </w:r>
          </w:p>
        </w:tc>
        <w:tc>
          <w:tcPr>
            <w:tcW w:w="760" w:type="dxa"/>
            <w:vAlign w:val="bottom"/>
            <w:vMerge w:val="restart"/>
          </w:tcPr>
          <w:p>
            <w:pPr>
              <w:jc w:val="right"/>
              <w:ind w:right="13"/>
              <w:spacing w:after="0"/>
              <w:rPr>
                <w:sz w:val="20"/>
                <w:szCs w:val="20"/>
                <w:color w:val="auto"/>
              </w:rPr>
            </w:pPr>
            <w:r>
              <w:rPr>
                <w:rFonts w:ascii="Arial" w:cs="Arial" w:eastAsia="Arial" w:hAnsi="Arial"/>
                <w:sz w:val="13"/>
                <w:szCs w:val="13"/>
                <w:color w:val="auto"/>
              </w:rPr>
              <w:t>1,250,000</w:t>
            </w:r>
          </w:p>
        </w:tc>
        <w:tc>
          <w:tcPr>
            <w:tcW w:w="880" w:type="dxa"/>
            <w:vAlign w:val="bottom"/>
            <w:vMerge w:val="restart"/>
          </w:tcPr>
          <w:p>
            <w:pPr>
              <w:jc w:val="right"/>
              <w:ind w:right="133"/>
              <w:spacing w:after="0"/>
              <w:rPr>
                <w:sz w:val="20"/>
                <w:szCs w:val="20"/>
                <w:color w:val="auto"/>
              </w:rPr>
            </w:pPr>
            <w:r>
              <w:rPr>
                <w:rFonts w:ascii="Arial" w:cs="Arial" w:eastAsia="Arial" w:hAnsi="Arial"/>
                <w:sz w:val="13"/>
                <w:szCs w:val="13"/>
                <w:color w:val="auto"/>
              </w:rPr>
              <w:t>—</w:t>
            </w:r>
          </w:p>
        </w:tc>
        <w:tc>
          <w:tcPr>
            <w:tcW w:w="1020" w:type="dxa"/>
            <w:vAlign w:val="bottom"/>
            <w:vMerge w:val="restart"/>
          </w:tcPr>
          <w:p>
            <w:pPr>
              <w:jc w:val="right"/>
              <w:ind w:right="193"/>
              <w:spacing w:after="0"/>
              <w:rPr>
                <w:sz w:val="20"/>
                <w:szCs w:val="20"/>
                <w:color w:val="auto"/>
              </w:rPr>
            </w:pPr>
            <w:r>
              <w:rPr>
                <w:rFonts w:ascii="Arial" w:cs="Arial" w:eastAsia="Arial" w:hAnsi="Arial"/>
                <w:sz w:val="13"/>
                <w:szCs w:val="13"/>
                <w:color w:val="auto"/>
              </w:rPr>
              <w:t>16,033,990</w:t>
            </w:r>
          </w:p>
        </w:tc>
        <w:tc>
          <w:tcPr>
            <w:tcW w:w="640" w:type="dxa"/>
            <w:vAlign w:val="bottom"/>
            <w:vMerge w:val="restart"/>
          </w:tcPr>
          <w:p>
            <w:pPr>
              <w:ind w:left="260"/>
              <w:spacing w:after="0"/>
              <w:rPr>
                <w:sz w:val="20"/>
                <w:szCs w:val="20"/>
                <w:color w:val="auto"/>
              </w:rPr>
            </w:pPr>
            <w:r>
              <w:rPr>
                <w:rFonts w:ascii="Arial" w:cs="Arial" w:eastAsia="Arial" w:hAnsi="Arial"/>
                <w:sz w:val="13"/>
                <w:szCs w:val="13"/>
                <w:color w:val="auto"/>
              </w:rPr>
              <w:t>—</w:t>
            </w:r>
          </w:p>
        </w:tc>
        <w:tc>
          <w:tcPr>
            <w:tcW w:w="1160" w:type="dxa"/>
            <w:vAlign w:val="bottom"/>
            <w:vMerge w:val="restart"/>
          </w:tcPr>
          <w:p>
            <w:pPr>
              <w:jc w:val="right"/>
              <w:ind w:right="233"/>
              <w:spacing w:after="0"/>
              <w:rPr>
                <w:sz w:val="20"/>
                <w:szCs w:val="20"/>
                <w:color w:val="auto"/>
              </w:rPr>
            </w:pPr>
            <w:r>
              <w:rPr>
                <w:rFonts w:ascii="Arial" w:cs="Arial" w:eastAsia="Arial" w:hAnsi="Arial"/>
                <w:sz w:val="13"/>
                <w:szCs w:val="13"/>
                <w:color w:val="auto"/>
              </w:rPr>
              <w:t>2,175,000</w:t>
            </w:r>
          </w:p>
        </w:tc>
        <w:tc>
          <w:tcPr>
            <w:tcW w:w="880" w:type="dxa"/>
            <w:vAlign w:val="bottom"/>
            <w:vMerge w:val="restart"/>
          </w:tcPr>
          <w:p>
            <w:pPr>
              <w:jc w:val="right"/>
              <w:ind w:right="13"/>
              <w:spacing w:after="0"/>
              <w:rPr>
                <w:sz w:val="20"/>
                <w:szCs w:val="20"/>
                <w:color w:val="auto"/>
              </w:rPr>
            </w:pPr>
            <w:r>
              <w:rPr>
                <w:rFonts w:ascii="Arial" w:cs="Arial" w:eastAsia="Arial" w:hAnsi="Arial"/>
                <w:sz w:val="13"/>
                <w:szCs w:val="13"/>
                <w:color w:val="auto"/>
              </w:rPr>
              <w:t>279,391</w:t>
            </w:r>
          </w:p>
        </w:tc>
        <w:tc>
          <w:tcPr>
            <w:tcW w:w="820" w:type="dxa"/>
            <w:vAlign w:val="bottom"/>
            <w:vMerge w:val="restart"/>
          </w:tcPr>
          <w:p>
            <w:pPr>
              <w:jc w:val="right"/>
              <w:ind w:right="13"/>
              <w:spacing w:after="0"/>
              <w:rPr>
                <w:sz w:val="20"/>
                <w:szCs w:val="20"/>
                <w:color w:val="auto"/>
              </w:rPr>
            </w:pPr>
            <w:r>
              <w:rPr>
                <w:rFonts w:ascii="Arial" w:cs="Arial" w:eastAsia="Arial" w:hAnsi="Arial"/>
                <w:sz w:val="13"/>
                <w:szCs w:val="13"/>
                <w:color w:val="auto"/>
              </w:rPr>
              <w:t>19,738,381</w:t>
            </w:r>
          </w:p>
        </w:tc>
        <w:tc>
          <w:tcPr>
            <w:tcW w:w="0" w:type="dxa"/>
            <w:vAlign w:val="bottom"/>
          </w:tcPr>
          <w:p>
            <w:pPr>
              <w:spacing w:after="0"/>
              <w:rPr>
                <w:sz w:val="1"/>
                <w:szCs w:val="1"/>
                <w:color w:val="auto"/>
              </w:rPr>
            </w:pPr>
          </w:p>
        </w:tc>
      </w:tr>
      <w:tr>
        <w:trPr>
          <w:trHeight w:val="143"/>
        </w:trPr>
        <w:tc>
          <w:tcPr>
            <w:tcW w:w="4540" w:type="dxa"/>
            <w:vAlign w:val="bottom"/>
            <w:tcBorders>
              <w:bottom w:val="single" w:sz="8" w:color="959595"/>
            </w:tcBorders>
          </w:tcPr>
          <w:p>
            <w:pPr>
              <w:spacing w:after="0"/>
              <w:rPr>
                <w:sz w:val="12"/>
                <w:szCs w:val="12"/>
                <w:color w:val="auto"/>
              </w:rPr>
            </w:pPr>
          </w:p>
        </w:tc>
        <w:tc>
          <w:tcPr>
            <w:tcW w:w="540" w:type="dxa"/>
            <w:vAlign w:val="bottom"/>
            <w:tcBorders>
              <w:bottom w:val="single" w:sz="8" w:color="959595"/>
            </w:tcBorders>
            <w:vMerge w:val="continue"/>
          </w:tcPr>
          <w:p>
            <w:pPr>
              <w:spacing w:after="0"/>
              <w:rPr>
                <w:sz w:val="12"/>
                <w:szCs w:val="12"/>
                <w:color w:val="auto"/>
              </w:rPr>
            </w:pPr>
          </w:p>
        </w:tc>
        <w:tc>
          <w:tcPr>
            <w:tcW w:w="760" w:type="dxa"/>
            <w:vAlign w:val="bottom"/>
            <w:tcBorders>
              <w:bottom w:val="single" w:sz="8" w:color="959595"/>
            </w:tcBorders>
            <w:vMerge w:val="continue"/>
          </w:tcPr>
          <w:p>
            <w:pPr>
              <w:spacing w:after="0"/>
              <w:rPr>
                <w:sz w:val="12"/>
                <w:szCs w:val="12"/>
                <w:color w:val="auto"/>
              </w:rPr>
            </w:pPr>
          </w:p>
        </w:tc>
        <w:tc>
          <w:tcPr>
            <w:tcW w:w="880" w:type="dxa"/>
            <w:vAlign w:val="bottom"/>
            <w:tcBorders>
              <w:bottom w:val="single" w:sz="8" w:color="959595"/>
            </w:tcBorders>
            <w:vMerge w:val="continue"/>
          </w:tcPr>
          <w:p>
            <w:pPr>
              <w:spacing w:after="0"/>
              <w:rPr>
                <w:sz w:val="12"/>
                <w:szCs w:val="12"/>
                <w:color w:val="auto"/>
              </w:rPr>
            </w:pPr>
          </w:p>
        </w:tc>
        <w:tc>
          <w:tcPr>
            <w:tcW w:w="1020" w:type="dxa"/>
            <w:vAlign w:val="bottom"/>
            <w:tcBorders>
              <w:bottom w:val="single" w:sz="8" w:color="959595"/>
            </w:tcBorders>
            <w:vMerge w:val="continue"/>
          </w:tcPr>
          <w:p>
            <w:pPr>
              <w:spacing w:after="0"/>
              <w:rPr>
                <w:sz w:val="12"/>
                <w:szCs w:val="12"/>
                <w:color w:val="auto"/>
              </w:rPr>
            </w:pPr>
          </w:p>
        </w:tc>
        <w:tc>
          <w:tcPr>
            <w:tcW w:w="640" w:type="dxa"/>
            <w:vAlign w:val="bottom"/>
            <w:tcBorders>
              <w:bottom w:val="single" w:sz="8" w:color="959595"/>
            </w:tcBorders>
            <w:vMerge w:val="continue"/>
          </w:tcPr>
          <w:p>
            <w:pPr>
              <w:spacing w:after="0"/>
              <w:rPr>
                <w:sz w:val="12"/>
                <w:szCs w:val="12"/>
                <w:color w:val="auto"/>
              </w:rPr>
            </w:pPr>
          </w:p>
        </w:tc>
        <w:tc>
          <w:tcPr>
            <w:tcW w:w="1160" w:type="dxa"/>
            <w:vAlign w:val="bottom"/>
            <w:tcBorders>
              <w:bottom w:val="single" w:sz="8" w:color="959595"/>
            </w:tcBorders>
            <w:vMerge w:val="continue"/>
          </w:tcPr>
          <w:p>
            <w:pPr>
              <w:spacing w:after="0"/>
              <w:rPr>
                <w:sz w:val="12"/>
                <w:szCs w:val="12"/>
                <w:color w:val="auto"/>
              </w:rPr>
            </w:pPr>
          </w:p>
        </w:tc>
        <w:tc>
          <w:tcPr>
            <w:tcW w:w="880" w:type="dxa"/>
            <w:vAlign w:val="bottom"/>
            <w:tcBorders>
              <w:bottom w:val="single" w:sz="8" w:color="959595"/>
            </w:tcBorders>
            <w:vMerge w:val="continue"/>
          </w:tcPr>
          <w:p>
            <w:pPr>
              <w:spacing w:after="0"/>
              <w:rPr>
                <w:sz w:val="12"/>
                <w:szCs w:val="12"/>
                <w:color w:val="auto"/>
              </w:rPr>
            </w:pPr>
          </w:p>
        </w:tc>
        <w:tc>
          <w:tcPr>
            <w:tcW w:w="820" w:type="dxa"/>
            <w:vAlign w:val="bottom"/>
            <w:tcBorders>
              <w:bottom w:val="single" w:sz="8" w:color="959595"/>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540" w:type="dxa"/>
            <w:vAlign w:val="bottom"/>
          </w:tcPr>
          <w:p>
            <w:pPr>
              <w:ind w:left="80"/>
              <w:spacing w:after="0"/>
              <w:rPr>
                <w:sz w:val="20"/>
                <w:szCs w:val="20"/>
                <w:color w:val="auto"/>
              </w:rPr>
            </w:pPr>
            <w:r>
              <w:rPr>
                <w:rFonts w:ascii="Arial" w:cs="Arial" w:eastAsia="Arial" w:hAnsi="Arial"/>
                <w:sz w:val="13"/>
                <w:szCs w:val="13"/>
                <w:b w:val="1"/>
                <w:bCs w:val="1"/>
                <w:color w:val="567EA5"/>
              </w:rPr>
              <w:t>Michael D. Cordano</w:t>
            </w:r>
          </w:p>
        </w:tc>
        <w:tc>
          <w:tcPr>
            <w:tcW w:w="540" w:type="dxa"/>
            <w:vAlign w:val="bottom"/>
          </w:tcPr>
          <w:p>
            <w:pPr>
              <w:jc w:val="right"/>
              <w:spacing w:after="0"/>
              <w:rPr>
                <w:sz w:val="20"/>
                <w:szCs w:val="20"/>
                <w:color w:val="auto"/>
              </w:rPr>
            </w:pPr>
            <w:r>
              <w:rPr>
                <w:rFonts w:ascii="Arial" w:cs="Arial" w:eastAsia="Arial" w:hAnsi="Arial"/>
                <w:sz w:val="13"/>
                <w:szCs w:val="13"/>
                <w:color w:val="auto"/>
              </w:rPr>
              <w:t>2020</w:t>
            </w: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815,385</w:t>
            </w:r>
          </w:p>
        </w:tc>
        <w:tc>
          <w:tcPr>
            <w:tcW w:w="880" w:type="dxa"/>
            <w:vAlign w:val="bottom"/>
          </w:tcPr>
          <w:p>
            <w:pPr>
              <w:jc w:val="right"/>
              <w:ind w:right="133"/>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93"/>
              <w:spacing w:after="0"/>
              <w:rPr>
                <w:sz w:val="20"/>
                <w:szCs w:val="20"/>
                <w:color w:val="auto"/>
              </w:rPr>
            </w:pPr>
            <w:r>
              <w:rPr>
                <w:rFonts w:ascii="Arial" w:cs="Arial" w:eastAsia="Arial" w:hAnsi="Arial"/>
                <w:sz w:val="13"/>
                <w:szCs w:val="13"/>
                <w:color w:val="auto"/>
              </w:rPr>
              <w:t>5,601,575</w:t>
            </w:r>
          </w:p>
        </w:tc>
        <w:tc>
          <w:tcPr>
            <w:tcW w:w="640" w:type="dxa"/>
            <w:vAlign w:val="bottom"/>
          </w:tcPr>
          <w:p>
            <w:pPr>
              <w:ind w:left="260"/>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233"/>
              <w:spacing w:after="0"/>
              <w:rPr>
                <w:sz w:val="20"/>
                <w:szCs w:val="20"/>
                <w:color w:val="auto"/>
              </w:rPr>
            </w:pPr>
            <w:r>
              <w:rPr>
                <w:rFonts w:ascii="Arial" w:cs="Arial" w:eastAsia="Arial" w:hAnsi="Arial"/>
                <w:sz w:val="13"/>
                <w:szCs w:val="13"/>
                <w:color w:val="auto"/>
              </w:rPr>
              <w:t>1,000,000</w:t>
            </w:r>
          </w:p>
        </w:tc>
        <w:tc>
          <w:tcPr>
            <w:tcW w:w="880" w:type="dxa"/>
            <w:vAlign w:val="bottom"/>
          </w:tcPr>
          <w:p>
            <w:pPr>
              <w:jc w:val="right"/>
              <w:ind w:right="13"/>
              <w:spacing w:after="0"/>
              <w:rPr>
                <w:sz w:val="20"/>
                <w:szCs w:val="20"/>
                <w:color w:val="auto"/>
              </w:rPr>
            </w:pPr>
            <w:r>
              <w:rPr>
                <w:rFonts w:ascii="Arial" w:cs="Arial" w:eastAsia="Arial" w:hAnsi="Arial"/>
                <w:sz w:val="13"/>
                <w:szCs w:val="13"/>
                <w:color w:val="auto"/>
              </w:rPr>
              <w:t>8,550</w:t>
            </w: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7,425,510</w:t>
            </w:r>
          </w:p>
        </w:tc>
        <w:tc>
          <w:tcPr>
            <w:tcW w:w="0" w:type="dxa"/>
            <w:vAlign w:val="bottom"/>
          </w:tcPr>
          <w:p>
            <w:pPr>
              <w:spacing w:after="0"/>
              <w:rPr>
                <w:sz w:val="1"/>
                <w:szCs w:val="1"/>
                <w:color w:val="auto"/>
              </w:rPr>
            </w:pPr>
          </w:p>
        </w:tc>
      </w:tr>
      <w:tr>
        <w:trPr>
          <w:trHeight w:val="28"/>
        </w:trPr>
        <w:tc>
          <w:tcPr>
            <w:tcW w:w="4540" w:type="dxa"/>
            <w:vAlign w:val="bottom"/>
            <w:vMerge w:val="restart"/>
          </w:tcPr>
          <w:p>
            <w:pPr>
              <w:ind w:left="80"/>
              <w:spacing w:after="0"/>
              <w:rPr>
                <w:sz w:val="20"/>
                <w:szCs w:val="20"/>
                <w:color w:val="auto"/>
              </w:rPr>
            </w:pPr>
            <w:r>
              <w:rPr>
                <w:rFonts w:ascii="Arial" w:cs="Arial" w:eastAsia="Arial" w:hAnsi="Arial"/>
                <w:sz w:val="13"/>
                <w:szCs w:val="13"/>
                <w:color w:val="auto"/>
              </w:rPr>
              <w:t>Former President and Chief</w:t>
            </w:r>
          </w:p>
        </w:tc>
        <w:tc>
          <w:tcPr>
            <w:tcW w:w="540" w:type="dxa"/>
            <w:vAlign w:val="bottom"/>
            <w:tcBorders>
              <w:bottom w:val="single" w:sz="8" w:color="959595"/>
            </w:tcBorders>
          </w:tcPr>
          <w:p>
            <w:pPr>
              <w:spacing w:after="0"/>
              <w:rPr>
                <w:sz w:val="2"/>
                <w:szCs w:val="2"/>
                <w:color w:val="auto"/>
              </w:rPr>
            </w:pPr>
          </w:p>
        </w:tc>
        <w:tc>
          <w:tcPr>
            <w:tcW w:w="760" w:type="dxa"/>
            <w:vAlign w:val="bottom"/>
            <w:tcBorders>
              <w:bottom w:val="single" w:sz="8" w:color="959595"/>
            </w:tcBorders>
          </w:tcPr>
          <w:p>
            <w:pPr>
              <w:spacing w:after="0"/>
              <w:rPr>
                <w:sz w:val="2"/>
                <w:szCs w:val="2"/>
                <w:color w:val="auto"/>
              </w:rPr>
            </w:pPr>
          </w:p>
        </w:tc>
        <w:tc>
          <w:tcPr>
            <w:tcW w:w="880" w:type="dxa"/>
            <w:vAlign w:val="bottom"/>
            <w:tcBorders>
              <w:bottom w:val="single" w:sz="8" w:color="959595"/>
            </w:tcBorders>
          </w:tcPr>
          <w:p>
            <w:pPr>
              <w:spacing w:after="0"/>
              <w:rPr>
                <w:sz w:val="2"/>
                <w:szCs w:val="2"/>
                <w:color w:val="auto"/>
              </w:rPr>
            </w:pPr>
          </w:p>
        </w:tc>
        <w:tc>
          <w:tcPr>
            <w:tcW w:w="1020" w:type="dxa"/>
            <w:vAlign w:val="bottom"/>
            <w:tcBorders>
              <w:bottom w:val="single" w:sz="8" w:color="959595"/>
            </w:tcBorders>
          </w:tcPr>
          <w:p>
            <w:pPr>
              <w:spacing w:after="0"/>
              <w:rPr>
                <w:sz w:val="2"/>
                <w:szCs w:val="2"/>
                <w:color w:val="auto"/>
              </w:rPr>
            </w:pPr>
          </w:p>
        </w:tc>
        <w:tc>
          <w:tcPr>
            <w:tcW w:w="640" w:type="dxa"/>
            <w:vAlign w:val="bottom"/>
            <w:tcBorders>
              <w:bottom w:val="single" w:sz="8" w:color="959595"/>
            </w:tcBorders>
          </w:tcPr>
          <w:p>
            <w:pPr>
              <w:spacing w:after="0"/>
              <w:rPr>
                <w:sz w:val="2"/>
                <w:szCs w:val="2"/>
                <w:color w:val="auto"/>
              </w:rPr>
            </w:pPr>
          </w:p>
        </w:tc>
        <w:tc>
          <w:tcPr>
            <w:tcW w:w="1160" w:type="dxa"/>
            <w:vAlign w:val="bottom"/>
            <w:tcBorders>
              <w:bottom w:val="single" w:sz="8" w:color="959595"/>
            </w:tcBorders>
          </w:tcPr>
          <w:p>
            <w:pPr>
              <w:spacing w:after="0"/>
              <w:rPr>
                <w:sz w:val="2"/>
                <w:szCs w:val="2"/>
                <w:color w:val="auto"/>
              </w:rPr>
            </w:pPr>
          </w:p>
        </w:tc>
        <w:tc>
          <w:tcPr>
            <w:tcW w:w="880" w:type="dxa"/>
            <w:vAlign w:val="bottom"/>
            <w:tcBorders>
              <w:bottom w:val="single" w:sz="8" w:color="959595"/>
            </w:tcBorders>
          </w:tcPr>
          <w:p>
            <w:pPr>
              <w:spacing w:after="0"/>
              <w:rPr>
                <w:sz w:val="2"/>
                <w:szCs w:val="2"/>
                <w:color w:val="auto"/>
              </w:rPr>
            </w:pPr>
          </w:p>
        </w:tc>
        <w:tc>
          <w:tcPr>
            <w:tcW w:w="820" w:type="dxa"/>
            <w:vAlign w:val="bottom"/>
            <w:tcBorders>
              <w:bottom w:val="single" w:sz="8" w:color="959595"/>
            </w:tcBorders>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4540" w:type="dxa"/>
            <w:vAlign w:val="bottom"/>
            <w:vMerge w:val="continue"/>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2019</w:t>
            </w:r>
          </w:p>
        </w:tc>
        <w:tc>
          <w:tcPr>
            <w:tcW w:w="760" w:type="dxa"/>
            <w:vAlign w:val="bottom"/>
            <w:vMerge w:val="restart"/>
          </w:tcPr>
          <w:p>
            <w:pPr>
              <w:jc w:val="right"/>
              <w:ind w:right="13"/>
              <w:spacing w:after="0"/>
              <w:rPr>
                <w:sz w:val="20"/>
                <w:szCs w:val="20"/>
                <w:color w:val="auto"/>
              </w:rPr>
            </w:pPr>
            <w:r>
              <w:rPr>
                <w:rFonts w:ascii="Arial" w:cs="Arial" w:eastAsia="Arial" w:hAnsi="Arial"/>
                <w:sz w:val="13"/>
                <w:szCs w:val="13"/>
                <w:color w:val="auto"/>
              </w:rPr>
              <w:t>800,000</w:t>
            </w:r>
          </w:p>
        </w:tc>
        <w:tc>
          <w:tcPr>
            <w:tcW w:w="880" w:type="dxa"/>
            <w:vAlign w:val="bottom"/>
            <w:vMerge w:val="restart"/>
          </w:tcPr>
          <w:p>
            <w:pPr>
              <w:jc w:val="right"/>
              <w:ind w:right="133"/>
              <w:spacing w:after="0"/>
              <w:rPr>
                <w:sz w:val="20"/>
                <w:szCs w:val="20"/>
                <w:color w:val="auto"/>
              </w:rPr>
            </w:pPr>
            <w:r>
              <w:rPr>
                <w:rFonts w:ascii="Arial" w:cs="Arial" w:eastAsia="Arial" w:hAnsi="Arial"/>
                <w:sz w:val="13"/>
                <w:szCs w:val="13"/>
                <w:color w:val="auto"/>
              </w:rPr>
              <w:t>—</w:t>
            </w:r>
          </w:p>
        </w:tc>
        <w:tc>
          <w:tcPr>
            <w:tcW w:w="1020" w:type="dxa"/>
            <w:vAlign w:val="bottom"/>
            <w:vMerge w:val="restart"/>
          </w:tcPr>
          <w:p>
            <w:pPr>
              <w:jc w:val="right"/>
              <w:ind w:right="193"/>
              <w:spacing w:after="0"/>
              <w:rPr>
                <w:sz w:val="20"/>
                <w:szCs w:val="20"/>
                <w:color w:val="auto"/>
              </w:rPr>
            </w:pPr>
            <w:r>
              <w:rPr>
                <w:rFonts w:ascii="Arial" w:cs="Arial" w:eastAsia="Arial" w:hAnsi="Arial"/>
                <w:sz w:val="13"/>
                <w:szCs w:val="13"/>
                <w:color w:val="auto"/>
              </w:rPr>
              <w:t>4,666,984</w:t>
            </w:r>
          </w:p>
        </w:tc>
        <w:tc>
          <w:tcPr>
            <w:tcW w:w="640" w:type="dxa"/>
            <w:vAlign w:val="bottom"/>
            <w:vMerge w:val="restart"/>
          </w:tcPr>
          <w:p>
            <w:pPr>
              <w:ind w:left="260"/>
              <w:spacing w:after="0"/>
              <w:rPr>
                <w:sz w:val="20"/>
                <w:szCs w:val="20"/>
                <w:color w:val="auto"/>
              </w:rPr>
            </w:pPr>
            <w:r>
              <w:rPr>
                <w:rFonts w:ascii="Arial" w:cs="Arial" w:eastAsia="Arial" w:hAnsi="Arial"/>
                <w:sz w:val="13"/>
                <w:szCs w:val="13"/>
                <w:color w:val="auto"/>
              </w:rPr>
              <w:t>—</w:t>
            </w:r>
          </w:p>
        </w:tc>
        <w:tc>
          <w:tcPr>
            <w:tcW w:w="1160" w:type="dxa"/>
            <w:vAlign w:val="bottom"/>
            <w:vMerge w:val="restart"/>
          </w:tcPr>
          <w:p>
            <w:pPr>
              <w:jc w:val="right"/>
              <w:ind w:right="233"/>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ind w:right="13"/>
              <w:spacing w:after="0"/>
              <w:rPr>
                <w:sz w:val="20"/>
                <w:szCs w:val="20"/>
                <w:color w:val="auto"/>
              </w:rPr>
            </w:pPr>
            <w:r>
              <w:rPr>
                <w:rFonts w:ascii="Arial" w:cs="Arial" w:eastAsia="Arial" w:hAnsi="Arial"/>
                <w:sz w:val="13"/>
                <w:szCs w:val="13"/>
                <w:color w:val="auto"/>
              </w:rPr>
              <w:t>8,400</w:t>
            </w:r>
          </w:p>
        </w:tc>
        <w:tc>
          <w:tcPr>
            <w:tcW w:w="820" w:type="dxa"/>
            <w:vAlign w:val="bottom"/>
            <w:vMerge w:val="restart"/>
          </w:tcPr>
          <w:p>
            <w:pPr>
              <w:jc w:val="right"/>
              <w:ind w:right="13"/>
              <w:spacing w:after="0"/>
              <w:rPr>
                <w:sz w:val="20"/>
                <w:szCs w:val="20"/>
                <w:color w:val="auto"/>
              </w:rPr>
            </w:pPr>
            <w:r>
              <w:rPr>
                <w:rFonts w:ascii="Arial" w:cs="Arial" w:eastAsia="Arial" w:hAnsi="Arial"/>
                <w:sz w:val="13"/>
                <w:szCs w:val="13"/>
                <w:color w:val="auto"/>
              </w:rPr>
              <w:t>5,475,384</w:t>
            </w:r>
          </w:p>
        </w:tc>
        <w:tc>
          <w:tcPr>
            <w:tcW w:w="0" w:type="dxa"/>
            <w:vAlign w:val="bottom"/>
          </w:tcPr>
          <w:p>
            <w:pPr>
              <w:spacing w:after="0"/>
              <w:rPr>
                <w:sz w:val="1"/>
                <w:szCs w:val="1"/>
                <w:color w:val="auto"/>
              </w:rPr>
            </w:pPr>
          </w:p>
        </w:tc>
      </w:tr>
      <w:tr>
        <w:trPr>
          <w:trHeight w:val="94"/>
        </w:trPr>
        <w:tc>
          <w:tcPr>
            <w:tcW w:w="4540" w:type="dxa"/>
            <w:vAlign w:val="bottom"/>
            <w:vMerge w:val="restart"/>
          </w:tcPr>
          <w:p>
            <w:pPr>
              <w:ind w:left="80"/>
              <w:spacing w:after="0"/>
              <w:rPr>
                <w:sz w:val="20"/>
                <w:szCs w:val="20"/>
                <w:color w:val="auto"/>
              </w:rPr>
            </w:pPr>
            <w:r>
              <w:rPr>
                <w:rFonts w:ascii="Arial" w:cs="Arial" w:eastAsia="Arial" w:hAnsi="Arial"/>
                <w:sz w:val="13"/>
                <w:szCs w:val="13"/>
                <w:color w:val="auto"/>
              </w:rPr>
              <w:t>Operating Officer</w:t>
            </w:r>
          </w:p>
        </w:tc>
        <w:tc>
          <w:tcPr>
            <w:tcW w:w="540" w:type="dxa"/>
            <w:vAlign w:val="bottom"/>
            <w:tcBorders>
              <w:bottom w:val="single" w:sz="8" w:color="959595"/>
            </w:tcBorders>
            <w:vMerge w:val="continue"/>
          </w:tcPr>
          <w:p>
            <w:pPr>
              <w:spacing w:after="0"/>
              <w:rPr>
                <w:sz w:val="7"/>
                <w:szCs w:val="7"/>
                <w:color w:val="auto"/>
              </w:rPr>
            </w:pPr>
          </w:p>
        </w:tc>
        <w:tc>
          <w:tcPr>
            <w:tcW w:w="760" w:type="dxa"/>
            <w:vAlign w:val="bottom"/>
            <w:tcBorders>
              <w:bottom w:val="single" w:sz="8" w:color="959595"/>
            </w:tcBorders>
            <w:vMerge w:val="continue"/>
          </w:tcPr>
          <w:p>
            <w:pPr>
              <w:spacing w:after="0"/>
              <w:rPr>
                <w:sz w:val="7"/>
                <w:szCs w:val="7"/>
                <w:color w:val="auto"/>
              </w:rPr>
            </w:pPr>
          </w:p>
        </w:tc>
        <w:tc>
          <w:tcPr>
            <w:tcW w:w="880" w:type="dxa"/>
            <w:vAlign w:val="bottom"/>
            <w:tcBorders>
              <w:bottom w:val="single" w:sz="8" w:color="959595"/>
            </w:tcBorders>
            <w:vMerge w:val="continue"/>
          </w:tcPr>
          <w:p>
            <w:pPr>
              <w:spacing w:after="0"/>
              <w:rPr>
                <w:sz w:val="7"/>
                <w:szCs w:val="7"/>
                <w:color w:val="auto"/>
              </w:rPr>
            </w:pPr>
          </w:p>
        </w:tc>
        <w:tc>
          <w:tcPr>
            <w:tcW w:w="1020" w:type="dxa"/>
            <w:vAlign w:val="bottom"/>
            <w:tcBorders>
              <w:bottom w:val="single" w:sz="8" w:color="959595"/>
            </w:tcBorders>
            <w:vMerge w:val="continue"/>
          </w:tcPr>
          <w:p>
            <w:pPr>
              <w:spacing w:after="0"/>
              <w:rPr>
                <w:sz w:val="7"/>
                <w:szCs w:val="7"/>
                <w:color w:val="auto"/>
              </w:rPr>
            </w:pPr>
          </w:p>
        </w:tc>
        <w:tc>
          <w:tcPr>
            <w:tcW w:w="640" w:type="dxa"/>
            <w:vAlign w:val="bottom"/>
            <w:tcBorders>
              <w:bottom w:val="single" w:sz="8" w:color="959595"/>
            </w:tcBorders>
            <w:vMerge w:val="continue"/>
          </w:tcPr>
          <w:p>
            <w:pPr>
              <w:spacing w:after="0"/>
              <w:rPr>
                <w:sz w:val="7"/>
                <w:szCs w:val="7"/>
                <w:color w:val="auto"/>
              </w:rPr>
            </w:pPr>
          </w:p>
        </w:tc>
        <w:tc>
          <w:tcPr>
            <w:tcW w:w="1160" w:type="dxa"/>
            <w:vAlign w:val="bottom"/>
            <w:tcBorders>
              <w:bottom w:val="single" w:sz="8" w:color="959595"/>
            </w:tcBorders>
            <w:vMerge w:val="continue"/>
          </w:tcPr>
          <w:p>
            <w:pPr>
              <w:spacing w:after="0"/>
              <w:rPr>
                <w:sz w:val="7"/>
                <w:szCs w:val="7"/>
                <w:color w:val="auto"/>
              </w:rPr>
            </w:pPr>
          </w:p>
        </w:tc>
        <w:tc>
          <w:tcPr>
            <w:tcW w:w="880" w:type="dxa"/>
            <w:vAlign w:val="bottom"/>
            <w:tcBorders>
              <w:bottom w:val="single" w:sz="8" w:color="959595"/>
            </w:tcBorders>
            <w:vMerge w:val="continue"/>
          </w:tcPr>
          <w:p>
            <w:pPr>
              <w:spacing w:after="0"/>
              <w:rPr>
                <w:sz w:val="7"/>
                <w:szCs w:val="7"/>
                <w:color w:val="auto"/>
              </w:rPr>
            </w:pPr>
          </w:p>
        </w:tc>
        <w:tc>
          <w:tcPr>
            <w:tcW w:w="820" w:type="dxa"/>
            <w:vAlign w:val="bottom"/>
            <w:tcBorders>
              <w:bottom w:val="single" w:sz="8" w:color="959595"/>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4540" w:type="dxa"/>
            <w:vAlign w:val="bottom"/>
            <w:vMerge w:val="continue"/>
          </w:tcPr>
          <w:p>
            <w:pPr>
              <w:spacing w:after="0"/>
              <w:rPr>
                <w:sz w:val="4"/>
                <w:szCs w:val="4"/>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2018</w:t>
            </w:r>
          </w:p>
        </w:tc>
        <w:tc>
          <w:tcPr>
            <w:tcW w:w="760" w:type="dxa"/>
            <w:vAlign w:val="bottom"/>
            <w:vMerge w:val="restart"/>
          </w:tcPr>
          <w:p>
            <w:pPr>
              <w:jc w:val="right"/>
              <w:ind w:right="13"/>
              <w:spacing w:after="0"/>
              <w:rPr>
                <w:sz w:val="20"/>
                <w:szCs w:val="20"/>
                <w:color w:val="auto"/>
              </w:rPr>
            </w:pPr>
            <w:r>
              <w:rPr>
                <w:rFonts w:ascii="Arial" w:cs="Arial" w:eastAsia="Arial" w:hAnsi="Arial"/>
                <w:sz w:val="13"/>
                <w:szCs w:val="13"/>
                <w:color w:val="auto"/>
              </w:rPr>
              <w:t>800,000</w:t>
            </w:r>
          </w:p>
        </w:tc>
        <w:tc>
          <w:tcPr>
            <w:tcW w:w="880" w:type="dxa"/>
            <w:vAlign w:val="bottom"/>
            <w:vMerge w:val="restart"/>
          </w:tcPr>
          <w:p>
            <w:pPr>
              <w:jc w:val="right"/>
              <w:ind w:right="133"/>
              <w:spacing w:after="0"/>
              <w:rPr>
                <w:sz w:val="20"/>
                <w:szCs w:val="20"/>
                <w:color w:val="auto"/>
              </w:rPr>
            </w:pPr>
            <w:r>
              <w:rPr>
                <w:rFonts w:ascii="Arial" w:cs="Arial" w:eastAsia="Arial" w:hAnsi="Arial"/>
                <w:sz w:val="13"/>
                <w:szCs w:val="13"/>
                <w:color w:val="auto"/>
              </w:rPr>
              <w:t>—</w:t>
            </w:r>
          </w:p>
        </w:tc>
        <w:tc>
          <w:tcPr>
            <w:tcW w:w="1020" w:type="dxa"/>
            <w:vAlign w:val="bottom"/>
            <w:vMerge w:val="restart"/>
          </w:tcPr>
          <w:p>
            <w:pPr>
              <w:jc w:val="right"/>
              <w:ind w:right="193"/>
              <w:spacing w:after="0"/>
              <w:rPr>
                <w:sz w:val="20"/>
                <w:szCs w:val="20"/>
                <w:color w:val="auto"/>
              </w:rPr>
            </w:pPr>
            <w:r>
              <w:rPr>
                <w:rFonts w:ascii="Arial" w:cs="Arial" w:eastAsia="Arial" w:hAnsi="Arial"/>
                <w:sz w:val="13"/>
                <w:szCs w:val="13"/>
                <w:color w:val="auto"/>
              </w:rPr>
              <w:t>6,530,594</w:t>
            </w:r>
          </w:p>
        </w:tc>
        <w:tc>
          <w:tcPr>
            <w:tcW w:w="640" w:type="dxa"/>
            <w:vAlign w:val="bottom"/>
            <w:vMerge w:val="restart"/>
          </w:tcPr>
          <w:p>
            <w:pPr>
              <w:ind w:left="260"/>
              <w:spacing w:after="0"/>
              <w:rPr>
                <w:sz w:val="20"/>
                <w:szCs w:val="20"/>
                <w:color w:val="auto"/>
              </w:rPr>
            </w:pPr>
            <w:r>
              <w:rPr>
                <w:rFonts w:ascii="Arial" w:cs="Arial" w:eastAsia="Arial" w:hAnsi="Arial"/>
                <w:sz w:val="13"/>
                <w:szCs w:val="13"/>
                <w:color w:val="auto"/>
              </w:rPr>
              <w:t>—</w:t>
            </w:r>
          </w:p>
        </w:tc>
        <w:tc>
          <w:tcPr>
            <w:tcW w:w="1160" w:type="dxa"/>
            <w:vAlign w:val="bottom"/>
            <w:vMerge w:val="restart"/>
          </w:tcPr>
          <w:p>
            <w:pPr>
              <w:jc w:val="right"/>
              <w:ind w:right="233"/>
              <w:spacing w:after="0"/>
              <w:rPr>
                <w:sz w:val="20"/>
                <w:szCs w:val="20"/>
                <w:color w:val="auto"/>
              </w:rPr>
            </w:pPr>
            <w:r>
              <w:rPr>
                <w:rFonts w:ascii="Arial" w:cs="Arial" w:eastAsia="Arial" w:hAnsi="Arial"/>
                <w:sz w:val="13"/>
                <w:szCs w:val="13"/>
                <w:color w:val="auto"/>
              </w:rPr>
              <w:t>1,160,000</w:t>
            </w:r>
          </w:p>
        </w:tc>
        <w:tc>
          <w:tcPr>
            <w:tcW w:w="880" w:type="dxa"/>
            <w:vAlign w:val="bottom"/>
            <w:vMerge w:val="restart"/>
          </w:tcPr>
          <w:p>
            <w:pPr>
              <w:jc w:val="right"/>
              <w:ind w:right="13"/>
              <w:spacing w:after="0"/>
              <w:rPr>
                <w:sz w:val="20"/>
                <w:szCs w:val="20"/>
                <w:color w:val="auto"/>
              </w:rPr>
            </w:pPr>
            <w:r>
              <w:rPr>
                <w:rFonts w:ascii="Arial" w:cs="Arial" w:eastAsia="Arial" w:hAnsi="Arial"/>
                <w:sz w:val="13"/>
                <w:szCs w:val="13"/>
                <w:color w:val="auto"/>
              </w:rPr>
              <w:t>18,167</w:t>
            </w:r>
          </w:p>
        </w:tc>
        <w:tc>
          <w:tcPr>
            <w:tcW w:w="820" w:type="dxa"/>
            <w:vAlign w:val="bottom"/>
            <w:vMerge w:val="restart"/>
          </w:tcPr>
          <w:p>
            <w:pPr>
              <w:jc w:val="right"/>
              <w:ind w:right="13"/>
              <w:spacing w:after="0"/>
              <w:rPr>
                <w:sz w:val="20"/>
                <w:szCs w:val="20"/>
                <w:color w:val="auto"/>
              </w:rPr>
            </w:pPr>
            <w:r>
              <w:rPr>
                <w:rFonts w:ascii="Arial" w:cs="Arial" w:eastAsia="Arial" w:hAnsi="Arial"/>
                <w:sz w:val="13"/>
                <w:szCs w:val="13"/>
                <w:color w:val="auto"/>
              </w:rPr>
              <w:t>8,508,761</w:t>
            </w:r>
          </w:p>
        </w:tc>
        <w:tc>
          <w:tcPr>
            <w:tcW w:w="0" w:type="dxa"/>
            <w:vAlign w:val="bottom"/>
          </w:tcPr>
          <w:p>
            <w:pPr>
              <w:spacing w:after="0"/>
              <w:rPr>
                <w:sz w:val="1"/>
                <w:szCs w:val="1"/>
                <w:color w:val="auto"/>
              </w:rPr>
            </w:pPr>
          </w:p>
        </w:tc>
      </w:tr>
      <w:tr>
        <w:trPr>
          <w:trHeight w:val="143"/>
        </w:trPr>
        <w:tc>
          <w:tcPr>
            <w:tcW w:w="4540" w:type="dxa"/>
            <w:vAlign w:val="bottom"/>
            <w:tcBorders>
              <w:bottom w:val="single" w:sz="8" w:color="959595"/>
            </w:tcBorders>
          </w:tcPr>
          <w:p>
            <w:pPr>
              <w:spacing w:after="0"/>
              <w:rPr>
                <w:sz w:val="12"/>
                <w:szCs w:val="12"/>
                <w:color w:val="auto"/>
              </w:rPr>
            </w:pPr>
          </w:p>
        </w:tc>
        <w:tc>
          <w:tcPr>
            <w:tcW w:w="540" w:type="dxa"/>
            <w:vAlign w:val="bottom"/>
            <w:tcBorders>
              <w:bottom w:val="single" w:sz="8" w:color="959595"/>
            </w:tcBorders>
            <w:vMerge w:val="continue"/>
          </w:tcPr>
          <w:p>
            <w:pPr>
              <w:spacing w:after="0"/>
              <w:rPr>
                <w:sz w:val="12"/>
                <w:szCs w:val="12"/>
                <w:color w:val="auto"/>
              </w:rPr>
            </w:pPr>
          </w:p>
        </w:tc>
        <w:tc>
          <w:tcPr>
            <w:tcW w:w="760" w:type="dxa"/>
            <w:vAlign w:val="bottom"/>
            <w:tcBorders>
              <w:bottom w:val="single" w:sz="8" w:color="959595"/>
            </w:tcBorders>
            <w:vMerge w:val="continue"/>
          </w:tcPr>
          <w:p>
            <w:pPr>
              <w:spacing w:after="0"/>
              <w:rPr>
                <w:sz w:val="12"/>
                <w:szCs w:val="12"/>
                <w:color w:val="auto"/>
              </w:rPr>
            </w:pPr>
          </w:p>
        </w:tc>
        <w:tc>
          <w:tcPr>
            <w:tcW w:w="880" w:type="dxa"/>
            <w:vAlign w:val="bottom"/>
            <w:tcBorders>
              <w:bottom w:val="single" w:sz="8" w:color="959595"/>
            </w:tcBorders>
            <w:vMerge w:val="continue"/>
          </w:tcPr>
          <w:p>
            <w:pPr>
              <w:spacing w:after="0"/>
              <w:rPr>
                <w:sz w:val="12"/>
                <w:szCs w:val="12"/>
                <w:color w:val="auto"/>
              </w:rPr>
            </w:pPr>
          </w:p>
        </w:tc>
        <w:tc>
          <w:tcPr>
            <w:tcW w:w="1020" w:type="dxa"/>
            <w:vAlign w:val="bottom"/>
            <w:tcBorders>
              <w:bottom w:val="single" w:sz="8" w:color="959595"/>
            </w:tcBorders>
            <w:vMerge w:val="continue"/>
          </w:tcPr>
          <w:p>
            <w:pPr>
              <w:spacing w:after="0"/>
              <w:rPr>
                <w:sz w:val="12"/>
                <w:szCs w:val="12"/>
                <w:color w:val="auto"/>
              </w:rPr>
            </w:pPr>
          </w:p>
        </w:tc>
        <w:tc>
          <w:tcPr>
            <w:tcW w:w="640" w:type="dxa"/>
            <w:vAlign w:val="bottom"/>
            <w:tcBorders>
              <w:bottom w:val="single" w:sz="8" w:color="959595"/>
            </w:tcBorders>
            <w:vMerge w:val="continue"/>
          </w:tcPr>
          <w:p>
            <w:pPr>
              <w:spacing w:after="0"/>
              <w:rPr>
                <w:sz w:val="12"/>
                <w:szCs w:val="12"/>
                <w:color w:val="auto"/>
              </w:rPr>
            </w:pPr>
          </w:p>
        </w:tc>
        <w:tc>
          <w:tcPr>
            <w:tcW w:w="1160" w:type="dxa"/>
            <w:vAlign w:val="bottom"/>
            <w:tcBorders>
              <w:bottom w:val="single" w:sz="8" w:color="959595"/>
            </w:tcBorders>
            <w:vMerge w:val="continue"/>
          </w:tcPr>
          <w:p>
            <w:pPr>
              <w:spacing w:after="0"/>
              <w:rPr>
                <w:sz w:val="12"/>
                <w:szCs w:val="12"/>
                <w:color w:val="auto"/>
              </w:rPr>
            </w:pPr>
          </w:p>
        </w:tc>
        <w:tc>
          <w:tcPr>
            <w:tcW w:w="880" w:type="dxa"/>
            <w:vAlign w:val="bottom"/>
            <w:tcBorders>
              <w:bottom w:val="single" w:sz="8" w:color="959595"/>
            </w:tcBorders>
            <w:vMerge w:val="continue"/>
          </w:tcPr>
          <w:p>
            <w:pPr>
              <w:spacing w:after="0"/>
              <w:rPr>
                <w:sz w:val="12"/>
                <w:szCs w:val="12"/>
                <w:color w:val="auto"/>
              </w:rPr>
            </w:pPr>
          </w:p>
        </w:tc>
        <w:tc>
          <w:tcPr>
            <w:tcW w:w="820" w:type="dxa"/>
            <w:vAlign w:val="bottom"/>
            <w:tcBorders>
              <w:bottom w:val="single" w:sz="8" w:color="959595"/>
            </w:tcBorders>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00" w:hanging="292"/>
        <w:spacing w:after="0"/>
        <w:tabs>
          <w:tab w:leader="none" w:pos="300" w:val="left"/>
        </w:tabs>
        <w:numPr>
          <w:ilvl w:val="0"/>
          <w:numId w:val="194"/>
        </w:numPr>
        <w:rPr>
          <w:rFonts w:ascii="Arial" w:cs="Arial" w:eastAsia="Arial" w:hAnsi="Arial"/>
          <w:sz w:val="11"/>
          <w:szCs w:val="11"/>
          <w:color w:val="auto"/>
        </w:rPr>
      </w:pPr>
      <w:r>
        <w:rPr>
          <w:rFonts w:ascii="Arial" w:cs="Arial" w:eastAsia="Arial" w:hAnsi="Arial"/>
          <w:sz w:val="13"/>
          <w:szCs w:val="13"/>
          <w:color w:val="auto"/>
        </w:rPr>
        <w:t>The amounts shown reflect the base salary earned by our named executive officers for the corresponding year. Note that fiscal 2020 spanned 53 weeks.</w:t>
      </w:r>
    </w:p>
    <w:p>
      <w:pPr>
        <w:spacing w:after="0" w:line="12" w:lineRule="exact"/>
        <w:rPr>
          <w:rFonts w:ascii="Arial" w:cs="Arial" w:eastAsia="Arial" w:hAnsi="Arial"/>
          <w:sz w:val="11"/>
          <w:szCs w:val="11"/>
          <w:color w:val="auto"/>
        </w:rPr>
      </w:pPr>
    </w:p>
    <w:p>
      <w:pPr>
        <w:ind w:left="300" w:hanging="292"/>
        <w:spacing w:after="0" w:line="245" w:lineRule="auto"/>
        <w:tabs>
          <w:tab w:leader="none" w:pos="300" w:val="left"/>
        </w:tabs>
        <w:numPr>
          <w:ilvl w:val="0"/>
          <w:numId w:val="194"/>
        </w:numPr>
        <w:rPr>
          <w:rFonts w:ascii="Arial" w:cs="Arial" w:eastAsia="Arial" w:hAnsi="Arial"/>
          <w:sz w:val="11"/>
          <w:szCs w:val="11"/>
          <w:color w:val="auto"/>
        </w:rPr>
      </w:pPr>
      <w:r>
        <w:rPr>
          <w:rFonts w:ascii="Arial" w:cs="Arial" w:eastAsia="Arial" w:hAnsi="Arial"/>
          <w:sz w:val="13"/>
          <w:szCs w:val="13"/>
          <w:color w:val="auto"/>
        </w:rPr>
        <w:t>The amounts shown reflect the aggregate grant date fair value of stock awards granted in the applicable fiscal year computed in accordance with ASC 718. These amounts were calculated based on the assumptions described in Note 12 in the Notes to Consolidated Financial Statements included in our Annual Report on Form 10-K for the applicable fiscal year, but exclude the impact of estimated forfeitures related to service-based vesting conditions. See the “Fiscal 2020 Grants of Plan-Based Awards Table” below for information on awards made in fiscal 2020.</w:t>
      </w:r>
    </w:p>
    <w:p>
      <w:pPr>
        <w:spacing w:after="0" w:line="244" w:lineRule="exact"/>
        <w:rPr>
          <w:rFonts w:ascii="Arial" w:cs="Arial" w:eastAsia="Arial" w:hAnsi="Arial"/>
          <w:sz w:val="11"/>
          <w:szCs w:val="11"/>
          <w:color w:val="auto"/>
        </w:rPr>
      </w:pPr>
    </w:p>
    <w:p>
      <w:pPr>
        <w:ind w:left="300"/>
        <w:spacing w:after="0" w:line="245" w:lineRule="auto"/>
        <w:rPr>
          <w:rFonts w:ascii="Arial" w:cs="Arial" w:eastAsia="Arial" w:hAnsi="Arial"/>
          <w:sz w:val="11"/>
          <w:szCs w:val="11"/>
          <w:color w:val="auto"/>
        </w:rPr>
      </w:pPr>
      <w:r>
        <w:rPr>
          <w:rFonts w:ascii="Arial" w:cs="Arial" w:eastAsia="Arial" w:hAnsi="Arial"/>
          <w:sz w:val="13"/>
          <w:szCs w:val="13"/>
          <w:color w:val="auto"/>
        </w:rPr>
        <w:t>The following amounts represent the grant date fair value of PSU awards granted to our named executive officers during fiscal 2018, 2019 and 2020 assuming the probable outcome of the awards on the grant date (which we considered the target level of performance for PSUs other than relative TSR PSUs, and determined using a Monte Carlo simulation in the case of relative TSR PSUs) and assuming maximum performance under the awards. The dollar value of the awards included in the Summary Compensation Table for the year of grant is based on the probable outcome of the awards on the grant date and do not reflect actual payouts.</w:t>
      </w:r>
    </w:p>
    <w:p>
      <w:pPr>
        <w:spacing w:after="0" w:line="181" w:lineRule="exact"/>
        <w:rPr>
          <w:sz w:val="20"/>
          <w:szCs w:val="20"/>
          <w:color w:val="auto"/>
        </w:rPr>
      </w:pPr>
    </w:p>
    <w:p>
      <w:pPr>
        <w:ind w:left="9160"/>
        <w:spacing w:after="0"/>
        <w:tabs>
          <w:tab w:leader="none" w:pos="11020" w:val="left"/>
        </w:tabs>
        <w:rPr>
          <w:sz w:val="20"/>
          <w:szCs w:val="20"/>
          <w:color w:val="auto"/>
        </w:rPr>
      </w:pPr>
      <w:r>
        <w:rPr>
          <w:rFonts w:ascii="Arial" w:cs="Arial" w:eastAsia="Arial" w:hAnsi="Arial"/>
          <w:sz w:val="13"/>
          <w:szCs w:val="13"/>
          <w:color w:val="23628F"/>
        </w:rPr>
        <w:t>2020 PROXY STATEMENT</w:t>
      </w:r>
      <w:r>
        <w:rPr>
          <w:sz w:val="20"/>
          <w:szCs w:val="20"/>
          <w:color w:val="auto"/>
        </w:rPr>
        <w:tab/>
      </w:r>
      <w:r>
        <w:rPr>
          <w:rFonts w:ascii="Arial" w:cs="Arial" w:eastAsia="Arial" w:hAnsi="Arial"/>
          <w:sz w:val="16"/>
          <w:szCs w:val="16"/>
          <w:b w:val="1"/>
          <w:bCs w:val="1"/>
          <w:color w:val="23628F"/>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153275" cy="215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1" w:name="page82"/>
    <w:bookmarkEnd w:id="81"/>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23628F"/>
        </w:rPr>
        <w:t>COMPENSATION DISCUSSION AND ANALYSIS</w:t>
      </w:r>
    </w:p>
    <w:p>
      <w:pPr>
        <w:spacing w:after="0" w:line="216" w:lineRule="exact"/>
        <w:rPr>
          <w:sz w:val="20"/>
          <w:szCs w:val="20"/>
          <w:color w:val="auto"/>
        </w:rPr>
      </w:pPr>
    </w:p>
    <w:tbl>
      <w:tblPr>
        <w:tblLayout w:type="fixed"/>
        <w:tblInd w:w="300" w:type="dxa"/>
        <w:tblCellMar>
          <w:top w:w="0" w:type="dxa"/>
          <w:left w:w="0" w:type="dxa"/>
          <w:bottom w:w="0" w:type="dxa"/>
          <w:right w:w="0" w:type="dxa"/>
        </w:tblCellMar>
      </w:tblPr>
      <w:tr>
        <w:trPr>
          <w:trHeight w:val="159"/>
        </w:trPr>
        <w:tc>
          <w:tcPr>
            <w:tcW w:w="5120" w:type="dxa"/>
            <w:vAlign w:val="bottom"/>
            <w:tcBorders>
              <w:right w:val="single" w:sz="8" w:color="auto"/>
            </w:tcBorders>
          </w:tcPr>
          <w:p>
            <w:pPr>
              <w:spacing w:after="0"/>
              <w:rPr>
                <w:sz w:val="13"/>
                <w:szCs w:val="13"/>
                <w:color w:val="auto"/>
              </w:rPr>
            </w:pPr>
          </w:p>
        </w:tc>
        <w:tc>
          <w:tcPr>
            <w:tcW w:w="3160" w:type="dxa"/>
            <w:vAlign w:val="bottom"/>
            <w:tcBorders>
              <w:right w:val="single" w:sz="8" w:color="auto"/>
            </w:tcBorders>
            <w:gridSpan w:val="3"/>
          </w:tcPr>
          <w:p>
            <w:pPr>
              <w:jc w:val="right"/>
              <w:ind w:right="13"/>
              <w:spacing w:after="0"/>
              <w:rPr>
                <w:sz w:val="20"/>
                <w:szCs w:val="20"/>
                <w:color w:val="auto"/>
              </w:rPr>
            </w:pPr>
            <w:r>
              <w:rPr>
                <w:rFonts w:ascii="Arial" w:cs="Arial" w:eastAsia="Arial" w:hAnsi="Arial"/>
                <w:sz w:val="13"/>
                <w:szCs w:val="13"/>
                <w:b w:val="1"/>
                <w:bCs w:val="1"/>
                <w:color w:val="auto"/>
              </w:rPr>
              <w:t>Grant Date Fair Value of PSU Awards Based on</w:t>
            </w:r>
          </w:p>
        </w:tc>
        <w:tc>
          <w:tcPr>
            <w:tcW w:w="2660" w:type="dxa"/>
            <w:vAlign w:val="bottom"/>
            <w:gridSpan w:val="3"/>
          </w:tcPr>
          <w:p>
            <w:pPr>
              <w:jc w:val="center"/>
              <w:spacing w:after="0"/>
              <w:rPr>
                <w:sz w:val="20"/>
                <w:szCs w:val="20"/>
                <w:color w:val="auto"/>
              </w:rPr>
            </w:pPr>
            <w:r>
              <w:rPr>
                <w:rFonts w:ascii="Arial" w:cs="Arial" w:eastAsia="Arial" w:hAnsi="Arial"/>
                <w:sz w:val="13"/>
                <w:szCs w:val="13"/>
                <w:b w:val="1"/>
                <w:bCs w:val="1"/>
                <w:color w:val="auto"/>
              </w:rPr>
              <w:t>Grant Date Fair Value of PSU Awards</w:t>
            </w:r>
          </w:p>
        </w:tc>
      </w:tr>
      <w:tr>
        <w:trPr>
          <w:trHeight w:val="186"/>
        </w:trPr>
        <w:tc>
          <w:tcPr>
            <w:tcW w:w="5120" w:type="dxa"/>
            <w:vAlign w:val="bottom"/>
            <w:tcBorders>
              <w:right w:val="single" w:sz="8" w:color="auto"/>
            </w:tcBorders>
          </w:tcPr>
          <w:p>
            <w:pPr>
              <w:spacing w:after="0"/>
              <w:rPr>
                <w:sz w:val="16"/>
                <w:szCs w:val="16"/>
                <w:color w:val="auto"/>
              </w:rPr>
            </w:pPr>
          </w:p>
        </w:tc>
        <w:tc>
          <w:tcPr>
            <w:tcW w:w="3160" w:type="dxa"/>
            <w:vAlign w:val="bottom"/>
            <w:tcBorders>
              <w:bottom w:val="single" w:sz="8" w:color="auto"/>
              <w:right w:val="single" w:sz="8" w:color="auto"/>
            </w:tcBorders>
            <w:gridSpan w:val="3"/>
          </w:tcPr>
          <w:p>
            <w:pPr>
              <w:jc w:val="right"/>
              <w:ind w:right="333"/>
              <w:spacing w:after="0"/>
              <w:rPr>
                <w:sz w:val="20"/>
                <w:szCs w:val="20"/>
                <w:color w:val="auto"/>
              </w:rPr>
            </w:pPr>
            <w:r>
              <w:rPr>
                <w:rFonts w:ascii="Arial" w:cs="Arial" w:eastAsia="Arial" w:hAnsi="Arial"/>
                <w:sz w:val="13"/>
                <w:szCs w:val="13"/>
                <w:b w:val="1"/>
                <w:bCs w:val="1"/>
                <w:color w:val="auto"/>
              </w:rPr>
              <w:t>Probable Outcome on the Grant Date</w:t>
            </w:r>
          </w:p>
        </w:tc>
        <w:tc>
          <w:tcPr>
            <w:tcW w:w="26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at Maximum Performance</w:t>
            </w:r>
          </w:p>
        </w:tc>
      </w:tr>
      <w:tr>
        <w:trPr>
          <w:trHeight w:val="159"/>
        </w:trPr>
        <w:tc>
          <w:tcPr>
            <w:tcW w:w="512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Fiscal 2018</w:t>
            </w:r>
          </w:p>
        </w:tc>
        <w:tc>
          <w:tcPr>
            <w:tcW w:w="106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Fiscal 2019</w:t>
            </w:r>
          </w:p>
        </w:tc>
        <w:tc>
          <w:tcPr>
            <w:tcW w:w="104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Fiscal 2020</w:t>
            </w:r>
          </w:p>
        </w:tc>
        <w:tc>
          <w:tcPr>
            <w:tcW w:w="90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Fiscal 2018</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Fiscal 2019</w:t>
            </w:r>
          </w:p>
        </w:tc>
        <w:tc>
          <w:tcPr>
            <w:tcW w:w="880" w:type="dxa"/>
            <w:vAlign w:val="bottom"/>
          </w:tcPr>
          <w:p>
            <w:pPr>
              <w:jc w:val="right"/>
              <w:ind w:right="13"/>
              <w:spacing w:after="0"/>
              <w:rPr>
                <w:sz w:val="20"/>
                <w:szCs w:val="20"/>
                <w:color w:val="auto"/>
              </w:rPr>
            </w:pPr>
            <w:r>
              <w:rPr>
                <w:rFonts w:ascii="Arial" w:cs="Arial" w:eastAsia="Arial" w:hAnsi="Arial"/>
                <w:sz w:val="13"/>
                <w:szCs w:val="13"/>
                <w:b w:val="1"/>
                <w:bCs w:val="1"/>
                <w:color w:val="auto"/>
              </w:rPr>
              <w:t>Fiscal 2020</w:t>
            </w:r>
          </w:p>
        </w:tc>
      </w:tr>
      <w:tr>
        <w:trPr>
          <w:trHeight w:val="186"/>
        </w:trPr>
        <w:tc>
          <w:tcPr>
            <w:tcW w:w="51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rPr>
              <w:t>Named Executive Officer</w:t>
            </w:r>
          </w:p>
        </w:tc>
        <w:tc>
          <w:tcPr>
            <w:tcW w:w="106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w:t>
            </w:r>
          </w:p>
        </w:tc>
        <w:tc>
          <w:tcPr>
            <w:tcW w:w="106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w:t>
            </w:r>
          </w:p>
        </w:tc>
        <w:tc>
          <w:tcPr>
            <w:tcW w:w="104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w:t>
            </w:r>
          </w:p>
        </w:tc>
        <w:tc>
          <w:tcPr>
            <w:tcW w:w="90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w:t>
            </w:r>
          </w:p>
        </w:tc>
      </w:tr>
      <w:tr>
        <w:trPr>
          <w:trHeight w:val="196"/>
        </w:trPr>
        <w:tc>
          <w:tcPr>
            <w:tcW w:w="512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23628F"/>
              </w:rPr>
              <w:t>David V. Goeckeler</w:t>
            </w:r>
          </w:p>
        </w:tc>
        <w:tc>
          <w:tcPr>
            <w:tcW w:w="10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21,140,062</w:t>
            </w:r>
          </w:p>
        </w:tc>
        <w:tc>
          <w:tcPr>
            <w:tcW w:w="90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21,140,062</w:t>
            </w:r>
          </w:p>
        </w:tc>
      </w:tr>
      <w:tr>
        <w:trPr>
          <w:trHeight w:val="196"/>
        </w:trPr>
        <w:tc>
          <w:tcPr>
            <w:tcW w:w="512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23628F"/>
              </w:rPr>
              <w:t>Robert K. Eulau</w:t>
            </w:r>
          </w:p>
        </w:tc>
        <w:tc>
          <w:tcPr>
            <w:tcW w:w="10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2,667,988</w:t>
            </w:r>
          </w:p>
        </w:tc>
        <w:tc>
          <w:tcPr>
            <w:tcW w:w="90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3,667,936</w:t>
            </w:r>
          </w:p>
        </w:tc>
      </w:tr>
      <w:tr>
        <w:trPr>
          <w:trHeight w:val="196"/>
        </w:trPr>
        <w:tc>
          <w:tcPr>
            <w:tcW w:w="512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23628F"/>
              </w:rPr>
              <w:t>Srinivasan Sivaram</w:t>
            </w:r>
          </w:p>
        </w:tc>
        <w:tc>
          <w:tcPr>
            <w:tcW w:w="10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1,234,165</w:t>
            </w:r>
          </w:p>
        </w:tc>
        <w:tc>
          <w:tcPr>
            <w:tcW w:w="10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1,475,845</w:t>
            </w:r>
          </w:p>
        </w:tc>
        <w:tc>
          <w:tcPr>
            <w:tcW w:w="104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2,667,988</w:t>
            </w:r>
          </w:p>
        </w:tc>
        <w:tc>
          <w:tcPr>
            <w:tcW w:w="90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1,740,374</w:t>
            </w:r>
          </w:p>
        </w:tc>
        <w:tc>
          <w:tcPr>
            <w:tcW w:w="88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2,951,690</w:t>
            </w:r>
          </w:p>
        </w:tc>
        <w:tc>
          <w:tcPr>
            <w:tcW w:w="8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3,667,936</w:t>
            </w:r>
          </w:p>
        </w:tc>
      </w:tr>
      <w:tr>
        <w:trPr>
          <w:trHeight w:val="196"/>
        </w:trPr>
        <w:tc>
          <w:tcPr>
            <w:tcW w:w="512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23628F"/>
              </w:rPr>
              <w:t>Michael C. Ray</w:t>
            </w:r>
          </w:p>
        </w:tc>
        <w:tc>
          <w:tcPr>
            <w:tcW w:w="10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2,084,336</w:t>
            </w:r>
          </w:p>
        </w:tc>
        <w:tc>
          <w:tcPr>
            <w:tcW w:w="90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2,865,534</w:t>
            </w:r>
          </w:p>
        </w:tc>
      </w:tr>
      <w:tr>
        <w:trPr>
          <w:trHeight w:val="196"/>
        </w:trPr>
        <w:tc>
          <w:tcPr>
            <w:tcW w:w="512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23628F"/>
              </w:rPr>
              <w:t>Lori S. Sundberg</w:t>
            </w:r>
          </w:p>
        </w:tc>
        <w:tc>
          <w:tcPr>
            <w:tcW w:w="10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1,500,684</w:t>
            </w:r>
          </w:p>
        </w:tc>
        <w:tc>
          <w:tcPr>
            <w:tcW w:w="90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2,063,132</w:t>
            </w:r>
          </w:p>
        </w:tc>
      </w:tr>
      <w:tr>
        <w:trPr>
          <w:trHeight w:val="196"/>
        </w:trPr>
        <w:tc>
          <w:tcPr>
            <w:tcW w:w="512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23628F"/>
              </w:rPr>
              <w:t>Stephen D. Milligan</w:t>
            </w:r>
          </w:p>
        </w:tc>
        <w:tc>
          <w:tcPr>
            <w:tcW w:w="10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8,739,188</w:t>
            </w:r>
          </w:p>
        </w:tc>
        <w:tc>
          <w:tcPr>
            <w:tcW w:w="10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6,801,199</w:t>
            </w:r>
          </w:p>
        </w:tc>
        <w:tc>
          <w:tcPr>
            <w:tcW w:w="104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9,605,169</w:t>
            </w:r>
          </w:p>
        </w:tc>
        <w:tc>
          <w:tcPr>
            <w:tcW w:w="90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12,323,686</w:t>
            </w:r>
          </w:p>
        </w:tc>
        <w:tc>
          <w:tcPr>
            <w:tcW w:w="88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13,602,398</w:t>
            </w:r>
          </w:p>
        </w:tc>
        <w:tc>
          <w:tcPr>
            <w:tcW w:w="8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13,205,136</w:t>
            </w:r>
          </w:p>
        </w:tc>
      </w:tr>
      <w:tr>
        <w:trPr>
          <w:trHeight w:val="196"/>
        </w:trPr>
        <w:tc>
          <w:tcPr>
            <w:tcW w:w="512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23628F"/>
              </w:rPr>
              <w:t>Michael D. Cordano</w:t>
            </w:r>
          </w:p>
        </w:tc>
        <w:tc>
          <w:tcPr>
            <w:tcW w:w="10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3,311,701</w:t>
            </w:r>
          </w:p>
        </w:tc>
        <w:tc>
          <w:tcPr>
            <w:tcW w:w="10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2,267,027</w:t>
            </w:r>
          </w:p>
        </w:tc>
        <w:tc>
          <w:tcPr>
            <w:tcW w:w="104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3,201,618</w:t>
            </w:r>
          </w:p>
        </w:tc>
        <w:tc>
          <w:tcPr>
            <w:tcW w:w="90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4,670,041</w:t>
            </w:r>
          </w:p>
        </w:tc>
        <w:tc>
          <w:tcPr>
            <w:tcW w:w="88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4,534,054</w:t>
            </w:r>
          </w:p>
        </w:tc>
        <w:tc>
          <w:tcPr>
            <w:tcW w:w="8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4,401,567</w:t>
            </w:r>
          </w:p>
        </w:tc>
      </w:tr>
    </w:tbl>
    <w:p>
      <w:pPr>
        <w:spacing w:after="0" w:line="107" w:lineRule="exact"/>
        <w:rPr>
          <w:sz w:val="20"/>
          <w:szCs w:val="20"/>
          <w:color w:val="auto"/>
        </w:rPr>
      </w:pPr>
    </w:p>
    <w:p>
      <w:pPr>
        <w:ind w:left="300" w:right="240" w:hanging="292"/>
        <w:spacing w:after="0" w:line="238" w:lineRule="auto"/>
        <w:tabs>
          <w:tab w:leader="none" w:pos="300" w:val="left"/>
        </w:tabs>
        <w:numPr>
          <w:ilvl w:val="0"/>
          <w:numId w:val="195"/>
        </w:numPr>
        <w:rPr>
          <w:rFonts w:ascii="Arial" w:cs="Arial" w:eastAsia="Arial" w:hAnsi="Arial"/>
          <w:sz w:val="11"/>
          <w:szCs w:val="11"/>
          <w:color w:val="auto"/>
        </w:rPr>
      </w:pPr>
      <w:r>
        <w:rPr>
          <w:rFonts w:ascii="Arial" w:cs="Arial" w:eastAsia="Arial" w:hAnsi="Arial"/>
          <w:sz w:val="13"/>
          <w:szCs w:val="13"/>
          <w:color w:val="auto"/>
        </w:rPr>
        <w:t>Reflects each named executive officer’s STI payment for the corresponding fiscal year. The STI payments for fiscal 2020 are more fully described in the sections entitled “Executive Compensation—Compensation Discussion and Analysis” and “Description of Compensation Arrangements for Named Executive Officers.”</w:t>
      </w:r>
    </w:p>
    <w:p>
      <w:pPr>
        <w:ind w:left="300" w:hanging="292"/>
        <w:spacing w:after="0"/>
        <w:tabs>
          <w:tab w:leader="none" w:pos="300" w:val="left"/>
        </w:tabs>
        <w:numPr>
          <w:ilvl w:val="0"/>
          <w:numId w:val="195"/>
        </w:numPr>
        <w:rPr>
          <w:rFonts w:ascii="Arial" w:cs="Arial" w:eastAsia="Arial" w:hAnsi="Arial"/>
          <w:sz w:val="11"/>
          <w:szCs w:val="11"/>
          <w:color w:val="auto"/>
        </w:rPr>
      </w:pPr>
      <w:r>
        <w:rPr>
          <w:rFonts w:ascii="Arial" w:cs="Arial" w:eastAsia="Arial" w:hAnsi="Arial"/>
          <w:sz w:val="13"/>
          <w:szCs w:val="13"/>
          <w:color w:val="auto"/>
        </w:rPr>
        <w:t>The table below summarizes all other compensation to each of our named executive officers for fiscal 2020:</w:t>
      </w:r>
    </w:p>
    <w:p>
      <w:pPr>
        <w:spacing w:after="0" w:line="256" w:lineRule="exact"/>
        <w:rPr>
          <w:sz w:val="20"/>
          <w:szCs w:val="20"/>
          <w:color w:val="auto"/>
        </w:rPr>
      </w:pPr>
    </w:p>
    <w:tbl>
      <w:tblPr>
        <w:tblLayout w:type="fixed"/>
        <w:tblInd w:w="300" w:type="dxa"/>
        <w:tblCellMar>
          <w:top w:w="0" w:type="dxa"/>
          <w:left w:w="0" w:type="dxa"/>
          <w:bottom w:w="0" w:type="dxa"/>
          <w:right w:w="0" w:type="dxa"/>
        </w:tblCellMar>
      </w:tblPr>
      <w:tr>
        <w:trPr>
          <w:trHeight w:val="159"/>
        </w:trPr>
        <w:tc>
          <w:tcPr>
            <w:tcW w:w="820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vMerge w:val="restart"/>
          </w:tcPr>
          <w:p>
            <w:pPr>
              <w:jc w:val="right"/>
              <w:ind w:right="33"/>
              <w:spacing w:after="0"/>
              <w:rPr>
                <w:sz w:val="20"/>
                <w:szCs w:val="20"/>
                <w:color w:val="auto"/>
              </w:rPr>
            </w:pPr>
            <w:r>
              <w:rPr>
                <w:rFonts w:ascii="Arial" w:cs="Arial" w:eastAsia="Arial" w:hAnsi="Arial"/>
                <w:sz w:val="13"/>
                <w:szCs w:val="13"/>
                <w:b w:val="1"/>
                <w:bCs w:val="1"/>
                <w:color w:val="auto"/>
              </w:rPr>
              <w:t>Perquisites</w:t>
            </w:r>
            <w:r>
              <w:rPr>
                <w:rFonts w:ascii="Arial" w:cs="Arial" w:eastAsia="Arial" w:hAnsi="Arial"/>
                <w:sz w:val="22"/>
                <w:szCs w:val="22"/>
                <w:b w:val="1"/>
                <w:bCs w:val="1"/>
                <w:color w:val="auto"/>
                <w:vertAlign w:val="superscript"/>
              </w:rPr>
              <w:t>(a)</w:t>
            </w:r>
          </w:p>
        </w:tc>
        <w:tc>
          <w:tcPr>
            <w:tcW w:w="1660" w:type="dxa"/>
            <w:vAlign w:val="bottom"/>
          </w:tcPr>
          <w:p>
            <w:pPr>
              <w:jc w:val="right"/>
              <w:ind w:right="13"/>
              <w:spacing w:after="0"/>
              <w:rPr>
                <w:sz w:val="20"/>
                <w:szCs w:val="20"/>
                <w:color w:val="auto"/>
              </w:rPr>
            </w:pPr>
            <w:r>
              <w:rPr>
                <w:rFonts w:ascii="Arial" w:cs="Arial" w:eastAsia="Arial" w:hAnsi="Arial"/>
                <w:sz w:val="13"/>
                <w:szCs w:val="13"/>
                <w:b w:val="1"/>
                <w:bCs w:val="1"/>
                <w:color w:val="auto"/>
              </w:rPr>
              <w:t>401(k) Plan Company</w:t>
            </w:r>
          </w:p>
        </w:tc>
        <w:tc>
          <w:tcPr>
            <w:tcW w:w="0" w:type="dxa"/>
            <w:vAlign w:val="bottom"/>
          </w:tcPr>
          <w:p>
            <w:pPr>
              <w:spacing w:after="0"/>
              <w:rPr>
                <w:sz w:val="1"/>
                <w:szCs w:val="1"/>
                <w:color w:val="auto"/>
              </w:rPr>
            </w:pPr>
          </w:p>
        </w:tc>
      </w:tr>
      <w:tr>
        <w:trPr>
          <w:trHeight w:val="148"/>
        </w:trPr>
        <w:tc>
          <w:tcPr>
            <w:tcW w:w="820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vMerge w:val="continue"/>
          </w:tcPr>
          <w:p>
            <w:pPr>
              <w:spacing w:after="0"/>
              <w:rPr>
                <w:sz w:val="12"/>
                <w:szCs w:val="12"/>
                <w:color w:val="auto"/>
              </w:rPr>
            </w:pPr>
          </w:p>
        </w:tc>
        <w:tc>
          <w:tcPr>
            <w:tcW w:w="1660" w:type="dxa"/>
            <w:vAlign w:val="bottom"/>
          </w:tcPr>
          <w:p>
            <w:pPr>
              <w:jc w:val="right"/>
              <w:ind w:right="13"/>
              <w:spacing w:after="0"/>
              <w:rPr>
                <w:sz w:val="20"/>
                <w:szCs w:val="20"/>
                <w:color w:val="auto"/>
              </w:rPr>
            </w:pPr>
            <w:r>
              <w:rPr>
                <w:rFonts w:ascii="Arial" w:cs="Arial" w:eastAsia="Arial" w:hAnsi="Arial"/>
                <w:sz w:val="13"/>
                <w:szCs w:val="13"/>
                <w:b w:val="1"/>
                <w:bCs w:val="1"/>
                <w:color w:val="auto"/>
              </w:rPr>
              <w:t>Matching Contributions</w:t>
            </w:r>
          </w:p>
        </w:tc>
        <w:tc>
          <w:tcPr>
            <w:tcW w:w="0" w:type="dxa"/>
            <w:vAlign w:val="bottom"/>
          </w:tcPr>
          <w:p>
            <w:pPr>
              <w:spacing w:after="0"/>
              <w:rPr>
                <w:sz w:val="1"/>
                <w:szCs w:val="1"/>
                <w:color w:val="auto"/>
              </w:rPr>
            </w:pPr>
          </w:p>
        </w:tc>
      </w:tr>
      <w:tr>
        <w:trPr>
          <w:trHeight w:val="186"/>
        </w:trPr>
        <w:tc>
          <w:tcPr>
            <w:tcW w:w="8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rPr>
              <w:t>Name</w:t>
            </w:r>
          </w:p>
        </w:tc>
        <w:tc>
          <w:tcPr>
            <w:tcW w:w="108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w:t>
            </w:r>
          </w:p>
        </w:tc>
        <w:tc>
          <w:tcPr>
            <w:tcW w:w="16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96"/>
        </w:trPr>
        <w:tc>
          <w:tcPr>
            <w:tcW w:w="820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23628F"/>
              </w:rPr>
              <w:t>David V. Goeckeler</w:t>
            </w:r>
          </w:p>
        </w:tc>
        <w:tc>
          <w:tcPr>
            <w:tcW w:w="1080" w:type="dxa"/>
            <w:vAlign w:val="bottom"/>
            <w:tcBorders>
              <w:bottom w:val="single" w:sz="8" w:color="959595"/>
            </w:tcBorders>
          </w:tcPr>
          <w:p>
            <w:pPr>
              <w:jc w:val="right"/>
              <w:ind w:right="453"/>
              <w:spacing w:after="0"/>
              <w:rPr>
                <w:sz w:val="20"/>
                <w:szCs w:val="20"/>
                <w:color w:val="auto"/>
              </w:rPr>
            </w:pPr>
            <w:r>
              <w:rPr>
                <w:rFonts w:ascii="Arial" w:cs="Arial" w:eastAsia="Arial" w:hAnsi="Arial"/>
                <w:sz w:val="13"/>
                <w:szCs w:val="13"/>
                <w:color w:val="auto"/>
              </w:rPr>
              <w:t>—</w:t>
            </w:r>
          </w:p>
        </w:tc>
        <w:tc>
          <w:tcPr>
            <w:tcW w:w="16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1,605</w:t>
            </w:r>
          </w:p>
        </w:tc>
        <w:tc>
          <w:tcPr>
            <w:tcW w:w="0" w:type="dxa"/>
            <w:vAlign w:val="bottom"/>
          </w:tcPr>
          <w:p>
            <w:pPr>
              <w:spacing w:after="0"/>
              <w:rPr>
                <w:sz w:val="1"/>
                <w:szCs w:val="1"/>
                <w:color w:val="auto"/>
              </w:rPr>
            </w:pPr>
          </w:p>
        </w:tc>
      </w:tr>
      <w:tr>
        <w:trPr>
          <w:trHeight w:val="216"/>
        </w:trPr>
        <w:tc>
          <w:tcPr>
            <w:tcW w:w="820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23628F"/>
              </w:rPr>
              <w:t>Robert K. Eulau</w:t>
            </w:r>
          </w:p>
        </w:tc>
        <w:tc>
          <w:tcPr>
            <w:tcW w:w="1080" w:type="dxa"/>
            <w:vAlign w:val="bottom"/>
            <w:tcBorders>
              <w:bottom w:val="single" w:sz="8" w:color="959595"/>
            </w:tcBorders>
          </w:tcPr>
          <w:p>
            <w:pPr>
              <w:jc w:val="right"/>
              <w:ind w:right="313"/>
              <w:spacing w:after="0" w:line="216" w:lineRule="exact"/>
              <w:rPr>
                <w:sz w:val="20"/>
                <w:szCs w:val="20"/>
                <w:color w:val="auto"/>
              </w:rPr>
            </w:pPr>
            <w:r>
              <w:rPr>
                <w:rFonts w:ascii="Arial" w:cs="Arial" w:eastAsia="Arial" w:hAnsi="Arial"/>
                <w:sz w:val="13"/>
                <w:szCs w:val="13"/>
                <w:color w:val="auto"/>
              </w:rPr>
              <w:t>12,156</w:t>
            </w:r>
            <w:r>
              <w:rPr>
                <w:rFonts w:ascii="Arial" w:cs="Arial" w:eastAsia="Arial" w:hAnsi="Arial"/>
                <w:sz w:val="22"/>
                <w:szCs w:val="22"/>
                <w:color w:val="auto"/>
                <w:vertAlign w:val="superscript"/>
              </w:rPr>
              <w:t>(b)</w:t>
            </w:r>
          </w:p>
        </w:tc>
        <w:tc>
          <w:tcPr>
            <w:tcW w:w="16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13,408</w:t>
            </w:r>
          </w:p>
        </w:tc>
        <w:tc>
          <w:tcPr>
            <w:tcW w:w="0" w:type="dxa"/>
            <w:vAlign w:val="bottom"/>
          </w:tcPr>
          <w:p>
            <w:pPr>
              <w:spacing w:after="0"/>
              <w:rPr>
                <w:sz w:val="1"/>
                <w:szCs w:val="1"/>
                <w:color w:val="auto"/>
              </w:rPr>
            </w:pPr>
          </w:p>
        </w:tc>
      </w:tr>
      <w:tr>
        <w:trPr>
          <w:trHeight w:val="209"/>
        </w:trPr>
        <w:tc>
          <w:tcPr>
            <w:tcW w:w="820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23628F"/>
              </w:rPr>
              <w:t>Srinivasan Sivaram</w:t>
            </w:r>
          </w:p>
        </w:tc>
        <w:tc>
          <w:tcPr>
            <w:tcW w:w="1080" w:type="dxa"/>
            <w:vAlign w:val="bottom"/>
            <w:tcBorders>
              <w:bottom w:val="single" w:sz="8" w:color="959595"/>
            </w:tcBorders>
          </w:tcPr>
          <w:p>
            <w:pPr>
              <w:jc w:val="right"/>
              <w:ind w:right="313"/>
              <w:spacing w:after="0" w:line="209" w:lineRule="exact"/>
              <w:rPr>
                <w:sz w:val="20"/>
                <w:szCs w:val="20"/>
                <w:color w:val="auto"/>
              </w:rPr>
            </w:pPr>
            <w:r>
              <w:rPr>
                <w:rFonts w:ascii="Arial" w:cs="Arial" w:eastAsia="Arial" w:hAnsi="Arial"/>
                <w:sz w:val="13"/>
                <w:szCs w:val="13"/>
                <w:color w:val="auto"/>
              </w:rPr>
              <w:t>13,599</w:t>
            </w:r>
            <w:r>
              <w:rPr>
                <w:rFonts w:ascii="Arial" w:cs="Arial" w:eastAsia="Arial" w:hAnsi="Arial"/>
                <w:sz w:val="22"/>
                <w:szCs w:val="22"/>
                <w:color w:val="auto"/>
                <w:vertAlign w:val="superscript"/>
              </w:rPr>
              <w:t>(c)</w:t>
            </w:r>
          </w:p>
        </w:tc>
        <w:tc>
          <w:tcPr>
            <w:tcW w:w="16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8,833</w:t>
            </w:r>
          </w:p>
        </w:tc>
        <w:tc>
          <w:tcPr>
            <w:tcW w:w="0" w:type="dxa"/>
            <w:vAlign w:val="bottom"/>
          </w:tcPr>
          <w:p>
            <w:pPr>
              <w:spacing w:after="0"/>
              <w:rPr>
                <w:sz w:val="1"/>
                <w:szCs w:val="1"/>
                <w:color w:val="auto"/>
              </w:rPr>
            </w:pPr>
          </w:p>
        </w:tc>
      </w:tr>
      <w:tr>
        <w:trPr>
          <w:trHeight w:val="190"/>
        </w:trPr>
        <w:tc>
          <w:tcPr>
            <w:tcW w:w="820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23628F"/>
              </w:rPr>
              <w:t>Michael C. Ray</w:t>
            </w:r>
          </w:p>
        </w:tc>
        <w:tc>
          <w:tcPr>
            <w:tcW w:w="1080" w:type="dxa"/>
            <w:vAlign w:val="bottom"/>
            <w:tcBorders>
              <w:bottom w:val="single" w:sz="8" w:color="959595"/>
            </w:tcBorders>
          </w:tcPr>
          <w:p>
            <w:pPr>
              <w:jc w:val="right"/>
              <w:ind w:right="453"/>
              <w:spacing w:after="0"/>
              <w:rPr>
                <w:sz w:val="20"/>
                <w:szCs w:val="20"/>
                <w:color w:val="auto"/>
              </w:rPr>
            </w:pPr>
            <w:r>
              <w:rPr>
                <w:rFonts w:ascii="Arial" w:cs="Arial" w:eastAsia="Arial" w:hAnsi="Arial"/>
                <w:sz w:val="13"/>
                <w:szCs w:val="13"/>
                <w:color w:val="auto"/>
              </w:rPr>
              <w:t>—</w:t>
            </w:r>
          </w:p>
        </w:tc>
        <w:tc>
          <w:tcPr>
            <w:tcW w:w="16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7,491</w:t>
            </w:r>
          </w:p>
        </w:tc>
        <w:tc>
          <w:tcPr>
            <w:tcW w:w="0" w:type="dxa"/>
            <w:vAlign w:val="bottom"/>
          </w:tcPr>
          <w:p>
            <w:pPr>
              <w:spacing w:after="0"/>
              <w:rPr>
                <w:sz w:val="1"/>
                <w:szCs w:val="1"/>
                <w:color w:val="auto"/>
              </w:rPr>
            </w:pPr>
          </w:p>
        </w:tc>
      </w:tr>
      <w:tr>
        <w:trPr>
          <w:trHeight w:val="216"/>
        </w:trPr>
        <w:tc>
          <w:tcPr>
            <w:tcW w:w="820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23628F"/>
              </w:rPr>
              <w:t>Lori S. Sundberg</w:t>
            </w:r>
          </w:p>
        </w:tc>
        <w:tc>
          <w:tcPr>
            <w:tcW w:w="1080" w:type="dxa"/>
            <w:vAlign w:val="bottom"/>
            <w:tcBorders>
              <w:bottom w:val="single" w:sz="8" w:color="959595"/>
            </w:tcBorders>
          </w:tcPr>
          <w:p>
            <w:pPr>
              <w:jc w:val="right"/>
              <w:ind w:right="313"/>
              <w:spacing w:after="0" w:line="216" w:lineRule="exact"/>
              <w:rPr>
                <w:sz w:val="20"/>
                <w:szCs w:val="20"/>
                <w:color w:val="auto"/>
              </w:rPr>
            </w:pPr>
            <w:r>
              <w:rPr>
                <w:rFonts w:ascii="Arial" w:cs="Arial" w:eastAsia="Arial" w:hAnsi="Arial"/>
                <w:sz w:val="13"/>
                <w:szCs w:val="13"/>
                <w:color w:val="auto"/>
              </w:rPr>
              <w:t>127,304</w:t>
            </w:r>
            <w:r>
              <w:rPr>
                <w:rFonts w:ascii="Arial" w:cs="Arial" w:eastAsia="Arial" w:hAnsi="Arial"/>
                <w:sz w:val="22"/>
                <w:szCs w:val="22"/>
                <w:color w:val="auto"/>
                <w:vertAlign w:val="superscript"/>
              </w:rPr>
              <w:t>(d)</w:t>
            </w:r>
          </w:p>
        </w:tc>
        <w:tc>
          <w:tcPr>
            <w:tcW w:w="16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8,442</w:t>
            </w:r>
          </w:p>
        </w:tc>
        <w:tc>
          <w:tcPr>
            <w:tcW w:w="0" w:type="dxa"/>
            <w:vAlign w:val="bottom"/>
          </w:tcPr>
          <w:p>
            <w:pPr>
              <w:spacing w:after="0"/>
              <w:rPr>
                <w:sz w:val="1"/>
                <w:szCs w:val="1"/>
                <w:color w:val="auto"/>
              </w:rPr>
            </w:pPr>
          </w:p>
        </w:tc>
      </w:tr>
      <w:tr>
        <w:trPr>
          <w:trHeight w:val="209"/>
        </w:trPr>
        <w:tc>
          <w:tcPr>
            <w:tcW w:w="820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23628F"/>
              </w:rPr>
              <w:t>Stephen D. Milligan</w:t>
            </w:r>
          </w:p>
        </w:tc>
        <w:tc>
          <w:tcPr>
            <w:tcW w:w="1080" w:type="dxa"/>
            <w:vAlign w:val="bottom"/>
            <w:tcBorders>
              <w:bottom w:val="single" w:sz="8" w:color="959595"/>
            </w:tcBorders>
          </w:tcPr>
          <w:p>
            <w:pPr>
              <w:jc w:val="right"/>
              <w:ind w:right="313"/>
              <w:spacing w:after="0" w:line="209" w:lineRule="exact"/>
              <w:rPr>
                <w:sz w:val="20"/>
                <w:szCs w:val="20"/>
                <w:color w:val="auto"/>
              </w:rPr>
            </w:pPr>
            <w:r>
              <w:rPr>
                <w:rFonts w:ascii="Arial" w:cs="Arial" w:eastAsia="Arial" w:hAnsi="Arial"/>
                <w:sz w:val="13"/>
                <w:szCs w:val="13"/>
                <w:color w:val="auto"/>
              </w:rPr>
              <w:t>16,258</w:t>
            </w:r>
            <w:r>
              <w:rPr>
                <w:rFonts w:ascii="Arial" w:cs="Arial" w:eastAsia="Arial" w:hAnsi="Arial"/>
                <w:sz w:val="22"/>
                <w:szCs w:val="22"/>
                <w:color w:val="auto"/>
                <w:vertAlign w:val="superscript"/>
              </w:rPr>
              <w:t>(e)</w:t>
            </w:r>
          </w:p>
        </w:tc>
        <w:tc>
          <w:tcPr>
            <w:tcW w:w="16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8,535</w:t>
            </w:r>
          </w:p>
        </w:tc>
        <w:tc>
          <w:tcPr>
            <w:tcW w:w="0" w:type="dxa"/>
            <w:vAlign w:val="bottom"/>
          </w:tcPr>
          <w:p>
            <w:pPr>
              <w:spacing w:after="0"/>
              <w:rPr>
                <w:sz w:val="1"/>
                <w:szCs w:val="1"/>
                <w:color w:val="auto"/>
              </w:rPr>
            </w:pPr>
          </w:p>
        </w:tc>
      </w:tr>
      <w:tr>
        <w:trPr>
          <w:trHeight w:val="190"/>
        </w:trPr>
        <w:tc>
          <w:tcPr>
            <w:tcW w:w="820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23628F"/>
              </w:rPr>
              <w:t>Michael D. Cordano</w:t>
            </w:r>
          </w:p>
        </w:tc>
        <w:tc>
          <w:tcPr>
            <w:tcW w:w="1080" w:type="dxa"/>
            <w:vAlign w:val="bottom"/>
            <w:tcBorders>
              <w:bottom w:val="single" w:sz="8" w:color="959595"/>
            </w:tcBorders>
          </w:tcPr>
          <w:p>
            <w:pPr>
              <w:jc w:val="right"/>
              <w:ind w:right="453"/>
              <w:spacing w:after="0"/>
              <w:rPr>
                <w:sz w:val="20"/>
                <w:szCs w:val="20"/>
                <w:color w:val="auto"/>
              </w:rPr>
            </w:pPr>
            <w:r>
              <w:rPr>
                <w:rFonts w:ascii="Arial" w:cs="Arial" w:eastAsia="Arial" w:hAnsi="Arial"/>
                <w:sz w:val="13"/>
                <w:szCs w:val="13"/>
                <w:color w:val="auto"/>
              </w:rPr>
              <w:t>—</w:t>
            </w:r>
          </w:p>
        </w:tc>
        <w:tc>
          <w:tcPr>
            <w:tcW w:w="16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8,550</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80" w:right="60" w:hanging="275"/>
        <w:spacing w:after="0" w:line="238" w:lineRule="auto"/>
        <w:tabs>
          <w:tab w:leader="none" w:pos="580" w:val="left"/>
        </w:tabs>
        <w:numPr>
          <w:ilvl w:val="1"/>
          <w:numId w:val="196"/>
        </w:numPr>
        <w:rPr>
          <w:rFonts w:ascii="Arial" w:cs="Arial" w:eastAsia="Arial" w:hAnsi="Arial"/>
          <w:sz w:val="11"/>
          <w:szCs w:val="11"/>
          <w:color w:val="auto"/>
        </w:rPr>
      </w:pPr>
      <w:r>
        <w:rPr>
          <w:rFonts w:ascii="Arial" w:cs="Arial" w:eastAsia="Arial" w:hAnsi="Arial"/>
          <w:sz w:val="13"/>
          <w:szCs w:val="13"/>
          <w:color w:val="auto"/>
        </w:rPr>
        <w:t>In accordance with applicable SEC rules, no amount is reflected if the aggregate amount of perquisites and other personal benefits paid to such individual for fiscal 2020 was less than $10,000.</w:t>
      </w:r>
    </w:p>
    <w:p>
      <w:pPr>
        <w:ind w:left="580" w:hanging="275"/>
        <w:spacing w:after="0"/>
        <w:tabs>
          <w:tab w:leader="none" w:pos="580" w:val="left"/>
        </w:tabs>
        <w:numPr>
          <w:ilvl w:val="1"/>
          <w:numId w:val="196"/>
        </w:numPr>
        <w:rPr>
          <w:rFonts w:ascii="Arial" w:cs="Arial" w:eastAsia="Arial" w:hAnsi="Arial"/>
          <w:sz w:val="11"/>
          <w:szCs w:val="11"/>
          <w:color w:val="auto"/>
        </w:rPr>
      </w:pPr>
      <w:r>
        <w:rPr>
          <w:rFonts w:ascii="Arial" w:cs="Arial" w:eastAsia="Arial" w:hAnsi="Arial"/>
          <w:sz w:val="13"/>
          <w:szCs w:val="13"/>
          <w:color w:val="auto"/>
        </w:rPr>
        <w:t>The amount shown reflects reimbursed financial planning services of $12,156.</w:t>
      </w:r>
    </w:p>
    <w:p>
      <w:pPr>
        <w:spacing w:after="0" w:line="12" w:lineRule="exact"/>
        <w:rPr>
          <w:rFonts w:ascii="Arial" w:cs="Arial" w:eastAsia="Arial" w:hAnsi="Arial"/>
          <w:sz w:val="11"/>
          <w:szCs w:val="11"/>
          <w:color w:val="auto"/>
        </w:rPr>
      </w:pPr>
    </w:p>
    <w:p>
      <w:pPr>
        <w:ind w:left="580" w:hanging="275"/>
        <w:spacing w:after="0"/>
        <w:tabs>
          <w:tab w:leader="none" w:pos="580" w:val="left"/>
        </w:tabs>
        <w:numPr>
          <w:ilvl w:val="1"/>
          <w:numId w:val="196"/>
        </w:numPr>
        <w:rPr>
          <w:rFonts w:ascii="Arial" w:cs="Arial" w:eastAsia="Arial" w:hAnsi="Arial"/>
          <w:sz w:val="11"/>
          <w:szCs w:val="11"/>
          <w:color w:val="auto"/>
        </w:rPr>
      </w:pPr>
      <w:r>
        <w:rPr>
          <w:rFonts w:ascii="Arial" w:cs="Arial" w:eastAsia="Arial" w:hAnsi="Arial"/>
          <w:sz w:val="13"/>
          <w:szCs w:val="13"/>
          <w:color w:val="auto"/>
        </w:rPr>
        <w:t>The amount shown reflects a taxable life insurance benefit of $6,358 and reimbursed financial planning services of $7,241.</w:t>
      </w:r>
    </w:p>
    <w:p>
      <w:pPr>
        <w:spacing w:after="0" w:line="12" w:lineRule="exact"/>
        <w:rPr>
          <w:rFonts w:ascii="Arial" w:cs="Arial" w:eastAsia="Arial" w:hAnsi="Arial"/>
          <w:sz w:val="11"/>
          <w:szCs w:val="11"/>
          <w:color w:val="auto"/>
        </w:rPr>
      </w:pPr>
    </w:p>
    <w:p>
      <w:pPr>
        <w:ind w:left="580" w:hanging="275"/>
        <w:spacing w:after="0"/>
        <w:tabs>
          <w:tab w:leader="none" w:pos="580" w:val="left"/>
        </w:tabs>
        <w:numPr>
          <w:ilvl w:val="1"/>
          <w:numId w:val="196"/>
        </w:numPr>
        <w:rPr>
          <w:rFonts w:ascii="Arial" w:cs="Arial" w:eastAsia="Arial" w:hAnsi="Arial"/>
          <w:sz w:val="11"/>
          <w:szCs w:val="11"/>
          <w:color w:val="auto"/>
        </w:rPr>
      </w:pPr>
      <w:r>
        <w:rPr>
          <w:rFonts w:ascii="Arial" w:cs="Arial" w:eastAsia="Arial" w:hAnsi="Arial"/>
          <w:sz w:val="13"/>
          <w:szCs w:val="13"/>
          <w:color w:val="auto"/>
        </w:rPr>
        <w:t>The amount shown reflects a taxable life insurance benefit of $4,996 and a transitional housing and travel allowance of $122,308.</w:t>
      </w:r>
    </w:p>
    <w:p>
      <w:pPr>
        <w:spacing w:after="0" w:line="12" w:lineRule="exact"/>
        <w:rPr>
          <w:rFonts w:ascii="Arial" w:cs="Arial" w:eastAsia="Arial" w:hAnsi="Arial"/>
          <w:sz w:val="11"/>
          <w:szCs w:val="11"/>
          <w:color w:val="auto"/>
        </w:rPr>
      </w:pPr>
    </w:p>
    <w:p>
      <w:pPr>
        <w:ind w:left="580" w:hanging="275"/>
        <w:spacing w:after="0"/>
        <w:tabs>
          <w:tab w:leader="none" w:pos="580" w:val="left"/>
        </w:tabs>
        <w:numPr>
          <w:ilvl w:val="1"/>
          <w:numId w:val="196"/>
        </w:numPr>
        <w:rPr>
          <w:rFonts w:ascii="Arial" w:cs="Arial" w:eastAsia="Arial" w:hAnsi="Arial"/>
          <w:sz w:val="11"/>
          <w:szCs w:val="11"/>
          <w:color w:val="auto"/>
        </w:rPr>
      </w:pPr>
      <w:r>
        <w:rPr>
          <w:rFonts w:ascii="Arial" w:cs="Arial" w:eastAsia="Arial" w:hAnsi="Arial"/>
          <w:sz w:val="13"/>
          <w:szCs w:val="13"/>
          <w:color w:val="auto"/>
        </w:rPr>
        <w:t>The amount shown reflects a taxable life insurance benefit of $4,996 and reimbursed financial planning services of $11,262.</w:t>
      </w:r>
    </w:p>
    <w:p>
      <w:pPr>
        <w:spacing w:after="0" w:line="12" w:lineRule="exact"/>
        <w:rPr>
          <w:rFonts w:ascii="Arial" w:cs="Arial" w:eastAsia="Arial" w:hAnsi="Arial"/>
          <w:sz w:val="11"/>
          <w:szCs w:val="11"/>
          <w:color w:val="auto"/>
        </w:rPr>
      </w:pPr>
    </w:p>
    <w:p>
      <w:pPr>
        <w:ind w:left="300" w:right="460" w:hanging="292"/>
        <w:spacing w:after="0" w:line="238" w:lineRule="auto"/>
        <w:tabs>
          <w:tab w:leader="none" w:pos="300" w:val="left"/>
        </w:tabs>
        <w:numPr>
          <w:ilvl w:val="0"/>
          <w:numId w:val="197"/>
        </w:numPr>
        <w:rPr>
          <w:rFonts w:ascii="Arial" w:cs="Arial" w:eastAsia="Arial" w:hAnsi="Arial"/>
          <w:sz w:val="11"/>
          <w:szCs w:val="11"/>
          <w:color w:val="auto"/>
        </w:rPr>
      </w:pPr>
      <w:r>
        <w:rPr>
          <w:rFonts w:ascii="Arial" w:cs="Arial" w:eastAsia="Arial" w:hAnsi="Arial"/>
          <w:sz w:val="13"/>
          <w:szCs w:val="13"/>
          <w:color w:val="auto"/>
        </w:rPr>
        <w:t>In connection with his appointment as Chief Executive Officer in March 2020, Mr. Goeckeler received a transition cash award of $3,500,000, which is subject to repayment if Mr. Goeckeler does not remain employed through March 9, 2021, unless his employment is terminated without cause.</w:t>
      </w:r>
    </w:p>
    <w:p>
      <w:pPr>
        <w:ind w:left="300" w:right="60" w:hanging="292"/>
        <w:spacing w:after="0" w:line="238" w:lineRule="auto"/>
        <w:tabs>
          <w:tab w:leader="none" w:pos="300" w:val="left"/>
        </w:tabs>
        <w:numPr>
          <w:ilvl w:val="0"/>
          <w:numId w:val="197"/>
        </w:numPr>
        <w:rPr>
          <w:rFonts w:ascii="Arial" w:cs="Arial" w:eastAsia="Arial" w:hAnsi="Arial"/>
          <w:sz w:val="11"/>
          <w:szCs w:val="11"/>
          <w:color w:val="auto"/>
        </w:rPr>
      </w:pPr>
      <w:r>
        <w:rPr>
          <w:rFonts w:ascii="Arial" w:cs="Arial" w:eastAsia="Arial" w:hAnsi="Arial"/>
          <w:sz w:val="13"/>
          <w:szCs w:val="13"/>
          <w:color w:val="auto"/>
        </w:rPr>
        <w:t>In connection with his appointment as Executive Vice President and Chief Financial Officer effective in May 2019, Mr. Eulau received a transition cash award of $500,000, with the first half being paid in fiscal 2019 and the second half in fiscal 2020.</w:t>
      </w:r>
    </w:p>
    <w:p>
      <w:pPr>
        <w:ind w:left="300" w:hanging="292"/>
        <w:spacing w:after="0"/>
        <w:tabs>
          <w:tab w:leader="none" w:pos="300" w:val="left"/>
        </w:tabs>
        <w:numPr>
          <w:ilvl w:val="0"/>
          <w:numId w:val="197"/>
        </w:numPr>
        <w:rPr>
          <w:rFonts w:ascii="Arial" w:cs="Arial" w:eastAsia="Arial" w:hAnsi="Arial"/>
          <w:sz w:val="11"/>
          <w:szCs w:val="11"/>
          <w:color w:val="auto"/>
        </w:rPr>
      </w:pPr>
      <w:r>
        <w:rPr>
          <w:rFonts w:ascii="Arial" w:cs="Arial" w:eastAsia="Arial" w:hAnsi="Arial"/>
          <w:sz w:val="13"/>
          <w:szCs w:val="13"/>
          <w:color w:val="auto"/>
        </w:rPr>
        <w:t>This amount is more fully described in the section entitled “Executive Compensation—Compensation Discussion and Analysis—Mr. Ray’s Retention Arrangement.”</w:t>
      </w:r>
    </w:p>
    <w:p>
      <w:pPr>
        <w:spacing w:after="0" w:line="224" w:lineRule="exact"/>
        <w:rPr>
          <w:sz w:val="20"/>
          <w:szCs w:val="20"/>
          <w:color w:val="auto"/>
        </w:rPr>
      </w:pPr>
    </w:p>
    <w:p>
      <w:pPr>
        <w:ind w:left="440" w:hanging="432"/>
        <w:spacing w:after="0"/>
        <w:tabs>
          <w:tab w:leader="none" w:pos="440" w:val="left"/>
        </w:tabs>
        <w:numPr>
          <w:ilvl w:val="0"/>
          <w:numId w:val="198"/>
        </w:numPr>
        <w:rPr>
          <w:rFonts w:ascii="Arial" w:cs="Arial" w:eastAsia="Arial" w:hAnsi="Arial"/>
          <w:sz w:val="18"/>
          <w:szCs w:val="18"/>
          <w:b w:val="1"/>
          <w:bCs w:val="1"/>
          <w:color w:val="23628F"/>
        </w:rPr>
      </w:pPr>
      <w:r>
        <w:rPr>
          <w:rFonts w:ascii="Arial" w:cs="Arial" w:eastAsia="Arial" w:hAnsi="Arial"/>
          <w:sz w:val="13"/>
          <w:szCs w:val="13"/>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153275" cy="215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ind w:left="8260"/>
        <w:spacing w:after="0"/>
        <w:rPr>
          <w:sz w:val="20"/>
          <w:szCs w:val="20"/>
          <w:color w:val="auto"/>
        </w:rPr>
      </w:pPr>
      <w:r>
        <w:rPr>
          <w:rFonts w:ascii="Arial" w:cs="Arial" w:eastAsia="Arial" w:hAnsi="Arial"/>
          <w:sz w:val="13"/>
          <w:szCs w:val="13"/>
          <w:color w:val="23628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234440" cy="6858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34440" cy="68580"/>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FISCAL 2020 GRANTS OF PLAN-BASED AWARDS TABLE</w:t>
      </w:r>
    </w:p>
    <w:p>
      <w:pPr>
        <w:spacing w:after="0" w:line="252"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presents information regarding all grants of plan-based awards made to our named executive officers during fiscal 2020.</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36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c>
          <w:tcPr>
            <w:tcW w:w="460" w:type="dxa"/>
            <w:vAlign w:val="bottom"/>
            <w:tcBorders>
              <w:right w:val="single" w:sz="8" w:color="auto"/>
            </w:tcBorders>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7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All Other</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All Other</w:t>
            </w:r>
          </w:p>
        </w:tc>
        <w:tc>
          <w:tcPr>
            <w:tcW w:w="600" w:type="dxa"/>
            <w:vAlign w:val="bottom"/>
            <w:tcBorders>
              <w:right w:val="single" w:sz="8" w:color="auto"/>
            </w:tcBorders>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Grant</w:t>
            </w:r>
          </w:p>
        </w:tc>
        <w:tc>
          <w:tcPr>
            <w:tcW w:w="0" w:type="dxa"/>
            <w:vAlign w:val="bottom"/>
          </w:tcPr>
          <w:p>
            <w:pPr>
              <w:spacing w:after="0"/>
              <w:rPr>
                <w:sz w:val="1"/>
                <w:szCs w:val="1"/>
                <w:color w:val="auto"/>
              </w:rPr>
            </w:pPr>
          </w:p>
        </w:tc>
      </w:tr>
      <w:tr>
        <w:trPr>
          <w:trHeight w:val="148"/>
        </w:trPr>
        <w:tc>
          <w:tcPr>
            <w:tcW w:w="2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2180" w:type="dxa"/>
            <w:vAlign w:val="bottom"/>
            <w:tcBorders>
              <w:right w:val="single" w:sz="8" w:color="auto"/>
            </w:tcBorders>
            <w:gridSpan w:val="4"/>
            <w:vMerge w:val="restart"/>
          </w:tcPr>
          <w:p>
            <w:pPr>
              <w:jc w:val="center"/>
              <w:spacing w:after="0"/>
              <w:rPr>
                <w:sz w:val="20"/>
                <w:szCs w:val="20"/>
                <w:color w:val="auto"/>
              </w:rPr>
            </w:pPr>
            <w:r>
              <w:rPr>
                <w:rFonts w:ascii="Arial" w:cs="Arial" w:eastAsia="Arial" w:hAnsi="Arial"/>
                <w:sz w:val="13"/>
                <w:szCs w:val="13"/>
                <w:b w:val="1"/>
                <w:bCs w:val="1"/>
                <w:color w:val="auto"/>
                <w:w w:val="95"/>
              </w:rPr>
              <w:t>Estimated Possible Payouts</w:t>
            </w: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Stock</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Option</w:t>
            </w:r>
          </w:p>
        </w:tc>
        <w:tc>
          <w:tcPr>
            <w:tcW w:w="600" w:type="dxa"/>
            <w:vAlign w:val="bottom"/>
            <w:tcBorders>
              <w:right w:val="single" w:sz="8" w:color="auto"/>
            </w:tcBorders>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Date Fair</w:t>
            </w:r>
          </w:p>
        </w:tc>
        <w:tc>
          <w:tcPr>
            <w:tcW w:w="0" w:type="dxa"/>
            <w:vAlign w:val="bottom"/>
          </w:tcPr>
          <w:p>
            <w:pPr>
              <w:spacing w:after="0"/>
              <w:rPr>
                <w:sz w:val="1"/>
                <w:szCs w:val="1"/>
                <w:color w:val="auto"/>
              </w:rPr>
            </w:pPr>
          </w:p>
        </w:tc>
      </w:tr>
      <w:tr>
        <w:trPr>
          <w:trHeight w:val="149"/>
        </w:trPr>
        <w:tc>
          <w:tcPr>
            <w:tcW w:w="2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2180" w:type="dxa"/>
            <w:vAlign w:val="bottom"/>
            <w:tcBorders>
              <w:right w:val="single" w:sz="8" w:color="auto"/>
            </w:tcBorders>
            <w:gridSpan w:val="4"/>
            <w:vMerge w:val="continue"/>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Awards:</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Awards:</w:t>
            </w: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Exercise</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Value of</w:t>
            </w:r>
          </w:p>
        </w:tc>
        <w:tc>
          <w:tcPr>
            <w:tcW w:w="0" w:type="dxa"/>
            <w:vAlign w:val="bottom"/>
          </w:tcPr>
          <w:p>
            <w:pPr>
              <w:spacing w:after="0"/>
              <w:rPr>
                <w:sz w:val="1"/>
                <w:szCs w:val="1"/>
                <w:color w:val="auto"/>
              </w:rPr>
            </w:pPr>
          </w:p>
        </w:tc>
      </w:tr>
      <w:tr>
        <w:trPr>
          <w:trHeight w:val="148"/>
        </w:trPr>
        <w:tc>
          <w:tcPr>
            <w:tcW w:w="2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2180" w:type="dxa"/>
            <w:vAlign w:val="bottom"/>
            <w:tcBorders>
              <w:right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5"/>
              </w:rPr>
              <w:t>Under Non-Equity</w:t>
            </w:r>
          </w:p>
        </w:tc>
        <w:tc>
          <w:tcPr>
            <w:tcW w:w="208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6"/>
              </w:rPr>
              <w:t>Estimated Future Payouts</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Number of</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Number of</w:t>
            </w: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or Base</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Stock</w:t>
            </w:r>
          </w:p>
        </w:tc>
        <w:tc>
          <w:tcPr>
            <w:tcW w:w="0" w:type="dxa"/>
            <w:vAlign w:val="bottom"/>
          </w:tcPr>
          <w:p>
            <w:pPr>
              <w:spacing w:after="0"/>
              <w:rPr>
                <w:sz w:val="1"/>
                <w:szCs w:val="1"/>
                <w:color w:val="auto"/>
              </w:rPr>
            </w:pPr>
          </w:p>
        </w:tc>
      </w:tr>
      <w:tr>
        <w:trPr>
          <w:trHeight w:val="148"/>
        </w:trPr>
        <w:tc>
          <w:tcPr>
            <w:tcW w:w="2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1500" w:type="dxa"/>
            <w:vAlign w:val="bottom"/>
            <w:gridSpan w:val="3"/>
          </w:tcPr>
          <w:p>
            <w:pPr>
              <w:jc w:val="center"/>
              <w:ind w:left="593"/>
              <w:spacing w:after="0"/>
              <w:rPr>
                <w:sz w:val="20"/>
                <w:szCs w:val="20"/>
                <w:color w:val="auto"/>
              </w:rPr>
            </w:pPr>
            <w:r>
              <w:rPr>
                <w:rFonts w:ascii="Arial" w:cs="Arial" w:eastAsia="Arial" w:hAnsi="Arial"/>
                <w:sz w:val="13"/>
                <w:szCs w:val="13"/>
                <w:b w:val="1"/>
                <w:bCs w:val="1"/>
                <w:color w:val="auto"/>
                <w:w w:val="96"/>
              </w:rPr>
              <w:t>Incentive Plan</w:t>
            </w:r>
          </w:p>
        </w:tc>
        <w:tc>
          <w:tcPr>
            <w:tcW w:w="680" w:type="dxa"/>
            <w:vAlign w:val="bottom"/>
            <w:tcBorders>
              <w:right w:val="single" w:sz="8" w:color="auto"/>
            </w:tcBorders>
          </w:tcPr>
          <w:p>
            <w:pPr>
              <w:spacing w:after="0"/>
              <w:rPr>
                <w:sz w:val="12"/>
                <w:szCs w:val="12"/>
                <w:color w:val="auto"/>
              </w:rPr>
            </w:pPr>
          </w:p>
        </w:tc>
        <w:tc>
          <w:tcPr>
            <w:tcW w:w="208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4"/>
              </w:rPr>
              <w:t>Under Equity Incentive Plan</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Shares of</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Securities</w:t>
            </w: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Price of</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and</w:t>
            </w:r>
          </w:p>
        </w:tc>
        <w:tc>
          <w:tcPr>
            <w:tcW w:w="0" w:type="dxa"/>
            <w:vAlign w:val="bottom"/>
          </w:tcPr>
          <w:p>
            <w:pPr>
              <w:spacing w:after="0"/>
              <w:rPr>
                <w:sz w:val="1"/>
                <w:szCs w:val="1"/>
                <w:color w:val="auto"/>
              </w:rPr>
            </w:pPr>
          </w:p>
        </w:tc>
      </w:tr>
      <w:tr>
        <w:trPr>
          <w:trHeight w:val="135"/>
        </w:trPr>
        <w:tc>
          <w:tcPr>
            <w:tcW w:w="23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460" w:type="dxa"/>
            <w:vAlign w:val="bottom"/>
            <w:tcBorders>
              <w:right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2"/>
          </w:tcPr>
          <w:p>
            <w:pPr>
              <w:jc w:val="center"/>
              <w:ind w:right="120"/>
              <w:spacing w:after="0" w:line="115" w:lineRule="exact"/>
              <w:rPr>
                <w:sz w:val="20"/>
                <w:szCs w:val="20"/>
                <w:color w:val="auto"/>
              </w:rPr>
            </w:pPr>
            <w:r>
              <w:rPr>
                <w:rFonts w:ascii="Arial" w:cs="Arial" w:eastAsia="Arial" w:hAnsi="Arial"/>
                <w:sz w:val="13"/>
                <w:szCs w:val="13"/>
                <w:b w:val="1"/>
                <w:bCs w:val="1"/>
                <w:color w:val="auto"/>
                <w:w w:val="97"/>
              </w:rPr>
              <w:t>Awards</w:t>
            </w:r>
          </w:p>
        </w:tc>
        <w:tc>
          <w:tcPr>
            <w:tcW w:w="68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w w:val="97"/>
              </w:rPr>
              <w:t>Awards</w:t>
            </w:r>
          </w:p>
        </w:tc>
        <w:tc>
          <w:tcPr>
            <w:tcW w:w="740" w:type="dxa"/>
            <w:vAlign w:val="bottom"/>
            <w:tcBorders>
              <w:bottom w:val="single" w:sz="8" w:color="auto"/>
              <w:right w:val="single" w:sz="8" w:color="auto"/>
            </w:tcBorders>
          </w:tcPr>
          <w:p>
            <w:pPr>
              <w:spacing w:after="0"/>
              <w:rPr>
                <w:sz w:val="11"/>
                <w:szCs w:val="11"/>
                <w:color w:val="auto"/>
              </w:rPr>
            </w:pPr>
          </w:p>
        </w:tc>
        <w:tc>
          <w:tcPr>
            <w:tcW w:w="720" w:type="dxa"/>
            <w:vAlign w:val="bottom"/>
            <w:tcBorders>
              <w:right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Stock or</w:t>
            </w:r>
          </w:p>
        </w:tc>
        <w:tc>
          <w:tcPr>
            <w:tcW w:w="740" w:type="dxa"/>
            <w:vAlign w:val="bottom"/>
            <w:tcBorders>
              <w:right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7"/>
              </w:rPr>
              <w:t>Underlying</w:t>
            </w:r>
          </w:p>
        </w:tc>
        <w:tc>
          <w:tcPr>
            <w:tcW w:w="600" w:type="dxa"/>
            <w:vAlign w:val="bottom"/>
            <w:tcBorders>
              <w:right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Option</w:t>
            </w:r>
          </w:p>
        </w:tc>
        <w:tc>
          <w:tcPr>
            <w:tcW w:w="74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Option</w:t>
            </w:r>
          </w:p>
        </w:tc>
        <w:tc>
          <w:tcPr>
            <w:tcW w:w="0" w:type="dxa"/>
            <w:vAlign w:val="bottom"/>
          </w:tcPr>
          <w:p>
            <w:pPr>
              <w:spacing w:after="0"/>
              <w:rPr>
                <w:sz w:val="1"/>
                <w:szCs w:val="1"/>
                <w:color w:val="auto"/>
              </w:rPr>
            </w:pPr>
          </w:p>
        </w:tc>
      </w:tr>
      <w:tr>
        <w:trPr>
          <w:trHeight w:val="142"/>
        </w:trPr>
        <w:tc>
          <w:tcPr>
            <w:tcW w:w="23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ind w:left="920"/>
              <w:spacing w:after="0" w:line="142" w:lineRule="exact"/>
              <w:rPr>
                <w:sz w:val="20"/>
                <w:szCs w:val="20"/>
                <w:color w:val="auto"/>
              </w:rPr>
            </w:pPr>
            <w:r>
              <w:rPr>
                <w:rFonts w:ascii="Arial" w:cs="Arial" w:eastAsia="Arial" w:hAnsi="Arial"/>
                <w:sz w:val="13"/>
                <w:szCs w:val="13"/>
                <w:b w:val="1"/>
                <w:bCs w:val="1"/>
                <w:color w:val="auto"/>
              </w:rPr>
              <w:t>Award</w:t>
            </w:r>
          </w:p>
        </w:tc>
        <w:tc>
          <w:tcPr>
            <w:tcW w:w="460" w:type="dxa"/>
            <w:vAlign w:val="bottom"/>
            <w:tcBorders>
              <w:right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Grant</w:t>
            </w:r>
          </w:p>
        </w:tc>
        <w:tc>
          <w:tcPr>
            <w:tcW w:w="760" w:type="dxa"/>
            <w:vAlign w:val="bottom"/>
            <w:tcBorders>
              <w:right w:val="single" w:sz="8" w:color="auto"/>
            </w:tcBorders>
          </w:tcPr>
          <w:p>
            <w:pPr>
              <w:jc w:val="right"/>
              <w:ind w:right="13"/>
              <w:spacing w:after="0" w:line="142" w:lineRule="exact"/>
              <w:rPr>
                <w:sz w:val="20"/>
                <w:szCs w:val="20"/>
                <w:color w:val="auto"/>
              </w:rPr>
            </w:pPr>
            <w:r>
              <w:rPr>
                <w:rFonts w:ascii="Arial" w:cs="Arial" w:eastAsia="Arial" w:hAnsi="Arial"/>
                <w:sz w:val="13"/>
                <w:szCs w:val="13"/>
                <w:b w:val="1"/>
                <w:bCs w:val="1"/>
                <w:color w:val="auto"/>
              </w:rPr>
              <w:t>Threshold</w:t>
            </w:r>
          </w:p>
        </w:tc>
        <w:tc>
          <w:tcPr>
            <w:tcW w:w="680" w:type="dxa"/>
            <w:vAlign w:val="bottom"/>
            <w:tcBorders>
              <w:right w:val="single" w:sz="8" w:color="auto"/>
            </w:tcBorders>
          </w:tcPr>
          <w:p>
            <w:pPr>
              <w:jc w:val="right"/>
              <w:ind w:right="13"/>
              <w:spacing w:after="0" w:line="142" w:lineRule="exact"/>
              <w:rPr>
                <w:sz w:val="20"/>
                <w:szCs w:val="20"/>
                <w:color w:val="auto"/>
              </w:rPr>
            </w:pPr>
            <w:r>
              <w:rPr>
                <w:rFonts w:ascii="Arial" w:cs="Arial" w:eastAsia="Arial" w:hAnsi="Arial"/>
                <w:sz w:val="13"/>
                <w:szCs w:val="13"/>
                <w:b w:val="1"/>
                <w:bCs w:val="1"/>
                <w:color w:val="auto"/>
              </w:rPr>
              <w:t>Target</w:t>
            </w:r>
          </w:p>
        </w:tc>
        <w:tc>
          <w:tcPr>
            <w:tcW w:w="60" w:type="dxa"/>
            <w:vAlign w:val="bottom"/>
          </w:tcPr>
          <w:p>
            <w:pPr>
              <w:spacing w:after="0"/>
              <w:rPr>
                <w:sz w:val="12"/>
                <w:szCs w:val="12"/>
                <w:color w:val="auto"/>
              </w:rPr>
            </w:pPr>
          </w:p>
        </w:tc>
        <w:tc>
          <w:tcPr>
            <w:tcW w:w="680" w:type="dxa"/>
            <w:vAlign w:val="bottom"/>
            <w:tcBorders>
              <w:right w:val="single" w:sz="8" w:color="auto"/>
            </w:tcBorders>
          </w:tcPr>
          <w:p>
            <w:pPr>
              <w:jc w:val="right"/>
              <w:ind w:right="13"/>
              <w:spacing w:after="0" w:line="142" w:lineRule="exact"/>
              <w:rPr>
                <w:sz w:val="20"/>
                <w:szCs w:val="20"/>
                <w:color w:val="auto"/>
              </w:rPr>
            </w:pPr>
            <w:r>
              <w:rPr>
                <w:rFonts w:ascii="Arial" w:cs="Arial" w:eastAsia="Arial" w:hAnsi="Arial"/>
                <w:sz w:val="13"/>
                <w:szCs w:val="13"/>
                <w:b w:val="1"/>
                <w:bCs w:val="1"/>
                <w:color w:val="auto"/>
                <w:w w:val="96"/>
              </w:rPr>
              <w:t>Maximum</w:t>
            </w:r>
          </w:p>
        </w:tc>
        <w:tc>
          <w:tcPr>
            <w:tcW w:w="760" w:type="dxa"/>
            <w:vAlign w:val="bottom"/>
            <w:tcBorders>
              <w:right w:val="single" w:sz="8" w:color="auto"/>
            </w:tcBorders>
          </w:tcPr>
          <w:p>
            <w:pPr>
              <w:jc w:val="right"/>
              <w:ind w:right="13"/>
              <w:spacing w:after="0" w:line="142" w:lineRule="exact"/>
              <w:rPr>
                <w:sz w:val="20"/>
                <w:szCs w:val="20"/>
                <w:color w:val="auto"/>
              </w:rPr>
            </w:pPr>
            <w:r>
              <w:rPr>
                <w:rFonts w:ascii="Arial" w:cs="Arial" w:eastAsia="Arial" w:hAnsi="Arial"/>
                <w:sz w:val="13"/>
                <w:szCs w:val="13"/>
                <w:b w:val="1"/>
                <w:bCs w:val="1"/>
                <w:color w:val="auto"/>
              </w:rPr>
              <w:t>Threshold</w:t>
            </w:r>
          </w:p>
        </w:tc>
        <w:tc>
          <w:tcPr>
            <w:tcW w:w="58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90"/>
              </w:rPr>
              <w:t>Target</w:t>
            </w:r>
          </w:p>
        </w:tc>
        <w:tc>
          <w:tcPr>
            <w:tcW w:w="740" w:type="dxa"/>
            <w:vAlign w:val="bottom"/>
            <w:tcBorders>
              <w:right w:val="single" w:sz="8" w:color="auto"/>
            </w:tcBorders>
          </w:tcPr>
          <w:p>
            <w:pPr>
              <w:jc w:val="right"/>
              <w:ind w:right="13"/>
              <w:spacing w:after="0" w:line="142" w:lineRule="exact"/>
              <w:rPr>
                <w:sz w:val="20"/>
                <w:szCs w:val="20"/>
                <w:color w:val="auto"/>
              </w:rPr>
            </w:pPr>
            <w:r>
              <w:rPr>
                <w:rFonts w:ascii="Arial" w:cs="Arial" w:eastAsia="Arial" w:hAnsi="Arial"/>
                <w:sz w:val="13"/>
                <w:szCs w:val="13"/>
                <w:b w:val="1"/>
                <w:bCs w:val="1"/>
                <w:color w:val="auto"/>
              </w:rPr>
              <w:t>Maximum</w:t>
            </w:r>
          </w:p>
        </w:tc>
        <w:tc>
          <w:tcPr>
            <w:tcW w:w="720" w:type="dxa"/>
            <w:vAlign w:val="bottom"/>
            <w:tcBorders>
              <w:right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Units</w:t>
            </w:r>
          </w:p>
        </w:tc>
        <w:tc>
          <w:tcPr>
            <w:tcW w:w="740" w:type="dxa"/>
            <w:vAlign w:val="bottom"/>
            <w:tcBorders>
              <w:right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Options</w:t>
            </w:r>
          </w:p>
        </w:tc>
        <w:tc>
          <w:tcPr>
            <w:tcW w:w="600" w:type="dxa"/>
            <w:vAlign w:val="bottom"/>
            <w:tcBorders>
              <w:right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Awards</w:t>
            </w:r>
          </w:p>
        </w:tc>
        <w:tc>
          <w:tcPr>
            <w:tcW w:w="74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Awards</w:t>
            </w:r>
          </w:p>
        </w:tc>
        <w:tc>
          <w:tcPr>
            <w:tcW w:w="0" w:type="dxa"/>
            <w:vAlign w:val="bottom"/>
          </w:tcPr>
          <w:p>
            <w:pPr>
              <w:spacing w:after="0"/>
              <w:rPr>
                <w:sz w:val="1"/>
                <w:szCs w:val="1"/>
                <w:color w:val="auto"/>
              </w:rPr>
            </w:pPr>
          </w:p>
        </w:tc>
      </w:tr>
      <w:tr>
        <w:trPr>
          <w:trHeight w:val="95"/>
        </w:trPr>
        <w:tc>
          <w:tcPr>
            <w:tcW w:w="236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b w:val="1"/>
                <w:bCs w:val="1"/>
                <w:color w:val="auto"/>
              </w:rPr>
              <w:t>Name</w:t>
            </w:r>
          </w:p>
        </w:tc>
        <w:tc>
          <w:tcPr>
            <w:tcW w:w="1360" w:type="dxa"/>
            <w:vAlign w:val="bottom"/>
            <w:tcBorders>
              <w:right w:val="single" w:sz="8" w:color="auto"/>
            </w:tcBorders>
          </w:tcPr>
          <w:p>
            <w:pPr>
              <w:jc w:val="right"/>
              <w:spacing w:after="0" w:line="95" w:lineRule="exact"/>
              <w:rPr>
                <w:sz w:val="20"/>
                <w:szCs w:val="20"/>
                <w:color w:val="auto"/>
              </w:rPr>
            </w:pPr>
            <w:r>
              <w:rPr>
                <w:rFonts w:ascii="Arial" w:cs="Arial" w:eastAsia="Arial" w:hAnsi="Arial"/>
                <w:sz w:val="10"/>
                <w:szCs w:val="10"/>
                <w:b w:val="1"/>
                <w:bCs w:val="1"/>
                <w:color w:val="auto"/>
              </w:rPr>
              <w:t>(1)</w:t>
            </w:r>
          </w:p>
        </w:tc>
        <w:tc>
          <w:tcPr>
            <w:tcW w:w="4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b w:val="1"/>
                <w:bCs w:val="1"/>
                <w:color w:val="auto"/>
              </w:rPr>
              <w:t>Date</w:t>
            </w:r>
          </w:p>
        </w:tc>
        <w:tc>
          <w:tcPr>
            <w:tcW w:w="760" w:type="dxa"/>
            <w:vAlign w:val="bottom"/>
            <w:tcBorders>
              <w:right w:val="single" w:sz="8" w:color="auto"/>
            </w:tcBorders>
            <w:vMerge w:val="restart"/>
          </w:tcPr>
          <w:p>
            <w:pPr>
              <w:jc w:val="right"/>
              <w:ind w:right="13"/>
              <w:spacing w:after="0"/>
              <w:rPr>
                <w:sz w:val="20"/>
                <w:szCs w:val="20"/>
                <w:color w:val="auto"/>
              </w:rPr>
            </w:pPr>
            <w:r>
              <w:rPr>
                <w:rFonts w:ascii="Arial" w:cs="Arial" w:eastAsia="Arial" w:hAnsi="Arial"/>
                <w:sz w:val="13"/>
                <w:szCs w:val="13"/>
                <w:b w:val="1"/>
                <w:bCs w:val="1"/>
                <w:color w:val="auto"/>
              </w:rPr>
              <w:t>($)</w:t>
            </w:r>
          </w:p>
        </w:tc>
        <w:tc>
          <w:tcPr>
            <w:tcW w:w="680" w:type="dxa"/>
            <w:vAlign w:val="bottom"/>
            <w:tcBorders>
              <w:right w:val="single" w:sz="8" w:color="auto"/>
            </w:tcBorders>
            <w:vMerge w:val="restart"/>
          </w:tcPr>
          <w:p>
            <w:pPr>
              <w:jc w:val="right"/>
              <w:ind w:right="13"/>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8"/>
                <w:szCs w:val="8"/>
                <w:color w:val="auto"/>
              </w:rPr>
            </w:pPr>
          </w:p>
        </w:tc>
        <w:tc>
          <w:tcPr>
            <w:tcW w:w="680" w:type="dxa"/>
            <w:vAlign w:val="bottom"/>
            <w:tcBorders>
              <w:right w:val="single" w:sz="8" w:color="auto"/>
            </w:tcBorders>
            <w:vMerge w:val="restart"/>
          </w:tcPr>
          <w:p>
            <w:pPr>
              <w:jc w:val="right"/>
              <w:ind w:right="13"/>
              <w:spacing w:after="0"/>
              <w:rPr>
                <w:sz w:val="20"/>
                <w:szCs w:val="20"/>
                <w:color w:val="auto"/>
              </w:rPr>
            </w:pPr>
            <w:r>
              <w:rPr>
                <w:rFonts w:ascii="Arial" w:cs="Arial" w:eastAsia="Arial" w:hAnsi="Arial"/>
                <w:sz w:val="13"/>
                <w:szCs w:val="13"/>
                <w:b w:val="1"/>
                <w:bCs w:val="1"/>
                <w:color w:val="auto"/>
              </w:rPr>
              <w:t>($)</w:t>
            </w:r>
          </w:p>
        </w:tc>
        <w:tc>
          <w:tcPr>
            <w:tcW w:w="760" w:type="dxa"/>
            <w:vAlign w:val="bottom"/>
            <w:tcBorders>
              <w:right w:val="single" w:sz="8" w:color="auto"/>
            </w:tcBorders>
            <w:vMerge w:val="restart"/>
          </w:tcPr>
          <w:p>
            <w:pPr>
              <w:jc w:val="right"/>
              <w:ind w:right="13"/>
              <w:spacing w:after="0"/>
              <w:rPr>
                <w:sz w:val="20"/>
                <w:szCs w:val="20"/>
                <w:color w:val="auto"/>
              </w:rPr>
            </w:pPr>
            <w:r>
              <w:rPr>
                <w:rFonts w:ascii="Arial" w:cs="Arial" w:eastAsia="Arial" w:hAnsi="Arial"/>
                <w:sz w:val="13"/>
                <w:szCs w:val="13"/>
                <w:b w:val="1"/>
                <w:bCs w:val="1"/>
                <w:color w:val="auto"/>
              </w:rPr>
              <w:t>(#)</w:t>
            </w:r>
          </w:p>
        </w:tc>
        <w:tc>
          <w:tcPr>
            <w:tcW w:w="580" w:type="dxa"/>
            <w:vAlign w:val="bottom"/>
            <w:tcBorders>
              <w:right w:val="single" w:sz="8" w:color="auto"/>
            </w:tcBorders>
            <w:vMerge w:val="restart"/>
          </w:tcPr>
          <w:p>
            <w:pPr>
              <w:jc w:val="right"/>
              <w:ind w:right="33"/>
              <w:spacing w:after="0"/>
              <w:rPr>
                <w:sz w:val="20"/>
                <w:szCs w:val="20"/>
                <w:color w:val="auto"/>
              </w:rPr>
            </w:pPr>
            <w:r>
              <w:rPr>
                <w:rFonts w:ascii="Arial" w:cs="Arial" w:eastAsia="Arial" w:hAnsi="Arial"/>
                <w:sz w:val="13"/>
                <w:szCs w:val="13"/>
                <w:b w:val="1"/>
                <w:bCs w:val="1"/>
                <w:color w:val="auto"/>
              </w:rPr>
              <w:t>(#)</w:t>
            </w:r>
          </w:p>
        </w:tc>
        <w:tc>
          <w:tcPr>
            <w:tcW w:w="740" w:type="dxa"/>
            <w:vAlign w:val="bottom"/>
            <w:tcBorders>
              <w:right w:val="single" w:sz="8" w:color="auto"/>
            </w:tcBorders>
            <w:vMerge w:val="restart"/>
          </w:tcPr>
          <w:p>
            <w:pPr>
              <w:jc w:val="right"/>
              <w:ind w:right="13"/>
              <w:spacing w:after="0"/>
              <w:rPr>
                <w:sz w:val="20"/>
                <w:szCs w:val="20"/>
                <w:color w:val="auto"/>
              </w:rPr>
            </w:pPr>
            <w:r>
              <w:rPr>
                <w:rFonts w:ascii="Arial" w:cs="Arial" w:eastAsia="Arial" w:hAnsi="Arial"/>
                <w:sz w:val="13"/>
                <w:szCs w:val="13"/>
                <w:b w:val="1"/>
                <w:bCs w:val="1"/>
                <w:color w:val="auto"/>
              </w:rPr>
              <w:t>(#)</w:t>
            </w:r>
          </w:p>
        </w:tc>
        <w:tc>
          <w:tcPr>
            <w:tcW w:w="7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b w:val="1"/>
                <w:bCs w:val="1"/>
                <w:color w:val="auto"/>
              </w:rPr>
              <w:t>($/Sh)</w:t>
            </w:r>
          </w:p>
        </w:tc>
        <w:tc>
          <w:tcPr>
            <w:tcW w:w="740" w:type="dxa"/>
            <w:vAlign w:val="bottom"/>
          </w:tcPr>
          <w:p>
            <w:pPr>
              <w:jc w:val="right"/>
              <w:spacing w:after="0" w:line="95" w:lineRule="exact"/>
              <w:rPr>
                <w:sz w:val="20"/>
                <w:szCs w:val="20"/>
                <w:color w:val="auto"/>
              </w:rPr>
            </w:pP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08"/>
        </w:trPr>
        <w:tc>
          <w:tcPr>
            <w:tcW w:w="2360" w:type="dxa"/>
            <w:vAlign w:val="bottom"/>
            <w:tcBorders>
              <w:bottom w:val="single" w:sz="8" w:color="auto"/>
              <w:right w:val="single" w:sz="8" w:color="auto"/>
            </w:tcBorders>
            <w:vMerge w:val="continue"/>
          </w:tcPr>
          <w:p>
            <w:pPr>
              <w:spacing w:after="0"/>
              <w:rPr>
                <w:sz w:val="9"/>
                <w:szCs w:val="9"/>
                <w:color w:val="auto"/>
              </w:rPr>
            </w:pPr>
          </w:p>
        </w:tc>
        <w:tc>
          <w:tcPr>
            <w:tcW w:w="1360" w:type="dxa"/>
            <w:vAlign w:val="bottom"/>
            <w:tcBorders>
              <w:bottom w:val="single" w:sz="8" w:color="auto"/>
              <w:right w:val="single" w:sz="8" w:color="auto"/>
            </w:tcBorders>
          </w:tcPr>
          <w:p>
            <w:pPr>
              <w:ind w:left="900"/>
              <w:spacing w:after="0" w:line="108" w:lineRule="exact"/>
              <w:rPr>
                <w:sz w:val="20"/>
                <w:szCs w:val="20"/>
                <w:color w:val="auto"/>
              </w:rPr>
            </w:pPr>
            <w:r>
              <w:rPr>
                <w:rFonts w:ascii="Arial" w:cs="Arial" w:eastAsia="Arial" w:hAnsi="Arial"/>
                <w:sz w:val="12"/>
                <w:szCs w:val="12"/>
                <w:b w:val="1"/>
                <w:bCs w:val="1"/>
                <w:color w:val="auto"/>
              </w:rPr>
              <w:t>Type</w:t>
            </w:r>
          </w:p>
        </w:tc>
        <w:tc>
          <w:tcPr>
            <w:tcW w:w="460" w:type="dxa"/>
            <w:vAlign w:val="bottom"/>
            <w:tcBorders>
              <w:bottom w:val="single" w:sz="8" w:color="auto"/>
              <w:right w:val="single" w:sz="8" w:color="auto"/>
            </w:tcBorders>
            <w:vMerge w:val="continue"/>
          </w:tcPr>
          <w:p>
            <w:pPr>
              <w:spacing w:after="0"/>
              <w:rPr>
                <w:sz w:val="9"/>
                <w:szCs w:val="9"/>
                <w:color w:val="auto"/>
              </w:rPr>
            </w:pPr>
          </w:p>
        </w:tc>
        <w:tc>
          <w:tcPr>
            <w:tcW w:w="760" w:type="dxa"/>
            <w:vAlign w:val="bottom"/>
            <w:tcBorders>
              <w:bottom w:val="single" w:sz="8" w:color="auto"/>
              <w:right w:val="single" w:sz="8" w:color="auto"/>
            </w:tcBorders>
            <w:vMerge w:val="continue"/>
          </w:tcPr>
          <w:p>
            <w:pPr>
              <w:spacing w:after="0"/>
              <w:rPr>
                <w:sz w:val="9"/>
                <w:szCs w:val="9"/>
                <w:color w:val="auto"/>
              </w:rPr>
            </w:pPr>
          </w:p>
        </w:tc>
        <w:tc>
          <w:tcPr>
            <w:tcW w:w="680" w:type="dxa"/>
            <w:vAlign w:val="bottom"/>
            <w:tcBorders>
              <w:bottom w:val="single" w:sz="8" w:color="auto"/>
              <w:right w:val="single" w:sz="8" w:color="auto"/>
            </w:tcBorders>
            <w:vMerge w:val="continue"/>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80" w:type="dxa"/>
            <w:vAlign w:val="bottom"/>
            <w:tcBorders>
              <w:bottom w:val="single" w:sz="8" w:color="auto"/>
              <w:right w:val="single" w:sz="8" w:color="auto"/>
            </w:tcBorders>
            <w:vMerge w:val="continue"/>
          </w:tcPr>
          <w:p>
            <w:pPr>
              <w:spacing w:after="0"/>
              <w:rPr>
                <w:sz w:val="9"/>
                <w:szCs w:val="9"/>
                <w:color w:val="auto"/>
              </w:rPr>
            </w:pPr>
          </w:p>
        </w:tc>
        <w:tc>
          <w:tcPr>
            <w:tcW w:w="760" w:type="dxa"/>
            <w:vAlign w:val="bottom"/>
            <w:tcBorders>
              <w:bottom w:val="single" w:sz="8" w:color="auto"/>
              <w:right w:val="single" w:sz="8" w:color="auto"/>
            </w:tcBorders>
            <w:vMerge w:val="continue"/>
          </w:tcPr>
          <w:p>
            <w:pPr>
              <w:spacing w:after="0"/>
              <w:rPr>
                <w:sz w:val="9"/>
                <w:szCs w:val="9"/>
                <w:color w:val="auto"/>
              </w:rPr>
            </w:pPr>
          </w:p>
        </w:tc>
        <w:tc>
          <w:tcPr>
            <w:tcW w:w="580" w:type="dxa"/>
            <w:vAlign w:val="bottom"/>
            <w:tcBorders>
              <w:bottom w:val="single" w:sz="8" w:color="auto"/>
              <w:right w:val="single" w:sz="8" w:color="auto"/>
            </w:tcBorders>
            <w:vMerge w:val="continue"/>
          </w:tcPr>
          <w:p>
            <w:pPr>
              <w:spacing w:after="0"/>
              <w:rPr>
                <w:sz w:val="9"/>
                <w:szCs w:val="9"/>
                <w:color w:val="auto"/>
              </w:rPr>
            </w:pPr>
          </w:p>
        </w:tc>
        <w:tc>
          <w:tcPr>
            <w:tcW w:w="740" w:type="dxa"/>
            <w:vAlign w:val="bottom"/>
            <w:tcBorders>
              <w:bottom w:val="single" w:sz="8" w:color="auto"/>
              <w:right w:val="single" w:sz="8" w:color="auto"/>
            </w:tcBorders>
            <w:vMerge w:val="continue"/>
          </w:tcPr>
          <w:p>
            <w:pPr>
              <w:spacing w:after="0"/>
              <w:rPr>
                <w:sz w:val="9"/>
                <w:szCs w:val="9"/>
                <w:color w:val="auto"/>
              </w:rPr>
            </w:pPr>
          </w:p>
        </w:tc>
        <w:tc>
          <w:tcPr>
            <w:tcW w:w="720" w:type="dxa"/>
            <w:vAlign w:val="bottom"/>
            <w:tcBorders>
              <w:bottom w:val="single" w:sz="8" w:color="auto"/>
              <w:right w:val="single" w:sz="8" w:color="auto"/>
            </w:tcBorders>
            <w:vMerge w:val="continue"/>
          </w:tcPr>
          <w:p>
            <w:pPr>
              <w:spacing w:after="0"/>
              <w:rPr>
                <w:sz w:val="9"/>
                <w:szCs w:val="9"/>
                <w:color w:val="auto"/>
              </w:rPr>
            </w:pPr>
          </w:p>
        </w:tc>
        <w:tc>
          <w:tcPr>
            <w:tcW w:w="740" w:type="dxa"/>
            <w:vAlign w:val="bottom"/>
            <w:tcBorders>
              <w:bottom w:val="single" w:sz="8" w:color="auto"/>
              <w:right w:val="single" w:sz="8" w:color="auto"/>
            </w:tcBorders>
            <w:vMerge w:val="continue"/>
          </w:tcPr>
          <w:p>
            <w:pPr>
              <w:spacing w:after="0"/>
              <w:rPr>
                <w:sz w:val="9"/>
                <w:szCs w:val="9"/>
                <w:color w:val="auto"/>
              </w:rPr>
            </w:pPr>
          </w:p>
        </w:tc>
        <w:tc>
          <w:tcPr>
            <w:tcW w:w="600" w:type="dxa"/>
            <w:vAlign w:val="bottom"/>
            <w:tcBorders>
              <w:bottom w:val="single" w:sz="8" w:color="auto"/>
              <w:right w:val="single" w:sz="8" w:color="auto"/>
            </w:tcBorders>
            <w:vMerge w:val="continue"/>
          </w:tcPr>
          <w:p>
            <w:pPr>
              <w:spacing w:after="0"/>
              <w:rPr>
                <w:sz w:val="9"/>
                <w:szCs w:val="9"/>
                <w:color w:val="auto"/>
              </w:rPr>
            </w:pPr>
          </w:p>
        </w:tc>
        <w:tc>
          <w:tcPr>
            <w:tcW w:w="740" w:type="dxa"/>
            <w:vAlign w:val="bottom"/>
            <w:tcBorders>
              <w:bottom w:val="single" w:sz="8" w:color="auto"/>
            </w:tcBorders>
          </w:tcPr>
          <w:p>
            <w:pPr>
              <w:jc w:val="right"/>
              <w:ind w:right="93"/>
              <w:spacing w:after="0" w:line="108"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96"/>
        </w:trPr>
        <w:tc>
          <w:tcPr>
            <w:tcW w:w="2360" w:type="dxa"/>
            <w:vAlign w:val="bottom"/>
          </w:tcPr>
          <w:p>
            <w:pPr>
              <w:ind w:left="40"/>
              <w:spacing w:after="0"/>
              <w:rPr>
                <w:sz w:val="20"/>
                <w:szCs w:val="20"/>
                <w:color w:val="auto"/>
              </w:rPr>
            </w:pPr>
            <w:r>
              <w:rPr>
                <w:rFonts w:ascii="Arial" w:cs="Arial" w:eastAsia="Arial" w:hAnsi="Arial"/>
                <w:sz w:val="13"/>
                <w:szCs w:val="13"/>
                <w:b w:val="1"/>
                <w:bCs w:val="1"/>
                <w:color w:val="23628F"/>
              </w:rPr>
              <w:t>David V. Goeckeler</w:t>
            </w:r>
          </w:p>
        </w:tc>
        <w:tc>
          <w:tcPr>
            <w:tcW w:w="1360" w:type="dxa"/>
            <w:vAlign w:val="bottom"/>
          </w:tcPr>
          <w:p>
            <w:pPr>
              <w:ind w:left="900"/>
              <w:spacing w:after="0"/>
              <w:rPr>
                <w:sz w:val="20"/>
                <w:szCs w:val="20"/>
                <w:color w:val="auto"/>
              </w:rPr>
            </w:pPr>
            <w:r>
              <w:rPr>
                <w:rFonts w:ascii="Arial" w:cs="Arial" w:eastAsia="Arial" w:hAnsi="Arial"/>
                <w:sz w:val="13"/>
                <w:szCs w:val="13"/>
                <w:color w:val="auto"/>
              </w:rPr>
              <w:t>STI</w:t>
            </w:r>
          </w:p>
        </w:tc>
        <w:tc>
          <w:tcPr>
            <w:tcW w:w="460" w:type="dxa"/>
            <w:vAlign w:val="bottom"/>
          </w:tcPr>
          <w:p>
            <w:pPr>
              <w:jc w:val="right"/>
              <w:spacing w:after="0"/>
              <w:rPr>
                <w:sz w:val="20"/>
                <w:szCs w:val="20"/>
                <w:color w:val="auto"/>
              </w:rPr>
            </w:pPr>
            <w:r>
              <w:rPr>
                <w:rFonts w:ascii="Arial" w:cs="Arial" w:eastAsia="Arial" w:hAnsi="Arial"/>
                <w:sz w:val="13"/>
                <w:szCs w:val="13"/>
                <w:color w:val="auto"/>
              </w:rPr>
              <w:t>3/9/20</w:t>
            </w:r>
          </w:p>
        </w:tc>
        <w:tc>
          <w:tcPr>
            <w:tcW w:w="760" w:type="dxa"/>
            <w:vAlign w:val="bottom"/>
          </w:tcPr>
          <w:p>
            <w:pPr>
              <w:jc w:val="right"/>
              <w:spacing w:after="0"/>
              <w:rPr>
                <w:sz w:val="20"/>
                <w:szCs w:val="20"/>
                <w:color w:val="auto"/>
              </w:rPr>
            </w:pPr>
            <w:r>
              <w:rPr>
                <w:rFonts w:ascii="Arial" w:cs="Arial" w:eastAsia="Arial" w:hAnsi="Arial"/>
                <w:sz w:val="13"/>
                <w:szCs w:val="13"/>
                <w:color w:val="auto"/>
              </w:rPr>
              <w:t>336,539</w:t>
            </w:r>
          </w:p>
        </w:tc>
        <w:tc>
          <w:tcPr>
            <w:tcW w:w="680" w:type="dxa"/>
            <w:vAlign w:val="bottom"/>
          </w:tcPr>
          <w:p>
            <w:pPr>
              <w:jc w:val="right"/>
              <w:spacing w:after="0"/>
              <w:rPr>
                <w:sz w:val="20"/>
                <w:szCs w:val="20"/>
                <w:color w:val="auto"/>
              </w:rPr>
            </w:pPr>
            <w:r>
              <w:rPr>
                <w:rFonts w:ascii="Arial" w:cs="Arial" w:eastAsia="Arial" w:hAnsi="Arial"/>
                <w:sz w:val="13"/>
                <w:szCs w:val="13"/>
                <w:color w:val="auto"/>
              </w:rPr>
              <w:t>673,077</w:t>
            </w:r>
          </w:p>
        </w:tc>
        <w:tc>
          <w:tcPr>
            <w:tcW w:w="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1,346,154</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1"/>
        </w:trPr>
        <w:tc>
          <w:tcPr>
            <w:tcW w:w="2360" w:type="dxa"/>
            <w:vAlign w:val="bottom"/>
          </w:tcPr>
          <w:p>
            <w:pPr>
              <w:spacing w:after="0"/>
              <w:rPr>
                <w:sz w:val="3"/>
                <w:szCs w:val="3"/>
                <w:color w:val="auto"/>
              </w:rPr>
            </w:pPr>
          </w:p>
        </w:tc>
        <w:tc>
          <w:tcPr>
            <w:tcW w:w="1360" w:type="dxa"/>
            <w:vAlign w:val="bottom"/>
            <w:tcBorders>
              <w:bottom w:val="single" w:sz="8" w:color="959595"/>
            </w:tcBorders>
          </w:tcPr>
          <w:p>
            <w:pPr>
              <w:spacing w:after="0"/>
              <w:rPr>
                <w:sz w:val="3"/>
                <w:szCs w:val="3"/>
                <w:color w:val="auto"/>
              </w:rPr>
            </w:pPr>
          </w:p>
        </w:tc>
        <w:tc>
          <w:tcPr>
            <w:tcW w:w="460" w:type="dxa"/>
            <w:vAlign w:val="bottom"/>
            <w:tcBorders>
              <w:bottom w:val="single" w:sz="8" w:color="959595"/>
            </w:tcBorders>
          </w:tcPr>
          <w:p>
            <w:pPr>
              <w:spacing w:after="0"/>
              <w:rPr>
                <w:sz w:val="3"/>
                <w:szCs w:val="3"/>
                <w:color w:val="auto"/>
              </w:rPr>
            </w:pPr>
          </w:p>
        </w:tc>
        <w:tc>
          <w:tcPr>
            <w:tcW w:w="760" w:type="dxa"/>
            <w:vAlign w:val="bottom"/>
            <w:tcBorders>
              <w:bottom w:val="single" w:sz="8" w:color="959595"/>
            </w:tcBorders>
          </w:tcPr>
          <w:p>
            <w:pPr>
              <w:spacing w:after="0"/>
              <w:rPr>
                <w:sz w:val="3"/>
                <w:szCs w:val="3"/>
                <w:color w:val="auto"/>
              </w:rPr>
            </w:pPr>
          </w:p>
        </w:tc>
        <w:tc>
          <w:tcPr>
            <w:tcW w:w="680" w:type="dxa"/>
            <w:vAlign w:val="bottom"/>
            <w:tcBorders>
              <w:bottom w:val="single" w:sz="8" w:color="959595"/>
            </w:tcBorders>
          </w:tcPr>
          <w:p>
            <w:pPr>
              <w:spacing w:after="0"/>
              <w:rPr>
                <w:sz w:val="3"/>
                <w:szCs w:val="3"/>
                <w:color w:val="auto"/>
              </w:rPr>
            </w:pPr>
          </w:p>
        </w:tc>
        <w:tc>
          <w:tcPr>
            <w:tcW w:w="60" w:type="dxa"/>
            <w:vAlign w:val="bottom"/>
            <w:tcBorders>
              <w:bottom w:val="single" w:sz="8" w:color="959595"/>
            </w:tcBorders>
          </w:tcPr>
          <w:p>
            <w:pPr>
              <w:spacing w:after="0"/>
              <w:rPr>
                <w:sz w:val="3"/>
                <w:szCs w:val="3"/>
                <w:color w:val="auto"/>
              </w:rPr>
            </w:pPr>
          </w:p>
        </w:tc>
        <w:tc>
          <w:tcPr>
            <w:tcW w:w="680" w:type="dxa"/>
            <w:vAlign w:val="bottom"/>
            <w:tcBorders>
              <w:bottom w:val="single" w:sz="8" w:color="959595"/>
            </w:tcBorders>
          </w:tcPr>
          <w:p>
            <w:pPr>
              <w:spacing w:after="0"/>
              <w:rPr>
                <w:sz w:val="3"/>
                <w:szCs w:val="3"/>
                <w:color w:val="auto"/>
              </w:rPr>
            </w:pPr>
          </w:p>
        </w:tc>
        <w:tc>
          <w:tcPr>
            <w:tcW w:w="760" w:type="dxa"/>
            <w:vAlign w:val="bottom"/>
            <w:tcBorders>
              <w:bottom w:val="single" w:sz="8" w:color="959595"/>
            </w:tcBorders>
          </w:tcPr>
          <w:p>
            <w:pPr>
              <w:spacing w:after="0"/>
              <w:rPr>
                <w:sz w:val="3"/>
                <w:szCs w:val="3"/>
                <w:color w:val="auto"/>
              </w:rPr>
            </w:pPr>
          </w:p>
        </w:tc>
        <w:tc>
          <w:tcPr>
            <w:tcW w:w="580" w:type="dxa"/>
            <w:vAlign w:val="bottom"/>
            <w:tcBorders>
              <w:bottom w:val="single" w:sz="8" w:color="959595"/>
            </w:tcBorders>
          </w:tcPr>
          <w:p>
            <w:pPr>
              <w:spacing w:after="0"/>
              <w:rPr>
                <w:sz w:val="3"/>
                <w:szCs w:val="3"/>
                <w:color w:val="auto"/>
              </w:rPr>
            </w:pPr>
          </w:p>
        </w:tc>
        <w:tc>
          <w:tcPr>
            <w:tcW w:w="740" w:type="dxa"/>
            <w:vAlign w:val="bottom"/>
            <w:tcBorders>
              <w:bottom w:val="single" w:sz="8" w:color="959595"/>
            </w:tcBorders>
          </w:tcPr>
          <w:p>
            <w:pPr>
              <w:spacing w:after="0"/>
              <w:rPr>
                <w:sz w:val="3"/>
                <w:szCs w:val="3"/>
                <w:color w:val="auto"/>
              </w:rPr>
            </w:pPr>
          </w:p>
        </w:tc>
        <w:tc>
          <w:tcPr>
            <w:tcW w:w="720" w:type="dxa"/>
            <w:vAlign w:val="bottom"/>
            <w:tcBorders>
              <w:bottom w:val="single" w:sz="8" w:color="959595"/>
            </w:tcBorders>
          </w:tcPr>
          <w:p>
            <w:pPr>
              <w:spacing w:after="0"/>
              <w:rPr>
                <w:sz w:val="3"/>
                <w:szCs w:val="3"/>
                <w:color w:val="auto"/>
              </w:rPr>
            </w:pPr>
          </w:p>
        </w:tc>
        <w:tc>
          <w:tcPr>
            <w:tcW w:w="740" w:type="dxa"/>
            <w:vAlign w:val="bottom"/>
            <w:tcBorders>
              <w:bottom w:val="single" w:sz="8" w:color="959595"/>
            </w:tcBorders>
          </w:tcPr>
          <w:p>
            <w:pPr>
              <w:spacing w:after="0"/>
              <w:rPr>
                <w:sz w:val="3"/>
                <w:szCs w:val="3"/>
                <w:color w:val="auto"/>
              </w:rPr>
            </w:pPr>
          </w:p>
        </w:tc>
        <w:tc>
          <w:tcPr>
            <w:tcW w:w="600" w:type="dxa"/>
            <w:vAlign w:val="bottom"/>
            <w:tcBorders>
              <w:bottom w:val="single" w:sz="8" w:color="959595"/>
            </w:tcBorders>
          </w:tcPr>
          <w:p>
            <w:pPr>
              <w:spacing w:after="0"/>
              <w:rPr>
                <w:sz w:val="3"/>
                <w:szCs w:val="3"/>
                <w:color w:val="auto"/>
              </w:rPr>
            </w:pPr>
          </w:p>
        </w:tc>
        <w:tc>
          <w:tcPr>
            <w:tcW w:w="74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2360" w:type="dxa"/>
            <w:vAlign w:val="bottom"/>
          </w:tcPr>
          <w:p>
            <w:pPr>
              <w:spacing w:after="0"/>
              <w:rPr>
                <w:sz w:val="24"/>
                <w:szCs w:val="24"/>
                <w:color w:val="auto"/>
              </w:rPr>
            </w:pPr>
          </w:p>
        </w:tc>
        <w:tc>
          <w:tcPr>
            <w:tcW w:w="136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PSUs — TSR</w:t>
            </w:r>
            <w:r>
              <w:rPr>
                <w:rFonts w:ascii="Arial" w:cs="Arial" w:eastAsia="Arial" w:hAnsi="Arial"/>
                <w:sz w:val="22"/>
                <w:szCs w:val="22"/>
                <w:color w:val="auto"/>
                <w:vertAlign w:val="superscript"/>
              </w:rPr>
              <w:t>(3)</w:t>
            </w:r>
          </w:p>
        </w:tc>
        <w:tc>
          <w:tcPr>
            <w:tcW w:w="4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3/9/20</w:t>
            </w:r>
          </w:p>
        </w:tc>
        <w:tc>
          <w:tcPr>
            <w:tcW w:w="7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216,245</w:t>
            </w:r>
          </w:p>
        </w:tc>
        <w:tc>
          <w:tcPr>
            <w:tcW w:w="58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432,489</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648,734</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1340" w:type="dxa"/>
            <w:vAlign w:val="bottom"/>
            <w:tcBorders>
              <w:bottom w:val="single" w:sz="8" w:color="959595"/>
            </w:tcBorders>
            <w:gridSpan w:val="2"/>
          </w:tcPr>
          <w:p>
            <w:pPr>
              <w:jc w:val="right"/>
              <w:spacing w:after="0"/>
              <w:rPr>
                <w:sz w:val="20"/>
                <w:szCs w:val="20"/>
                <w:color w:val="auto"/>
              </w:rPr>
            </w:pPr>
            <w:r>
              <w:rPr>
                <w:rFonts w:ascii="Arial" w:cs="Arial" w:eastAsia="Arial" w:hAnsi="Arial"/>
                <w:sz w:val="13"/>
                <w:szCs w:val="13"/>
                <w:color w:val="auto"/>
              </w:rPr>
              <w:t>— 21,140,062</w:t>
            </w:r>
          </w:p>
        </w:tc>
        <w:tc>
          <w:tcPr>
            <w:tcW w:w="0" w:type="dxa"/>
            <w:vAlign w:val="bottom"/>
          </w:tcPr>
          <w:p>
            <w:pPr>
              <w:spacing w:after="0"/>
              <w:rPr>
                <w:sz w:val="1"/>
                <w:szCs w:val="1"/>
                <w:color w:val="auto"/>
              </w:rPr>
            </w:pPr>
          </w:p>
        </w:tc>
      </w:tr>
      <w:tr>
        <w:trPr>
          <w:trHeight w:val="290"/>
        </w:trPr>
        <w:tc>
          <w:tcPr>
            <w:tcW w:w="2360" w:type="dxa"/>
            <w:vAlign w:val="bottom"/>
            <w:tcBorders>
              <w:bottom w:val="single" w:sz="8" w:color="959595"/>
            </w:tcBorders>
          </w:tcPr>
          <w:p>
            <w:pPr>
              <w:spacing w:after="0"/>
              <w:rPr>
                <w:sz w:val="24"/>
                <w:szCs w:val="24"/>
                <w:color w:val="auto"/>
              </w:rPr>
            </w:pPr>
          </w:p>
        </w:tc>
        <w:tc>
          <w:tcPr>
            <w:tcW w:w="136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RSUs</w:t>
            </w:r>
            <w:r>
              <w:rPr>
                <w:rFonts w:ascii="Arial" w:cs="Arial" w:eastAsia="Arial" w:hAnsi="Arial"/>
                <w:sz w:val="22"/>
                <w:szCs w:val="22"/>
                <w:color w:val="auto"/>
                <w:vertAlign w:val="superscript"/>
              </w:rPr>
              <w:t>(4)</w:t>
            </w:r>
          </w:p>
        </w:tc>
        <w:tc>
          <w:tcPr>
            <w:tcW w:w="4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3/9/20</w:t>
            </w:r>
          </w:p>
        </w:tc>
        <w:tc>
          <w:tcPr>
            <w:tcW w:w="7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210,970</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9,999,978</w:t>
            </w:r>
          </w:p>
        </w:tc>
        <w:tc>
          <w:tcPr>
            <w:tcW w:w="0" w:type="dxa"/>
            <w:vAlign w:val="bottom"/>
          </w:tcPr>
          <w:p>
            <w:pPr>
              <w:spacing w:after="0"/>
              <w:rPr>
                <w:sz w:val="1"/>
                <w:szCs w:val="1"/>
                <w:color w:val="auto"/>
              </w:rPr>
            </w:pPr>
          </w:p>
        </w:tc>
      </w:tr>
      <w:tr>
        <w:trPr>
          <w:trHeight w:val="196"/>
        </w:trPr>
        <w:tc>
          <w:tcPr>
            <w:tcW w:w="2360" w:type="dxa"/>
            <w:vAlign w:val="bottom"/>
          </w:tcPr>
          <w:p>
            <w:pPr>
              <w:ind w:left="40"/>
              <w:spacing w:after="0"/>
              <w:rPr>
                <w:sz w:val="20"/>
                <w:szCs w:val="20"/>
                <w:color w:val="auto"/>
              </w:rPr>
            </w:pPr>
            <w:r>
              <w:rPr>
                <w:rFonts w:ascii="Arial" w:cs="Arial" w:eastAsia="Arial" w:hAnsi="Arial"/>
                <w:sz w:val="13"/>
                <w:szCs w:val="13"/>
                <w:b w:val="1"/>
                <w:bCs w:val="1"/>
                <w:color w:val="23628F"/>
              </w:rPr>
              <w:t>Robert K. Eulau</w:t>
            </w:r>
          </w:p>
        </w:tc>
        <w:tc>
          <w:tcPr>
            <w:tcW w:w="1360" w:type="dxa"/>
            <w:vAlign w:val="bottom"/>
          </w:tcPr>
          <w:p>
            <w:pPr>
              <w:ind w:left="900"/>
              <w:spacing w:after="0"/>
              <w:rPr>
                <w:sz w:val="20"/>
                <w:szCs w:val="20"/>
                <w:color w:val="auto"/>
              </w:rPr>
            </w:pPr>
            <w:r>
              <w:rPr>
                <w:rFonts w:ascii="Arial" w:cs="Arial" w:eastAsia="Arial" w:hAnsi="Arial"/>
                <w:sz w:val="13"/>
                <w:szCs w:val="13"/>
                <w:color w:val="auto"/>
              </w:rPr>
              <w:t>STI</w:t>
            </w:r>
          </w:p>
        </w:tc>
        <w:tc>
          <w:tcPr>
            <w:tcW w:w="460" w:type="dxa"/>
            <w:vAlign w:val="bottom"/>
          </w:tcPr>
          <w:p>
            <w:pPr>
              <w:jc w:val="right"/>
              <w:spacing w:after="0"/>
              <w:rPr>
                <w:sz w:val="20"/>
                <w:szCs w:val="20"/>
                <w:color w:val="auto"/>
              </w:rPr>
            </w:pPr>
            <w:r>
              <w:rPr>
                <w:rFonts w:ascii="Arial" w:cs="Arial" w:eastAsia="Arial" w:hAnsi="Arial"/>
                <w:sz w:val="13"/>
                <w:szCs w:val="13"/>
                <w:color w:val="auto"/>
              </w:rPr>
              <w:t>8/6/19</w:t>
            </w:r>
          </w:p>
        </w:tc>
        <w:tc>
          <w:tcPr>
            <w:tcW w:w="760" w:type="dxa"/>
            <w:vAlign w:val="bottom"/>
          </w:tcPr>
          <w:p>
            <w:pPr>
              <w:jc w:val="right"/>
              <w:spacing w:after="0"/>
              <w:rPr>
                <w:sz w:val="20"/>
                <w:szCs w:val="20"/>
                <w:color w:val="auto"/>
              </w:rPr>
            </w:pPr>
            <w:r>
              <w:rPr>
                <w:rFonts w:ascii="Arial" w:cs="Arial" w:eastAsia="Arial" w:hAnsi="Arial"/>
                <w:sz w:val="13"/>
                <w:szCs w:val="13"/>
                <w:color w:val="auto"/>
              </w:rPr>
              <w:t>389,062</w:t>
            </w:r>
          </w:p>
        </w:tc>
        <w:tc>
          <w:tcPr>
            <w:tcW w:w="680" w:type="dxa"/>
            <w:vAlign w:val="bottom"/>
          </w:tcPr>
          <w:p>
            <w:pPr>
              <w:jc w:val="right"/>
              <w:spacing w:after="0"/>
              <w:rPr>
                <w:sz w:val="20"/>
                <w:szCs w:val="20"/>
                <w:color w:val="auto"/>
              </w:rPr>
            </w:pPr>
            <w:r>
              <w:rPr>
                <w:rFonts w:ascii="Arial" w:cs="Arial" w:eastAsia="Arial" w:hAnsi="Arial"/>
                <w:sz w:val="13"/>
                <w:szCs w:val="13"/>
                <w:color w:val="auto"/>
              </w:rPr>
              <w:t>778,123</w:t>
            </w:r>
          </w:p>
        </w:tc>
        <w:tc>
          <w:tcPr>
            <w:tcW w:w="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1,556,246</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1"/>
        </w:trPr>
        <w:tc>
          <w:tcPr>
            <w:tcW w:w="2360" w:type="dxa"/>
            <w:vAlign w:val="bottom"/>
          </w:tcPr>
          <w:p>
            <w:pPr>
              <w:spacing w:after="0"/>
              <w:rPr>
                <w:sz w:val="3"/>
                <w:szCs w:val="3"/>
                <w:color w:val="auto"/>
              </w:rPr>
            </w:pPr>
          </w:p>
        </w:tc>
        <w:tc>
          <w:tcPr>
            <w:tcW w:w="1360" w:type="dxa"/>
            <w:vAlign w:val="bottom"/>
            <w:tcBorders>
              <w:bottom w:val="single" w:sz="8" w:color="959595"/>
            </w:tcBorders>
          </w:tcPr>
          <w:p>
            <w:pPr>
              <w:spacing w:after="0"/>
              <w:rPr>
                <w:sz w:val="3"/>
                <w:szCs w:val="3"/>
                <w:color w:val="auto"/>
              </w:rPr>
            </w:pPr>
          </w:p>
        </w:tc>
        <w:tc>
          <w:tcPr>
            <w:tcW w:w="460" w:type="dxa"/>
            <w:vAlign w:val="bottom"/>
            <w:tcBorders>
              <w:bottom w:val="single" w:sz="8" w:color="959595"/>
            </w:tcBorders>
          </w:tcPr>
          <w:p>
            <w:pPr>
              <w:spacing w:after="0"/>
              <w:rPr>
                <w:sz w:val="3"/>
                <w:szCs w:val="3"/>
                <w:color w:val="auto"/>
              </w:rPr>
            </w:pPr>
          </w:p>
        </w:tc>
        <w:tc>
          <w:tcPr>
            <w:tcW w:w="760" w:type="dxa"/>
            <w:vAlign w:val="bottom"/>
            <w:tcBorders>
              <w:bottom w:val="single" w:sz="8" w:color="959595"/>
            </w:tcBorders>
          </w:tcPr>
          <w:p>
            <w:pPr>
              <w:spacing w:after="0"/>
              <w:rPr>
                <w:sz w:val="3"/>
                <w:szCs w:val="3"/>
                <w:color w:val="auto"/>
              </w:rPr>
            </w:pPr>
          </w:p>
        </w:tc>
        <w:tc>
          <w:tcPr>
            <w:tcW w:w="680" w:type="dxa"/>
            <w:vAlign w:val="bottom"/>
            <w:tcBorders>
              <w:bottom w:val="single" w:sz="8" w:color="959595"/>
            </w:tcBorders>
          </w:tcPr>
          <w:p>
            <w:pPr>
              <w:spacing w:after="0"/>
              <w:rPr>
                <w:sz w:val="3"/>
                <w:szCs w:val="3"/>
                <w:color w:val="auto"/>
              </w:rPr>
            </w:pPr>
          </w:p>
        </w:tc>
        <w:tc>
          <w:tcPr>
            <w:tcW w:w="60" w:type="dxa"/>
            <w:vAlign w:val="bottom"/>
            <w:tcBorders>
              <w:bottom w:val="single" w:sz="8" w:color="959595"/>
            </w:tcBorders>
          </w:tcPr>
          <w:p>
            <w:pPr>
              <w:spacing w:after="0"/>
              <w:rPr>
                <w:sz w:val="3"/>
                <w:szCs w:val="3"/>
                <w:color w:val="auto"/>
              </w:rPr>
            </w:pPr>
          </w:p>
        </w:tc>
        <w:tc>
          <w:tcPr>
            <w:tcW w:w="680" w:type="dxa"/>
            <w:vAlign w:val="bottom"/>
            <w:tcBorders>
              <w:bottom w:val="single" w:sz="8" w:color="959595"/>
            </w:tcBorders>
          </w:tcPr>
          <w:p>
            <w:pPr>
              <w:spacing w:after="0"/>
              <w:rPr>
                <w:sz w:val="3"/>
                <w:szCs w:val="3"/>
                <w:color w:val="auto"/>
              </w:rPr>
            </w:pPr>
          </w:p>
        </w:tc>
        <w:tc>
          <w:tcPr>
            <w:tcW w:w="760" w:type="dxa"/>
            <w:vAlign w:val="bottom"/>
            <w:tcBorders>
              <w:bottom w:val="single" w:sz="8" w:color="959595"/>
            </w:tcBorders>
          </w:tcPr>
          <w:p>
            <w:pPr>
              <w:spacing w:after="0"/>
              <w:rPr>
                <w:sz w:val="3"/>
                <w:szCs w:val="3"/>
                <w:color w:val="auto"/>
              </w:rPr>
            </w:pPr>
          </w:p>
        </w:tc>
        <w:tc>
          <w:tcPr>
            <w:tcW w:w="580" w:type="dxa"/>
            <w:vAlign w:val="bottom"/>
            <w:tcBorders>
              <w:bottom w:val="single" w:sz="8" w:color="959595"/>
            </w:tcBorders>
          </w:tcPr>
          <w:p>
            <w:pPr>
              <w:spacing w:after="0"/>
              <w:rPr>
                <w:sz w:val="3"/>
                <w:szCs w:val="3"/>
                <w:color w:val="auto"/>
              </w:rPr>
            </w:pPr>
          </w:p>
        </w:tc>
        <w:tc>
          <w:tcPr>
            <w:tcW w:w="740" w:type="dxa"/>
            <w:vAlign w:val="bottom"/>
            <w:tcBorders>
              <w:bottom w:val="single" w:sz="8" w:color="959595"/>
            </w:tcBorders>
          </w:tcPr>
          <w:p>
            <w:pPr>
              <w:spacing w:after="0"/>
              <w:rPr>
                <w:sz w:val="3"/>
                <w:szCs w:val="3"/>
                <w:color w:val="auto"/>
              </w:rPr>
            </w:pPr>
          </w:p>
        </w:tc>
        <w:tc>
          <w:tcPr>
            <w:tcW w:w="720" w:type="dxa"/>
            <w:vAlign w:val="bottom"/>
            <w:tcBorders>
              <w:bottom w:val="single" w:sz="8" w:color="959595"/>
            </w:tcBorders>
          </w:tcPr>
          <w:p>
            <w:pPr>
              <w:spacing w:after="0"/>
              <w:rPr>
                <w:sz w:val="3"/>
                <w:szCs w:val="3"/>
                <w:color w:val="auto"/>
              </w:rPr>
            </w:pPr>
          </w:p>
        </w:tc>
        <w:tc>
          <w:tcPr>
            <w:tcW w:w="740" w:type="dxa"/>
            <w:vAlign w:val="bottom"/>
            <w:tcBorders>
              <w:bottom w:val="single" w:sz="8" w:color="959595"/>
            </w:tcBorders>
          </w:tcPr>
          <w:p>
            <w:pPr>
              <w:spacing w:after="0"/>
              <w:rPr>
                <w:sz w:val="3"/>
                <w:szCs w:val="3"/>
                <w:color w:val="auto"/>
              </w:rPr>
            </w:pPr>
          </w:p>
        </w:tc>
        <w:tc>
          <w:tcPr>
            <w:tcW w:w="600" w:type="dxa"/>
            <w:vAlign w:val="bottom"/>
            <w:tcBorders>
              <w:bottom w:val="single" w:sz="8" w:color="959595"/>
            </w:tcBorders>
          </w:tcPr>
          <w:p>
            <w:pPr>
              <w:spacing w:after="0"/>
              <w:rPr>
                <w:sz w:val="3"/>
                <w:szCs w:val="3"/>
                <w:color w:val="auto"/>
              </w:rPr>
            </w:pPr>
          </w:p>
        </w:tc>
        <w:tc>
          <w:tcPr>
            <w:tcW w:w="74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2360" w:type="dxa"/>
            <w:vAlign w:val="bottom"/>
          </w:tcPr>
          <w:p>
            <w:pPr>
              <w:spacing w:after="0"/>
              <w:rPr>
                <w:sz w:val="24"/>
                <w:szCs w:val="24"/>
                <w:color w:val="auto"/>
              </w:rPr>
            </w:pPr>
          </w:p>
        </w:tc>
        <w:tc>
          <w:tcPr>
            <w:tcW w:w="136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PSUs — Financial</w:t>
            </w:r>
            <w:r>
              <w:rPr>
                <w:rFonts w:ascii="Arial" w:cs="Arial" w:eastAsia="Arial" w:hAnsi="Arial"/>
                <w:sz w:val="22"/>
                <w:szCs w:val="22"/>
                <w:color w:val="auto"/>
                <w:vertAlign w:val="superscript"/>
              </w:rPr>
              <w:t>(5)</w:t>
            </w:r>
          </w:p>
        </w:tc>
        <w:tc>
          <w:tcPr>
            <w:tcW w:w="4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9/4/19</w:t>
            </w:r>
          </w:p>
        </w:tc>
        <w:tc>
          <w:tcPr>
            <w:tcW w:w="7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8,427</w:t>
            </w:r>
          </w:p>
        </w:tc>
        <w:tc>
          <w:tcPr>
            <w:tcW w:w="58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16,854</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33,708</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999,948</w:t>
            </w:r>
          </w:p>
        </w:tc>
        <w:tc>
          <w:tcPr>
            <w:tcW w:w="0" w:type="dxa"/>
            <w:vAlign w:val="bottom"/>
          </w:tcPr>
          <w:p>
            <w:pPr>
              <w:spacing w:after="0"/>
              <w:rPr>
                <w:sz w:val="1"/>
                <w:szCs w:val="1"/>
                <w:color w:val="auto"/>
              </w:rPr>
            </w:pPr>
          </w:p>
        </w:tc>
      </w:tr>
      <w:tr>
        <w:trPr>
          <w:trHeight w:val="290"/>
        </w:trPr>
        <w:tc>
          <w:tcPr>
            <w:tcW w:w="2360" w:type="dxa"/>
            <w:vAlign w:val="bottom"/>
          </w:tcPr>
          <w:p>
            <w:pPr>
              <w:spacing w:after="0"/>
              <w:rPr>
                <w:sz w:val="24"/>
                <w:szCs w:val="24"/>
                <w:color w:val="auto"/>
              </w:rPr>
            </w:pPr>
          </w:p>
        </w:tc>
        <w:tc>
          <w:tcPr>
            <w:tcW w:w="136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PSUs — TSR</w:t>
            </w:r>
            <w:r>
              <w:rPr>
                <w:rFonts w:ascii="Arial" w:cs="Arial" w:eastAsia="Arial" w:hAnsi="Arial"/>
                <w:sz w:val="22"/>
                <w:szCs w:val="22"/>
                <w:color w:val="auto"/>
                <w:vertAlign w:val="superscript"/>
              </w:rPr>
              <w:t>(6)</w:t>
            </w:r>
          </w:p>
        </w:tc>
        <w:tc>
          <w:tcPr>
            <w:tcW w:w="4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9/4/19</w:t>
            </w:r>
          </w:p>
        </w:tc>
        <w:tc>
          <w:tcPr>
            <w:tcW w:w="7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4,214</w:t>
            </w:r>
          </w:p>
        </w:tc>
        <w:tc>
          <w:tcPr>
            <w:tcW w:w="58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16,854</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33,708</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1,668,040</w:t>
            </w:r>
          </w:p>
        </w:tc>
        <w:tc>
          <w:tcPr>
            <w:tcW w:w="0" w:type="dxa"/>
            <w:vAlign w:val="bottom"/>
          </w:tcPr>
          <w:p>
            <w:pPr>
              <w:spacing w:after="0"/>
              <w:rPr>
                <w:sz w:val="1"/>
                <w:szCs w:val="1"/>
                <w:color w:val="auto"/>
              </w:rPr>
            </w:pPr>
          </w:p>
        </w:tc>
      </w:tr>
      <w:tr>
        <w:trPr>
          <w:trHeight w:val="291"/>
        </w:trPr>
        <w:tc>
          <w:tcPr>
            <w:tcW w:w="2360" w:type="dxa"/>
            <w:vAlign w:val="bottom"/>
            <w:tcBorders>
              <w:bottom w:val="single" w:sz="8" w:color="959595"/>
            </w:tcBorders>
          </w:tcPr>
          <w:p>
            <w:pPr>
              <w:spacing w:after="0"/>
              <w:rPr>
                <w:sz w:val="24"/>
                <w:szCs w:val="24"/>
                <w:color w:val="auto"/>
              </w:rPr>
            </w:pPr>
          </w:p>
        </w:tc>
        <w:tc>
          <w:tcPr>
            <w:tcW w:w="136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RSUs</w:t>
            </w:r>
            <w:r>
              <w:rPr>
                <w:rFonts w:ascii="Arial" w:cs="Arial" w:eastAsia="Arial" w:hAnsi="Arial"/>
                <w:sz w:val="22"/>
                <w:szCs w:val="22"/>
                <w:color w:val="auto"/>
                <w:vertAlign w:val="superscript"/>
              </w:rPr>
              <w:t>(7)</w:t>
            </w:r>
          </w:p>
        </w:tc>
        <w:tc>
          <w:tcPr>
            <w:tcW w:w="4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9/4/19</w:t>
            </w:r>
          </w:p>
        </w:tc>
        <w:tc>
          <w:tcPr>
            <w:tcW w:w="7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33,709</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1,999,955</w:t>
            </w:r>
          </w:p>
        </w:tc>
        <w:tc>
          <w:tcPr>
            <w:tcW w:w="0" w:type="dxa"/>
            <w:vAlign w:val="bottom"/>
          </w:tcPr>
          <w:p>
            <w:pPr>
              <w:spacing w:after="0"/>
              <w:rPr>
                <w:sz w:val="1"/>
                <w:szCs w:val="1"/>
                <w:color w:val="auto"/>
              </w:rPr>
            </w:pPr>
          </w:p>
        </w:tc>
      </w:tr>
      <w:tr>
        <w:trPr>
          <w:trHeight w:val="195"/>
        </w:trPr>
        <w:tc>
          <w:tcPr>
            <w:tcW w:w="2360" w:type="dxa"/>
            <w:vAlign w:val="bottom"/>
          </w:tcPr>
          <w:p>
            <w:pPr>
              <w:ind w:left="40"/>
              <w:spacing w:after="0"/>
              <w:rPr>
                <w:sz w:val="20"/>
                <w:szCs w:val="20"/>
                <w:color w:val="auto"/>
              </w:rPr>
            </w:pPr>
            <w:r>
              <w:rPr>
                <w:rFonts w:ascii="Arial" w:cs="Arial" w:eastAsia="Arial" w:hAnsi="Arial"/>
                <w:sz w:val="13"/>
                <w:szCs w:val="13"/>
                <w:b w:val="1"/>
                <w:bCs w:val="1"/>
                <w:color w:val="23628F"/>
              </w:rPr>
              <w:t>Srinivasan Sivaram</w:t>
            </w:r>
          </w:p>
        </w:tc>
        <w:tc>
          <w:tcPr>
            <w:tcW w:w="1360" w:type="dxa"/>
            <w:vAlign w:val="bottom"/>
          </w:tcPr>
          <w:p>
            <w:pPr>
              <w:ind w:left="900"/>
              <w:spacing w:after="0"/>
              <w:rPr>
                <w:sz w:val="20"/>
                <w:szCs w:val="20"/>
                <w:color w:val="auto"/>
              </w:rPr>
            </w:pPr>
            <w:r>
              <w:rPr>
                <w:rFonts w:ascii="Arial" w:cs="Arial" w:eastAsia="Arial" w:hAnsi="Arial"/>
                <w:sz w:val="13"/>
                <w:szCs w:val="13"/>
                <w:color w:val="auto"/>
              </w:rPr>
              <w:t>STI</w:t>
            </w:r>
          </w:p>
        </w:tc>
        <w:tc>
          <w:tcPr>
            <w:tcW w:w="460" w:type="dxa"/>
            <w:vAlign w:val="bottom"/>
          </w:tcPr>
          <w:p>
            <w:pPr>
              <w:jc w:val="right"/>
              <w:spacing w:after="0"/>
              <w:rPr>
                <w:sz w:val="20"/>
                <w:szCs w:val="20"/>
                <w:color w:val="auto"/>
              </w:rPr>
            </w:pPr>
            <w:r>
              <w:rPr>
                <w:rFonts w:ascii="Arial" w:cs="Arial" w:eastAsia="Arial" w:hAnsi="Arial"/>
                <w:sz w:val="13"/>
                <w:szCs w:val="13"/>
                <w:color w:val="auto"/>
              </w:rPr>
              <w:t>8/6/19</w:t>
            </w:r>
          </w:p>
        </w:tc>
        <w:tc>
          <w:tcPr>
            <w:tcW w:w="760" w:type="dxa"/>
            <w:vAlign w:val="bottom"/>
          </w:tcPr>
          <w:p>
            <w:pPr>
              <w:jc w:val="right"/>
              <w:spacing w:after="0"/>
              <w:rPr>
                <w:sz w:val="20"/>
                <w:szCs w:val="20"/>
                <w:color w:val="auto"/>
              </w:rPr>
            </w:pPr>
            <w:r>
              <w:rPr>
                <w:rFonts w:ascii="Arial" w:cs="Arial" w:eastAsia="Arial" w:hAnsi="Arial"/>
                <w:sz w:val="13"/>
                <w:szCs w:val="13"/>
                <w:color w:val="auto"/>
              </w:rPr>
              <w:t>388,438</w:t>
            </w:r>
          </w:p>
        </w:tc>
        <w:tc>
          <w:tcPr>
            <w:tcW w:w="680" w:type="dxa"/>
            <w:vAlign w:val="bottom"/>
          </w:tcPr>
          <w:p>
            <w:pPr>
              <w:jc w:val="right"/>
              <w:spacing w:after="0"/>
              <w:rPr>
                <w:sz w:val="20"/>
                <w:szCs w:val="20"/>
                <w:color w:val="auto"/>
              </w:rPr>
            </w:pPr>
            <w:r>
              <w:rPr>
                <w:rFonts w:ascii="Arial" w:cs="Arial" w:eastAsia="Arial" w:hAnsi="Arial"/>
                <w:sz w:val="13"/>
                <w:szCs w:val="13"/>
                <w:color w:val="auto"/>
              </w:rPr>
              <w:t>776,875</w:t>
            </w:r>
          </w:p>
        </w:tc>
        <w:tc>
          <w:tcPr>
            <w:tcW w:w="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1,553,750</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1"/>
        </w:trPr>
        <w:tc>
          <w:tcPr>
            <w:tcW w:w="2360" w:type="dxa"/>
            <w:vAlign w:val="bottom"/>
          </w:tcPr>
          <w:p>
            <w:pPr>
              <w:spacing w:after="0"/>
              <w:rPr>
                <w:sz w:val="3"/>
                <w:szCs w:val="3"/>
                <w:color w:val="auto"/>
              </w:rPr>
            </w:pPr>
          </w:p>
        </w:tc>
        <w:tc>
          <w:tcPr>
            <w:tcW w:w="1360" w:type="dxa"/>
            <w:vAlign w:val="bottom"/>
            <w:tcBorders>
              <w:bottom w:val="single" w:sz="8" w:color="959595"/>
            </w:tcBorders>
          </w:tcPr>
          <w:p>
            <w:pPr>
              <w:spacing w:after="0"/>
              <w:rPr>
                <w:sz w:val="3"/>
                <w:szCs w:val="3"/>
                <w:color w:val="auto"/>
              </w:rPr>
            </w:pPr>
          </w:p>
        </w:tc>
        <w:tc>
          <w:tcPr>
            <w:tcW w:w="460" w:type="dxa"/>
            <w:vAlign w:val="bottom"/>
            <w:tcBorders>
              <w:bottom w:val="single" w:sz="8" w:color="959595"/>
            </w:tcBorders>
          </w:tcPr>
          <w:p>
            <w:pPr>
              <w:spacing w:after="0"/>
              <w:rPr>
                <w:sz w:val="3"/>
                <w:szCs w:val="3"/>
                <w:color w:val="auto"/>
              </w:rPr>
            </w:pPr>
          </w:p>
        </w:tc>
        <w:tc>
          <w:tcPr>
            <w:tcW w:w="760" w:type="dxa"/>
            <w:vAlign w:val="bottom"/>
            <w:tcBorders>
              <w:bottom w:val="single" w:sz="8" w:color="959595"/>
            </w:tcBorders>
          </w:tcPr>
          <w:p>
            <w:pPr>
              <w:spacing w:after="0"/>
              <w:rPr>
                <w:sz w:val="3"/>
                <w:szCs w:val="3"/>
                <w:color w:val="auto"/>
              </w:rPr>
            </w:pPr>
          </w:p>
        </w:tc>
        <w:tc>
          <w:tcPr>
            <w:tcW w:w="680" w:type="dxa"/>
            <w:vAlign w:val="bottom"/>
            <w:tcBorders>
              <w:bottom w:val="single" w:sz="8" w:color="959595"/>
            </w:tcBorders>
          </w:tcPr>
          <w:p>
            <w:pPr>
              <w:spacing w:after="0"/>
              <w:rPr>
                <w:sz w:val="3"/>
                <w:szCs w:val="3"/>
                <w:color w:val="auto"/>
              </w:rPr>
            </w:pPr>
          </w:p>
        </w:tc>
        <w:tc>
          <w:tcPr>
            <w:tcW w:w="60" w:type="dxa"/>
            <w:vAlign w:val="bottom"/>
            <w:tcBorders>
              <w:bottom w:val="single" w:sz="8" w:color="959595"/>
            </w:tcBorders>
          </w:tcPr>
          <w:p>
            <w:pPr>
              <w:spacing w:after="0"/>
              <w:rPr>
                <w:sz w:val="3"/>
                <w:szCs w:val="3"/>
                <w:color w:val="auto"/>
              </w:rPr>
            </w:pPr>
          </w:p>
        </w:tc>
        <w:tc>
          <w:tcPr>
            <w:tcW w:w="680" w:type="dxa"/>
            <w:vAlign w:val="bottom"/>
            <w:tcBorders>
              <w:bottom w:val="single" w:sz="8" w:color="959595"/>
            </w:tcBorders>
          </w:tcPr>
          <w:p>
            <w:pPr>
              <w:spacing w:after="0"/>
              <w:rPr>
                <w:sz w:val="3"/>
                <w:szCs w:val="3"/>
                <w:color w:val="auto"/>
              </w:rPr>
            </w:pPr>
          </w:p>
        </w:tc>
        <w:tc>
          <w:tcPr>
            <w:tcW w:w="760" w:type="dxa"/>
            <w:vAlign w:val="bottom"/>
            <w:tcBorders>
              <w:bottom w:val="single" w:sz="8" w:color="959595"/>
            </w:tcBorders>
          </w:tcPr>
          <w:p>
            <w:pPr>
              <w:spacing w:after="0"/>
              <w:rPr>
                <w:sz w:val="3"/>
                <w:szCs w:val="3"/>
                <w:color w:val="auto"/>
              </w:rPr>
            </w:pPr>
          </w:p>
        </w:tc>
        <w:tc>
          <w:tcPr>
            <w:tcW w:w="580" w:type="dxa"/>
            <w:vAlign w:val="bottom"/>
            <w:tcBorders>
              <w:bottom w:val="single" w:sz="8" w:color="959595"/>
            </w:tcBorders>
          </w:tcPr>
          <w:p>
            <w:pPr>
              <w:spacing w:after="0"/>
              <w:rPr>
                <w:sz w:val="3"/>
                <w:szCs w:val="3"/>
                <w:color w:val="auto"/>
              </w:rPr>
            </w:pPr>
          </w:p>
        </w:tc>
        <w:tc>
          <w:tcPr>
            <w:tcW w:w="740" w:type="dxa"/>
            <w:vAlign w:val="bottom"/>
            <w:tcBorders>
              <w:bottom w:val="single" w:sz="8" w:color="959595"/>
            </w:tcBorders>
          </w:tcPr>
          <w:p>
            <w:pPr>
              <w:spacing w:after="0"/>
              <w:rPr>
                <w:sz w:val="3"/>
                <w:szCs w:val="3"/>
                <w:color w:val="auto"/>
              </w:rPr>
            </w:pPr>
          </w:p>
        </w:tc>
        <w:tc>
          <w:tcPr>
            <w:tcW w:w="720" w:type="dxa"/>
            <w:vAlign w:val="bottom"/>
            <w:tcBorders>
              <w:bottom w:val="single" w:sz="8" w:color="959595"/>
            </w:tcBorders>
          </w:tcPr>
          <w:p>
            <w:pPr>
              <w:spacing w:after="0"/>
              <w:rPr>
                <w:sz w:val="3"/>
                <w:szCs w:val="3"/>
                <w:color w:val="auto"/>
              </w:rPr>
            </w:pPr>
          </w:p>
        </w:tc>
        <w:tc>
          <w:tcPr>
            <w:tcW w:w="740" w:type="dxa"/>
            <w:vAlign w:val="bottom"/>
            <w:tcBorders>
              <w:bottom w:val="single" w:sz="8" w:color="959595"/>
            </w:tcBorders>
          </w:tcPr>
          <w:p>
            <w:pPr>
              <w:spacing w:after="0"/>
              <w:rPr>
                <w:sz w:val="3"/>
                <w:szCs w:val="3"/>
                <w:color w:val="auto"/>
              </w:rPr>
            </w:pPr>
          </w:p>
        </w:tc>
        <w:tc>
          <w:tcPr>
            <w:tcW w:w="600" w:type="dxa"/>
            <w:vAlign w:val="bottom"/>
            <w:tcBorders>
              <w:bottom w:val="single" w:sz="8" w:color="959595"/>
            </w:tcBorders>
          </w:tcPr>
          <w:p>
            <w:pPr>
              <w:spacing w:after="0"/>
              <w:rPr>
                <w:sz w:val="3"/>
                <w:szCs w:val="3"/>
                <w:color w:val="auto"/>
              </w:rPr>
            </w:pPr>
          </w:p>
        </w:tc>
        <w:tc>
          <w:tcPr>
            <w:tcW w:w="74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2360" w:type="dxa"/>
            <w:vAlign w:val="bottom"/>
          </w:tcPr>
          <w:p>
            <w:pPr>
              <w:spacing w:after="0"/>
              <w:rPr>
                <w:sz w:val="24"/>
                <w:szCs w:val="24"/>
                <w:color w:val="auto"/>
              </w:rPr>
            </w:pPr>
          </w:p>
        </w:tc>
        <w:tc>
          <w:tcPr>
            <w:tcW w:w="136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PSUs — Financial</w:t>
            </w:r>
            <w:r>
              <w:rPr>
                <w:rFonts w:ascii="Arial" w:cs="Arial" w:eastAsia="Arial" w:hAnsi="Arial"/>
                <w:sz w:val="22"/>
                <w:szCs w:val="22"/>
                <w:color w:val="auto"/>
                <w:vertAlign w:val="superscript"/>
              </w:rPr>
              <w:t>(5)</w:t>
            </w:r>
          </w:p>
        </w:tc>
        <w:tc>
          <w:tcPr>
            <w:tcW w:w="4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9/4/19</w:t>
            </w:r>
          </w:p>
        </w:tc>
        <w:tc>
          <w:tcPr>
            <w:tcW w:w="7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8,427</w:t>
            </w:r>
          </w:p>
        </w:tc>
        <w:tc>
          <w:tcPr>
            <w:tcW w:w="58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16,854</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33,708</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999,948</w:t>
            </w:r>
          </w:p>
        </w:tc>
        <w:tc>
          <w:tcPr>
            <w:tcW w:w="0" w:type="dxa"/>
            <w:vAlign w:val="bottom"/>
          </w:tcPr>
          <w:p>
            <w:pPr>
              <w:spacing w:after="0"/>
              <w:rPr>
                <w:sz w:val="1"/>
                <w:szCs w:val="1"/>
                <w:color w:val="auto"/>
              </w:rPr>
            </w:pPr>
          </w:p>
        </w:tc>
      </w:tr>
      <w:tr>
        <w:trPr>
          <w:trHeight w:val="291"/>
        </w:trPr>
        <w:tc>
          <w:tcPr>
            <w:tcW w:w="2360" w:type="dxa"/>
            <w:vAlign w:val="bottom"/>
          </w:tcPr>
          <w:p>
            <w:pPr>
              <w:spacing w:after="0"/>
              <w:rPr>
                <w:sz w:val="24"/>
                <w:szCs w:val="24"/>
                <w:color w:val="auto"/>
              </w:rPr>
            </w:pPr>
          </w:p>
        </w:tc>
        <w:tc>
          <w:tcPr>
            <w:tcW w:w="136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PSUs — TSR</w:t>
            </w:r>
            <w:r>
              <w:rPr>
                <w:rFonts w:ascii="Arial" w:cs="Arial" w:eastAsia="Arial" w:hAnsi="Arial"/>
                <w:sz w:val="22"/>
                <w:szCs w:val="22"/>
                <w:color w:val="auto"/>
                <w:vertAlign w:val="superscript"/>
              </w:rPr>
              <w:t>(6)</w:t>
            </w:r>
          </w:p>
        </w:tc>
        <w:tc>
          <w:tcPr>
            <w:tcW w:w="4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9/4/19</w:t>
            </w:r>
          </w:p>
        </w:tc>
        <w:tc>
          <w:tcPr>
            <w:tcW w:w="7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4,214</w:t>
            </w:r>
          </w:p>
        </w:tc>
        <w:tc>
          <w:tcPr>
            <w:tcW w:w="58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16,854</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33,708</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1,668,040</w:t>
            </w:r>
          </w:p>
        </w:tc>
        <w:tc>
          <w:tcPr>
            <w:tcW w:w="0" w:type="dxa"/>
            <w:vAlign w:val="bottom"/>
          </w:tcPr>
          <w:p>
            <w:pPr>
              <w:spacing w:after="0"/>
              <w:rPr>
                <w:sz w:val="1"/>
                <w:szCs w:val="1"/>
                <w:color w:val="auto"/>
              </w:rPr>
            </w:pPr>
          </w:p>
        </w:tc>
      </w:tr>
      <w:tr>
        <w:trPr>
          <w:trHeight w:val="290"/>
        </w:trPr>
        <w:tc>
          <w:tcPr>
            <w:tcW w:w="2360" w:type="dxa"/>
            <w:vAlign w:val="bottom"/>
            <w:tcBorders>
              <w:bottom w:val="single" w:sz="8" w:color="959595"/>
            </w:tcBorders>
          </w:tcPr>
          <w:p>
            <w:pPr>
              <w:spacing w:after="0"/>
              <w:rPr>
                <w:sz w:val="24"/>
                <w:szCs w:val="24"/>
                <w:color w:val="auto"/>
              </w:rPr>
            </w:pPr>
          </w:p>
        </w:tc>
        <w:tc>
          <w:tcPr>
            <w:tcW w:w="136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RSUs</w:t>
            </w:r>
            <w:r>
              <w:rPr>
                <w:rFonts w:ascii="Arial" w:cs="Arial" w:eastAsia="Arial" w:hAnsi="Arial"/>
                <w:sz w:val="22"/>
                <w:szCs w:val="22"/>
                <w:color w:val="auto"/>
                <w:vertAlign w:val="superscript"/>
              </w:rPr>
              <w:t>(7)</w:t>
            </w:r>
          </w:p>
        </w:tc>
        <w:tc>
          <w:tcPr>
            <w:tcW w:w="4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9/4/19</w:t>
            </w:r>
          </w:p>
        </w:tc>
        <w:tc>
          <w:tcPr>
            <w:tcW w:w="7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33,709</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1,999,955</w:t>
            </w:r>
          </w:p>
        </w:tc>
        <w:tc>
          <w:tcPr>
            <w:tcW w:w="0" w:type="dxa"/>
            <w:vAlign w:val="bottom"/>
          </w:tcPr>
          <w:p>
            <w:pPr>
              <w:spacing w:after="0"/>
              <w:rPr>
                <w:sz w:val="1"/>
                <w:szCs w:val="1"/>
                <w:color w:val="auto"/>
              </w:rPr>
            </w:pPr>
          </w:p>
        </w:tc>
      </w:tr>
      <w:tr>
        <w:trPr>
          <w:trHeight w:val="196"/>
        </w:trPr>
        <w:tc>
          <w:tcPr>
            <w:tcW w:w="2360" w:type="dxa"/>
            <w:vAlign w:val="bottom"/>
          </w:tcPr>
          <w:p>
            <w:pPr>
              <w:ind w:left="40"/>
              <w:spacing w:after="0"/>
              <w:rPr>
                <w:sz w:val="20"/>
                <w:szCs w:val="20"/>
                <w:color w:val="auto"/>
              </w:rPr>
            </w:pPr>
            <w:r>
              <w:rPr>
                <w:rFonts w:ascii="Arial" w:cs="Arial" w:eastAsia="Arial" w:hAnsi="Arial"/>
                <w:sz w:val="13"/>
                <w:szCs w:val="13"/>
                <w:b w:val="1"/>
                <w:bCs w:val="1"/>
                <w:color w:val="23628F"/>
              </w:rPr>
              <w:t>Michael C. Ray</w:t>
            </w:r>
          </w:p>
        </w:tc>
        <w:tc>
          <w:tcPr>
            <w:tcW w:w="1360" w:type="dxa"/>
            <w:vAlign w:val="bottom"/>
          </w:tcPr>
          <w:p>
            <w:pPr>
              <w:ind w:left="900"/>
              <w:spacing w:after="0"/>
              <w:rPr>
                <w:sz w:val="20"/>
                <w:szCs w:val="20"/>
                <w:color w:val="auto"/>
              </w:rPr>
            </w:pPr>
            <w:r>
              <w:rPr>
                <w:rFonts w:ascii="Arial" w:cs="Arial" w:eastAsia="Arial" w:hAnsi="Arial"/>
                <w:sz w:val="13"/>
                <w:szCs w:val="13"/>
                <w:color w:val="auto"/>
              </w:rPr>
              <w:t>STI</w:t>
            </w:r>
          </w:p>
        </w:tc>
        <w:tc>
          <w:tcPr>
            <w:tcW w:w="460" w:type="dxa"/>
            <w:vAlign w:val="bottom"/>
          </w:tcPr>
          <w:p>
            <w:pPr>
              <w:jc w:val="right"/>
              <w:spacing w:after="0"/>
              <w:rPr>
                <w:sz w:val="20"/>
                <w:szCs w:val="20"/>
                <w:color w:val="auto"/>
              </w:rPr>
            </w:pPr>
            <w:r>
              <w:rPr>
                <w:rFonts w:ascii="Arial" w:cs="Arial" w:eastAsia="Arial" w:hAnsi="Arial"/>
                <w:sz w:val="13"/>
                <w:szCs w:val="13"/>
                <w:color w:val="auto"/>
              </w:rPr>
              <w:t>8/6/19</w:t>
            </w:r>
          </w:p>
        </w:tc>
        <w:tc>
          <w:tcPr>
            <w:tcW w:w="760" w:type="dxa"/>
            <w:vAlign w:val="bottom"/>
          </w:tcPr>
          <w:p>
            <w:pPr>
              <w:jc w:val="right"/>
              <w:spacing w:after="0"/>
              <w:rPr>
                <w:sz w:val="20"/>
                <w:szCs w:val="20"/>
                <w:color w:val="auto"/>
              </w:rPr>
            </w:pPr>
            <w:r>
              <w:rPr>
                <w:rFonts w:ascii="Arial" w:cs="Arial" w:eastAsia="Arial" w:hAnsi="Arial"/>
                <w:sz w:val="13"/>
                <w:szCs w:val="13"/>
                <w:color w:val="auto"/>
              </w:rPr>
              <w:t>263,173</w:t>
            </w:r>
          </w:p>
        </w:tc>
        <w:tc>
          <w:tcPr>
            <w:tcW w:w="680" w:type="dxa"/>
            <w:vAlign w:val="bottom"/>
          </w:tcPr>
          <w:p>
            <w:pPr>
              <w:jc w:val="right"/>
              <w:spacing w:after="0"/>
              <w:rPr>
                <w:sz w:val="20"/>
                <w:szCs w:val="20"/>
                <w:color w:val="auto"/>
              </w:rPr>
            </w:pPr>
            <w:r>
              <w:rPr>
                <w:rFonts w:ascii="Arial" w:cs="Arial" w:eastAsia="Arial" w:hAnsi="Arial"/>
                <w:sz w:val="13"/>
                <w:szCs w:val="13"/>
                <w:color w:val="auto"/>
              </w:rPr>
              <w:t>526,346</w:t>
            </w:r>
          </w:p>
        </w:tc>
        <w:tc>
          <w:tcPr>
            <w:tcW w:w="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1,052,692</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1"/>
        </w:trPr>
        <w:tc>
          <w:tcPr>
            <w:tcW w:w="2360" w:type="dxa"/>
            <w:vAlign w:val="bottom"/>
          </w:tcPr>
          <w:p>
            <w:pPr>
              <w:spacing w:after="0"/>
              <w:rPr>
                <w:sz w:val="3"/>
                <w:szCs w:val="3"/>
                <w:color w:val="auto"/>
              </w:rPr>
            </w:pPr>
          </w:p>
        </w:tc>
        <w:tc>
          <w:tcPr>
            <w:tcW w:w="1360" w:type="dxa"/>
            <w:vAlign w:val="bottom"/>
            <w:tcBorders>
              <w:bottom w:val="single" w:sz="8" w:color="959595"/>
            </w:tcBorders>
          </w:tcPr>
          <w:p>
            <w:pPr>
              <w:spacing w:after="0"/>
              <w:rPr>
                <w:sz w:val="3"/>
                <w:szCs w:val="3"/>
                <w:color w:val="auto"/>
              </w:rPr>
            </w:pPr>
          </w:p>
        </w:tc>
        <w:tc>
          <w:tcPr>
            <w:tcW w:w="460" w:type="dxa"/>
            <w:vAlign w:val="bottom"/>
            <w:tcBorders>
              <w:bottom w:val="single" w:sz="8" w:color="959595"/>
            </w:tcBorders>
          </w:tcPr>
          <w:p>
            <w:pPr>
              <w:spacing w:after="0"/>
              <w:rPr>
                <w:sz w:val="3"/>
                <w:szCs w:val="3"/>
                <w:color w:val="auto"/>
              </w:rPr>
            </w:pPr>
          </w:p>
        </w:tc>
        <w:tc>
          <w:tcPr>
            <w:tcW w:w="760" w:type="dxa"/>
            <w:vAlign w:val="bottom"/>
            <w:tcBorders>
              <w:bottom w:val="single" w:sz="8" w:color="959595"/>
            </w:tcBorders>
          </w:tcPr>
          <w:p>
            <w:pPr>
              <w:spacing w:after="0"/>
              <w:rPr>
                <w:sz w:val="3"/>
                <w:szCs w:val="3"/>
                <w:color w:val="auto"/>
              </w:rPr>
            </w:pPr>
          </w:p>
        </w:tc>
        <w:tc>
          <w:tcPr>
            <w:tcW w:w="680" w:type="dxa"/>
            <w:vAlign w:val="bottom"/>
            <w:tcBorders>
              <w:bottom w:val="single" w:sz="8" w:color="959595"/>
            </w:tcBorders>
          </w:tcPr>
          <w:p>
            <w:pPr>
              <w:spacing w:after="0"/>
              <w:rPr>
                <w:sz w:val="3"/>
                <w:szCs w:val="3"/>
                <w:color w:val="auto"/>
              </w:rPr>
            </w:pPr>
          </w:p>
        </w:tc>
        <w:tc>
          <w:tcPr>
            <w:tcW w:w="60" w:type="dxa"/>
            <w:vAlign w:val="bottom"/>
            <w:tcBorders>
              <w:bottom w:val="single" w:sz="8" w:color="959595"/>
            </w:tcBorders>
          </w:tcPr>
          <w:p>
            <w:pPr>
              <w:spacing w:after="0"/>
              <w:rPr>
                <w:sz w:val="3"/>
                <w:szCs w:val="3"/>
                <w:color w:val="auto"/>
              </w:rPr>
            </w:pPr>
          </w:p>
        </w:tc>
        <w:tc>
          <w:tcPr>
            <w:tcW w:w="680" w:type="dxa"/>
            <w:vAlign w:val="bottom"/>
            <w:tcBorders>
              <w:bottom w:val="single" w:sz="8" w:color="959595"/>
            </w:tcBorders>
          </w:tcPr>
          <w:p>
            <w:pPr>
              <w:spacing w:after="0"/>
              <w:rPr>
                <w:sz w:val="3"/>
                <w:szCs w:val="3"/>
                <w:color w:val="auto"/>
              </w:rPr>
            </w:pPr>
          </w:p>
        </w:tc>
        <w:tc>
          <w:tcPr>
            <w:tcW w:w="760" w:type="dxa"/>
            <w:vAlign w:val="bottom"/>
            <w:tcBorders>
              <w:bottom w:val="single" w:sz="8" w:color="959595"/>
            </w:tcBorders>
          </w:tcPr>
          <w:p>
            <w:pPr>
              <w:spacing w:after="0"/>
              <w:rPr>
                <w:sz w:val="3"/>
                <w:szCs w:val="3"/>
                <w:color w:val="auto"/>
              </w:rPr>
            </w:pPr>
          </w:p>
        </w:tc>
        <w:tc>
          <w:tcPr>
            <w:tcW w:w="580" w:type="dxa"/>
            <w:vAlign w:val="bottom"/>
            <w:tcBorders>
              <w:bottom w:val="single" w:sz="8" w:color="959595"/>
            </w:tcBorders>
          </w:tcPr>
          <w:p>
            <w:pPr>
              <w:spacing w:after="0"/>
              <w:rPr>
                <w:sz w:val="3"/>
                <w:szCs w:val="3"/>
                <w:color w:val="auto"/>
              </w:rPr>
            </w:pPr>
          </w:p>
        </w:tc>
        <w:tc>
          <w:tcPr>
            <w:tcW w:w="740" w:type="dxa"/>
            <w:vAlign w:val="bottom"/>
            <w:tcBorders>
              <w:bottom w:val="single" w:sz="8" w:color="959595"/>
            </w:tcBorders>
          </w:tcPr>
          <w:p>
            <w:pPr>
              <w:spacing w:after="0"/>
              <w:rPr>
                <w:sz w:val="3"/>
                <w:szCs w:val="3"/>
                <w:color w:val="auto"/>
              </w:rPr>
            </w:pPr>
          </w:p>
        </w:tc>
        <w:tc>
          <w:tcPr>
            <w:tcW w:w="720" w:type="dxa"/>
            <w:vAlign w:val="bottom"/>
            <w:tcBorders>
              <w:bottom w:val="single" w:sz="8" w:color="959595"/>
            </w:tcBorders>
          </w:tcPr>
          <w:p>
            <w:pPr>
              <w:spacing w:after="0"/>
              <w:rPr>
                <w:sz w:val="3"/>
                <w:szCs w:val="3"/>
                <w:color w:val="auto"/>
              </w:rPr>
            </w:pPr>
          </w:p>
        </w:tc>
        <w:tc>
          <w:tcPr>
            <w:tcW w:w="740" w:type="dxa"/>
            <w:vAlign w:val="bottom"/>
            <w:tcBorders>
              <w:bottom w:val="single" w:sz="8" w:color="959595"/>
            </w:tcBorders>
          </w:tcPr>
          <w:p>
            <w:pPr>
              <w:spacing w:after="0"/>
              <w:rPr>
                <w:sz w:val="3"/>
                <w:szCs w:val="3"/>
                <w:color w:val="auto"/>
              </w:rPr>
            </w:pPr>
          </w:p>
        </w:tc>
        <w:tc>
          <w:tcPr>
            <w:tcW w:w="600" w:type="dxa"/>
            <w:vAlign w:val="bottom"/>
            <w:tcBorders>
              <w:bottom w:val="single" w:sz="8" w:color="959595"/>
            </w:tcBorders>
          </w:tcPr>
          <w:p>
            <w:pPr>
              <w:spacing w:after="0"/>
              <w:rPr>
                <w:sz w:val="3"/>
                <w:szCs w:val="3"/>
                <w:color w:val="auto"/>
              </w:rPr>
            </w:pPr>
          </w:p>
        </w:tc>
        <w:tc>
          <w:tcPr>
            <w:tcW w:w="74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2360" w:type="dxa"/>
            <w:vAlign w:val="bottom"/>
          </w:tcPr>
          <w:p>
            <w:pPr>
              <w:spacing w:after="0"/>
              <w:rPr>
                <w:sz w:val="24"/>
                <w:szCs w:val="24"/>
                <w:color w:val="auto"/>
              </w:rPr>
            </w:pPr>
          </w:p>
        </w:tc>
        <w:tc>
          <w:tcPr>
            <w:tcW w:w="136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PSUs — Financial</w:t>
            </w:r>
            <w:r>
              <w:rPr>
                <w:rFonts w:ascii="Arial" w:cs="Arial" w:eastAsia="Arial" w:hAnsi="Arial"/>
                <w:sz w:val="22"/>
                <w:szCs w:val="22"/>
                <w:color w:val="auto"/>
                <w:vertAlign w:val="superscript"/>
              </w:rPr>
              <w:t>(5)</w:t>
            </w:r>
          </w:p>
        </w:tc>
        <w:tc>
          <w:tcPr>
            <w:tcW w:w="4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9/4/19</w:t>
            </w:r>
          </w:p>
        </w:tc>
        <w:tc>
          <w:tcPr>
            <w:tcW w:w="7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6,584</w:t>
            </w:r>
          </w:p>
        </w:tc>
        <w:tc>
          <w:tcPr>
            <w:tcW w:w="58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13,167</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26,334</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781,198</w:t>
            </w:r>
          </w:p>
        </w:tc>
        <w:tc>
          <w:tcPr>
            <w:tcW w:w="0" w:type="dxa"/>
            <w:vAlign w:val="bottom"/>
          </w:tcPr>
          <w:p>
            <w:pPr>
              <w:spacing w:after="0"/>
              <w:rPr>
                <w:sz w:val="1"/>
                <w:szCs w:val="1"/>
                <w:color w:val="auto"/>
              </w:rPr>
            </w:pPr>
          </w:p>
        </w:tc>
      </w:tr>
      <w:tr>
        <w:trPr>
          <w:trHeight w:val="290"/>
        </w:trPr>
        <w:tc>
          <w:tcPr>
            <w:tcW w:w="2360" w:type="dxa"/>
            <w:vAlign w:val="bottom"/>
          </w:tcPr>
          <w:p>
            <w:pPr>
              <w:spacing w:after="0"/>
              <w:rPr>
                <w:sz w:val="24"/>
                <w:szCs w:val="24"/>
                <w:color w:val="auto"/>
              </w:rPr>
            </w:pPr>
          </w:p>
        </w:tc>
        <w:tc>
          <w:tcPr>
            <w:tcW w:w="136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PSUs — TSR</w:t>
            </w:r>
            <w:r>
              <w:rPr>
                <w:rFonts w:ascii="Arial" w:cs="Arial" w:eastAsia="Arial" w:hAnsi="Arial"/>
                <w:sz w:val="22"/>
                <w:szCs w:val="22"/>
                <w:color w:val="auto"/>
                <w:vertAlign w:val="superscript"/>
              </w:rPr>
              <w:t>(6)</w:t>
            </w:r>
          </w:p>
        </w:tc>
        <w:tc>
          <w:tcPr>
            <w:tcW w:w="4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9/4/19</w:t>
            </w:r>
          </w:p>
        </w:tc>
        <w:tc>
          <w:tcPr>
            <w:tcW w:w="7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3,292</w:t>
            </w:r>
          </w:p>
        </w:tc>
        <w:tc>
          <w:tcPr>
            <w:tcW w:w="58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13,167</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26,334</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1,303,138</w:t>
            </w:r>
          </w:p>
        </w:tc>
        <w:tc>
          <w:tcPr>
            <w:tcW w:w="0" w:type="dxa"/>
            <w:vAlign w:val="bottom"/>
          </w:tcPr>
          <w:p>
            <w:pPr>
              <w:spacing w:after="0"/>
              <w:rPr>
                <w:sz w:val="1"/>
                <w:szCs w:val="1"/>
                <w:color w:val="auto"/>
              </w:rPr>
            </w:pPr>
          </w:p>
        </w:tc>
      </w:tr>
      <w:tr>
        <w:trPr>
          <w:trHeight w:val="290"/>
        </w:trPr>
        <w:tc>
          <w:tcPr>
            <w:tcW w:w="2360" w:type="dxa"/>
            <w:vAlign w:val="bottom"/>
            <w:tcBorders>
              <w:bottom w:val="single" w:sz="8" w:color="959595"/>
            </w:tcBorders>
          </w:tcPr>
          <w:p>
            <w:pPr>
              <w:spacing w:after="0"/>
              <w:rPr>
                <w:sz w:val="24"/>
                <w:szCs w:val="24"/>
                <w:color w:val="auto"/>
              </w:rPr>
            </w:pPr>
          </w:p>
        </w:tc>
        <w:tc>
          <w:tcPr>
            <w:tcW w:w="136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RSUs</w:t>
            </w:r>
            <w:r>
              <w:rPr>
                <w:rFonts w:ascii="Arial" w:cs="Arial" w:eastAsia="Arial" w:hAnsi="Arial"/>
                <w:sz w:val="22"/>
                <w:szCs w:val="22"/>
                <w:color w:val="auto"/>
                <w:vertAlign w:val="superscript"/>
              </w:rPr>
              <w:t>(7)</w:t>
            </w:r>
          </w:p>
        </w:tc>
        <w:tc>
          <w:tcPr>
            <w:tcW w:w="4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9/4/19</w:t>
            </w:r>
          </w:p>
        </w:tc>
        <w:tc>
          <w:tcPr>
            <w:tcW w:w="7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26,335</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1,562,456</w:t>
            </w:r>
          </w:p>
        </w:tc>
        <w:tc>
          <w:tcPr>
            <w:tcW w:w="0" w:type="dxa"/>
            <w:vAlign w:val="bottom"/>
          </w:tcPr>
          <w:p>
            <w:pPr>
              <w:spacing w:after="0"/>
              <w:rPr>
                <w:sz w:val="1"/>
                <w:szCs w:val="1"/>
                <w:color w:val="auto"/>
              </w:rPr>
            </w:pPr>
          </w:p>
        </w:tc>
      </w:tr>
      <w:tr>
        <w:trPr>
          <w:trHeight w:val="196"/>
        </w:trPr>
        <w:tc>
          <w:tcPr>
            <w:tcW w:w="2360" w:type="dxa"/>
            <w:vAlign w:val="bottom"/>
          </w:tcPr>
          <w:p>
            <w:pPr>
              <w:ind w:left="40"/>
              <w:spacing w:after="0"/>
              <w:rPr>
                <w:sz w:val="20"/>
                <w:szCs w:val="20"/>
                <w:color w:val="auto"/>
              </w:rPr>
            </w:pPr>
            <w:r>
              <w:rPr>
                <w:rFonts w:ascii="Arial" w:cs="Arial" w:eastAsia="Arial" w:hAnsi="Arial"/>
                <w:sz w:val="13"/>
                <w:szCs w:val="13"/>
                <w:b w:val="1"/>
                <w:bCs w:val="1"/>
                <w:color w:val="23628F"/>
              </w:rPr>
              <w:t>Lori S. Sundberg</w:t>
            </w:r>
          </w:p>
        </w:tc>
        <w:tc>
          <w:tcPr>
            <w:tcW w:w="1360" w:type="dxa"/>
            <w:vAlign w:val="bottom"/>
          </w:tcPr>
          <w:p>
            <w:pPr>
              <w:ind w:left="900"/>
              <w:spacing w:after="0"/>
              <w:rPr>
                <w:sz w:val="20"/>
                <w:szCs w:val="20"/>
                <w:color w:val="auto"/>
              </w:rPr>
            </w:pPr>
            <w:r>
              <w:rPr>
                <w:rFonts w:ascii="Arial" w:cs="Arial" w:eastAsia="Arial" w:hAnsi="Arial"/>
                <w:sz w:val="13"/>
                <w:szCs w:val="13"/>
                <w:color w:val="auto"/>
              </w:rPr>
              <w:t>STI</w:t>
            </w:r>
          </w:p>
        </w:tc>
        <w:tc>
          <w:tcPr>
            <w:tcW w:w="460" w:type="dxa"/>
            <w:vAlign w:val="bottom"/>
          </w:tcPr>
          <w:p>
            <w:pPr>
              <w:jc w:val="right"/>
              <w:spacing w:after="0"/>
              <w:rPr>
                <w:sz w:val="20"/>
                <w:szCs w:val="20"/>
                <w:color w:val="auto"/>
              </w:rPr>
            </w:pPr>
            <w:r>
              <w:rPr>
                <w:rFonts w:ascii="Arial" w:cs="Arial" w:eastAsia="Arial" w:hAnsi="Arial"/>
                <w:sz w:val="13"/>
                <w:szCs w:val="13"/>
                <w:color w:val="auto"/>
              </w:rPr>
              <w:t>8/6/19</w:t>
            </w:r>
          </w:p>
        </w:tc>
        <w:tc>
          <w:tcPr>
            <w:tcW w:w="760" w:type="dxa"/>
            <w:vAlign w:val="bottom"/>
          </w:tcPr>
          <w:p>
            <w:pPr>
              <w:jc w:val="right"/>
              <w:spacing w:after="0"/>
              <w:rPr>
                <w:sz w:val="20"/>
                <w:szCs w:val="20"/>
                <w:color w:val="auto"/>
              </w:rPr>
            </w:pPr>
            <w:r>
              <w:rPr>
                <w:rFonts w:ascii="Arial" w:cs="Arial" w:eastAsia="Arial" w:hAnsi="Arial"/>
                <w:sz w:val="13"/>
                <w:szCs w:val="13"/>
                <w:color w:val="auto"/>
              </w:rPr>
              <w:t>217,731</w:t>
            </w:r>
          </w:p>
        </w:tc>
        <w:tc>
          <w:tcPr>
            <w:tcW w:w="680" w:type="dxa"/>
            <w:vAlign w:val="bottom"/>
          </w:tcPr>
          <w:p>
            <w:pPr>
              <w:jc w:val="right"/>
              <w:spacing w:after="0"/>
              <w:rPr>
                <w:sz w:val="20"/>
                <w:szCs w:val="20"/>
                <w:color w:val="auto"/>
              </w:rPr>
            </w:pPr>
            <w:r>
              <w:rPr>
                <w:rFonts w:ascii="Arial" w:cs="Arial" w:eastAsia="Arial" w:hAnsi="Arial"/>
                <w:sz w:val="13"/>
                <w:szCs w:val="13"/>
                <w:color w:val="auto"/>
              </w:rPr>
              <w:t>435,462</w:t>
            </w:r>
          </w:p>
        </w:tc>
        <w:tc>
          <w:tcPr>
            <w:tcW w:w="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870,924</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1"/>
        </w:trPr>
        <w:tc>
          <w:tcPr>
            <w:tcW w:w="2360" w:type="dxa"/>
            <w:vAlign w:val="bottom"/>
          </w:tcPr>
          <w:p>
            <w:pPr>
              <w:spacing w:after="0"/>
              <w:rPr>
                <w:sz w:val="3"/>
                <w:szCs w:val="3"/>
                <w:color w:val="auto"/>
              </w:rPr>
            </w:pPr>
          </w:p>
        </w:tc>
        <w:tc>
          <w:tcPr>
            <w:tcW w:w="1360" w:type="dxa"/>
            <w:vAlign w:val="bottom"/>
            <w:tcBorders>
              <w:bottom w:val="single" w:sz="8" w:color="959595"/>
            </w:tcBorders>
          </w:tcPr>
          <w:p>
            <w:pPr>
              <w:spacing w:after="0"/>
              <w:rPr>
                <w:sz w:val="3"/>
                <w:szCs w:val="3"/>
                <w:color w:val="auto"/>
              </w:rPr>
            </w:pPr>
          </w:p>
        </w:tc>
        <w:tc>
          <w:tcPr>
            <w:tcW w:w="460" w:type="dxa"/>
            <w:vAlign w:val="bottom"/>
            <w:tcBorders>
              <w:bottom w:val="single" w:sz="8" w:color="959595"/>
            </w:tcBorders>
          </w:tcPr>
          <w:p>
            <w:pPr>
              <w:spacing w:after="0"/>
              <w:rPr>
                <w:sz w:val="3"/>
                <w:szCs w:val="3"/>
                <w:color w:val="auto"/>
              </w:rPr>
            </w:pPr>
          </w:p>
        </w:tc>
        <w:tc>
          <w:tcPr>
            <w:tcW w:w="760" w:type="dxa"/>
            <w:vAlign w:val="bottom"/>
            <w:tcBorders>
              <w:bottom w:val="single" w:sz="8" w:color="959595"/>
            </w:tcBorders>
          </w:tcPr>
          <w:p>
            <w:pPr>
              <w:spacing w:after="0"/>
              <w:rPr>
                <w:sz w:val="3"/>
                <w:szCs w:val="3"/>
                <w:color w:val="auto"/>
              </w:rPr>
            </w:pPr>
          </w:p>
        </w:tc>
        <w:tc>
          <w:tcPr>
            <w:tcW w:w="680" w:type="dxa"/>
            <w:vAlign w:val="bottom"/>
            <w:tcBorders>
              <w:bottom w:val="single" w:sz="8" w:color="959595"/>
            </w:tcBorders>
          </w:tcPr>
          <w:p>
            <w:pPr>
              <w:spacing w:after="0"/>
              <w:rPr>
                <w:sz w:val="3"/>
                <w:szCs w:val="3"/>
                <w:color w:val="auto"/>
              </w:rPr>
            </w:pPr>
          </w:p>
        </w:tc>
        <w:tc>
          <w:tcPr>
            <w:tcW w:w="60" w:type="dxa"/>
            <w:vAlign w:val="bottom"/>
            <w:tcBorders>
              <w:bottom w:val="single" w:sz="8" w:color="959595"/>
            </w:tcBorders>
          </w:tcPr>
          <w:p>
            <w:pPr>
              <w:spacing w:after="0"/>
              <w:rPr>
                <w:sz w:val="3"/>
                <w:szCs w:val="3"/>
                <w:color w:val="auto"/>
              </w:rPr>
            </w:pPr>
          </w:p>
        </w:tc>
        <w:tc>
          <w:tcPr>
            <w:tcW w:w="680" w:type="dxa"/>
            <w:vAlign w:val="bottom"/>
            <w:tcBorders>
              <w:bottom w:val="single" w:sz="8" w:color="959595"/>
            </w:tcBorders>
          </w:tcPr>
          <w:p>
            <w:pPr>
              <w:spacing w:after="0"/>
              <w:rPr>
                <w:sz w:val="3"/>
                <w:szCs w:val="3"/>
                <w:color w:val="auto"/>
              </w:rPr>
            </w:pPr>
          </w:p>
        </w:tc>
        <w:tc>
          <w:tcPr>
            <w:tcW w:w="760" w:type="dxa"/>
            <w:vAlign w:val="bottom"/>
            <w:tcBorders>
              <w:bottom w:val="single" w:sz="8" w:color="959595"/>
            </w:tcBorders>
          </w:tcPr>
          <w:p>
            <w:pPr>
              <w:spacing w:after="0"/>
              <w:rPr>
                <w:sz w:val="3"/>
                <w:szCs w:val="3"/>
                <w:color w:val="auto"/>
              </w:rPr>
            </w:pPr>
          </w:p>
        </w:tc>
        <w:tc>
          <w:tcPr>
            <w:tcW w:w="580" w:type="dxa"/>
            <w:vAlign w:val="bottom"/>
            <w:tcBorders>
              <w:bottom w:val="single" w:sz="8" w:color="959595"/>
            </w:tcBorders>
          </w:tcPr>
          <w:p>
            <w:pPr>
              <w:spacing w:after="0"/>
              <w:rPr>
                <w:sz w:val="3"/>
                <w:szCs w:val="3"/>
                <w:color w:val="auto"/>
              </w:rPr>
            </w:pPr>
          </w:p>
        </w:tc>
        <w:tc>
          <w:tcPr>
            <w:tcW w:w="740" w:type="dxa"/>
            <w:vAlign w:val="bottom"/>
            <w:tcBorders>
              <w:bottom w:val="single" w:sz="8" w:color="959595"/>
            </w:tcBorders>
          </w:tcPr>
          <w:p>
            <w:pPr>
              <w:spacing w:after="0"/>
              <w:rPr>
                <w:sz w:val="3"/>
                <w:szCs w:val="3"/>
                <w:color w:val="auto"/>
              </w:rPr>
            </w:pPr>
          </w:p>
        </w:tc>
        <w:tc>
          <w:tcPr>
            <w:tcW w:w="720" w:type="dxa"/>
            <w:vAlign w:val="bottom"/>
            <w:tcBorders>
              <w:bottom w:val="single" w:sz="8" w:color="959595"/>
            </w:tcBorders>
          </w:tcPr>
          <w:p>
            <w:pPr>
              <w:spacing w:after="0"/>
              <w:rPr>
                <w:sz w:val="3"/>
                <w:szCs w:val="3"/>
                <w:color w:val="auto"/>
              </w:rPr>
            </w:pPr>
          </w:p>
        </w:tc>
        <w:tc>
          <w:tcPr>
            <w:tcW w:w="740" w:type="dxa"/>
            <w:vAlign w:val="bottom"/>
            <w:tcBorders>
              <w:bottom w:val="single" w:sz="8" w:color="959595"/>
            </w:tcBorders>
          </w:tcPr>
          <w:p>
            <w:pPr>
              <w:spacing w:after="0"/>
              <w:rPr>
                <w:sz w:val="3"/>
                <w:szCs w:val="3"/>
                <w:color w:val="auto"/>
              </w:rPr>
            </w:pPr>
          </w:p>
        </w:tc>
        <w:tc>
          <w:tcPr>
            <w:tcW w:w="600" w:type="dxa"/>
            <w:vAlign w:val="bottom"/>
            <w:tcBorders>
              <w:bottom w:val="single" w:sz="8" w:color="959595"/>
            </w:tcBorders>
          </w:tcPr>
          <w:p>
            <w:pPr>
              <w:spacing w:after="0"/>
              <w:rPr>
                <w:sz w:val="3"/>
                <w:szCs w:val="3"/>
                <w:color w:val="auto"/>
              </w:rPr>
            </w:pPr>
          </w:p>
        </w:tc>
        <w:tc>
          <w:tcPr>
            <w:tcW w:w="74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2360" w:type="dxa"/>
            <w:vAlign w:val="bottom"/>
          </w:tcPr>
          <w:p>
            <w:pPr>
              <w:spacing w:after="0"/>
              <w:rPr>
                <w:sz w:val="24"/>
                <w:szCs w:val="24"/>
                <w:color w:val="auto"/>
              </w:rPr>
            </w:pPr>
          </w:p>
        </w:tc>
        <w:tc>
          <w:tcPr>
            <w:tcW w:w="136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PSUs — Financial</w:t>
            </w:r>
            <w:r>
              <w:rPr>
                <w:rFonts w:ascii="Arial" w:cs="Arial" w:eastAsia="Arial" w:hAnsi="Arial"/>
                <w:sz w:val="22"/>
                <w:szCs w:val="22"/>
                <w:color w:val="auto"/>
                <w:vertAlign w:val="superscript"/>
              </w:rPr>
              <w:t>(5)</w:t>
            </w:r>
          </w:p>
        </w:tc>
        <w:tc>
          <w:tcPr>
            <w:tcW w:w="4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9/4/19</w:t>
            </w:r>
          </w:p>
        </w:tc>
        <w:tc>
          <w:tcPr>
            <w:tcW w:w="7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4,740</w:t>
            </w:r>
          </w:p>
        </w:tc>
        <w:tc>
          <w:tcPr>
            <w:tcW w:w="58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9,480</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18,960</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562,448</w:t>
            </w:r>
          </w:p>
        </w:tc>
        <w:tc>
          <w:tcPr>
            <w:tcW w:w="0" w:type="dxa"/>
            <w:vAlign w:val="bottom"/>
          </w:tcPr>
          <w:p>
            <w:pPr>
              <w:spacing w:after="0"/>
              <w:rPr>
                <w:sz w:val="1"/>
                <w:szCs w:val="1"/>
                <w:color w:val="auto"/>
              </w:rPr>
            </w:pPr>
          </w:p>
        </w:tc>
      </w:tr>
      <w:tr>
        <w:trPr>
          <w:trHeight w:val="290"/>
        </w:trPr>
        <w:tc>
          <w:tcPr>
            <w:tcW w:w="2360" w:type="dxa"/>
            <w:vAlign w:val="bottom"/>
          </w:tcPr>
          <w:p>
            <w:pPr>
              <w:spacing w:after="0"/>
              <w:rPr>
                <w:sz w:val="24"/>
                <w:szCs w:val="24"/>
                <w:color w:val="auto"/>
              </w:rPr>
            </w:pPr>
          </w:p>
        </w:tc>
        <w:tc>
          <w:tcPr>
            <w:tcW w:w="136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PSUs — TSR</w:t>
            </w:r>
            <w:r>
              <w:rPr>
                <w:rFonts w:ascii="Arial" w:cs="Arial" w:eastAsia="Arial" w:hAnsi="Arial"/>
                <w:sz w:val="22"/>
                <w:szCs w:val="22"/>
                <w:color w:val="auto"/>
                <w:vertAlign w:val="superscript"/>
              </w:rPr>
              <w:t>(6)</w:t>
            </w:r>
          </w:p>
        </w:tc>
        <w:tc>
          <w:tcPr>
            <w:tcW w:w="4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9/4/19</w:t>
            </w:r>
          </w:p>
        </w:tc>
        <w:tc>
          <w:tcPr>
            <w:tcW w:w="7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2,370</w:t>
            </w:r>
          </w:p>
        </w:tc>
        <w:tc>
          <w:tcPr>
            <w:tcW w:w="58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9,480</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18,960</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938,236</w:t>
            </w:r>
          </w:p>
        </w:tc>
        <w:tc>
          <w:tcPr>
            <w:tcW w:w="0" w:type="dxa"/>
            <w:vAlign w:val="bottom"/>
          </w:tcPr>
          <w:p>
            <w:pPr>
              <w:spacing w:after="0"/>
              <w:rPr>
                <w:sz w:val="1"/>
                <w:szCs w:val="1"/>
                <w:color w:val="auto"/>
              </w:rPr>
            </w:pPr>
          </w:p>
        </w:tc>
      </w:tr>
      <w:tr>
        <w:trPr>
          <w:trHeight w:val="290"/>
        </w:trPr>
        <w:tc>
          <w:tcPr>
            <w:tcW w:w="2360" w:type="dxa"/>
            <w:vAlign w:val="bottom"/>
            <w:tcBorders>
              <w:bottom w:val="single" w:sz="8" w:color="959595"/>
            </w:tcBorders>
          </w:tcPr>
          <w:p>
            <w:pPr>
              <w:spacing w:after="0"/>
              <w:rPr>
                <w:sz w:val="24"/>
                <w:szCs w:val="24"/>
                <w:color w:val="auto"/>
              </w:rPr>
            </w:pPr>
          </w:p>
        </w:tc>
        <w:tc>
          <w:tcPr>
            <w:tcW w:w="136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RSUs</w:t>
            </w:r>
            <w:r>
              <w:rPr>
                <w:rFonts w:ascii="Arial" w:cs="Arial" w:eastAsia="Arial" w:hAnsi="Arial"/>
                <w:sz w:val="22"/>
                <w:szCs w:val="22"/>
                <w:color w:val="auto"/>
                <w:vertAlign w:val="superscript"/>
              </w:rPr>
              <w:t>(7)</w:t>
            </w:r>
          </w:p>
        </w:tc>
        <w:tc>
          <w:tcPr>
            <w:tcW w:w="4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9/4/19</w:t>
            </w:r>
          </w:p>
        </w:tc>
        <w:tc>
          <w:tcPr>
            <w:tcW w:w="7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18,961</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1,124,956</w:t>
            </w:r>
          </w:p>
        </w:tc>
        <w:tc>
          <w:tcPr>
            <w:tcW w:w="0" w:type="dxa"/>
            <w:vAlign w:val="bottom"/>
          </w:tcPr>
          <w:p>
            <w:pPr>
              <w:spacing w:after="0"/>
              <w:rPr>
                <w:sz w:val="1"/>
                <w:szCs w:val="1"/>
                <w:color w:val="auto"/>
              </w:rPr>
            </w:pPr>
          </w:p>
        </w:tc>
      </w:tr>
      <w:tr>
        <w:trPr>
          <w:trHeight w:val="196"/>
        </w:trPr>
        <w:tc>
          <w:tcPr>
            <w:tcW w:w="2360" w:type="dxa"/>
            <w:vAlign w:val="bottom"/>
          </w:tcPr>
          <w:p>
            <w:pPr>
              <w:ind w:left="40"/>
              <w:spacing w:after="0"/>
              <w:rPr>
                <w:sz w:val="20"/>
                <w:szCs w:val="20"/>
                <w:color w:val="auto"/>
              </w:rPr>
            </w:pPr>
            <w:r>
              <w:rPr>
                <w:rFonts w:ascii="Arial" w:cs="Arial" w:eastAsia="Arial" w:hAnsi="Arial"/>
                <w:sz w:val="13"/>
                <w:szCs w:val="13"/>
                <w:b w:val="1"/>
                <w:bCs w:val="1"/>
                <w:color w:val="23628F"/>
              </w:rPr>
              <w:t>Stephen D. Milligan</w:t>
            </w:r>
          </w:p>
        </w:tc>
        <w:tc>
          <w:tcPr>
            <w:tcW w:w="1360" w:type="dxa"/>
            <w:vAlign w:val="bottom"/>
          </w:tcPr>
          <w:p>
            <w:pPr>
              <w:ind w:left="900"/>
              <w:spacing w:after="0"/>
              <w:rPr>
                <w:sz w:val="20"/>
                <w:szCs w:val="20"/>
                <w:color w:val="auto"/>
              </w:rPr>
            </w:pPr>
            <w:r>
              <w:rPr>
                <w:rFonts w:ascii="Arial" w:cs="Arial" w:eastAsia="Arial" w:hAnsi="Arial"/>
                <w:sz w:val="13"/>
                <w:szCs w:val="13"/>
                <w:color w:val="auto"/>
              </w:rPr>
              <w:t>STI</w:t>
            </w:r>
          </w:p>
        </w:tc>
        <w:tc>
          <w:tcPr>
            <w:tcW w:w="460" w:type="dxa"/>
            <w:vAlign w:val="bottom"/>
          </w:tcPr>
          <w:p>
            <w:pPr>
              <w:jc w:val="right"/>
              <w:spacing w:after="0"/>
              <w:rPr>
                <w:sz w:val="20"/>
                <w:szCs w:val="20"/>
                <w:color w:val="auto"/>
              </w:rPr>
            </w:pPr>
            <w:r>
              <w:rPr>
                <w:rFonts w:ascii="Arial" w:cs="Arial" w:eastAsia="Arial" w:hAnsi="Arial"/>
                <w:sz w:val="13"/>
                <w:szCs w:val="13"/>
                <w:color w:val="auto"/>
              </w:rPr>
              <w:t>8/6/19</w:t>
            </w:r>
          </w:p>
        </w:tc>
        <w:tc>
          <w:tcPr>
            <w:tcW w:w="760" w:type="dxa"/>
            <w:vAlign w:val="bottom"/>
          </w:tcPr>
          <w:p>
            <w:pPr>
              <w:jc w:val="right"/>
              <w:spacing w:after="0"/>
              <w:rPr>
                <w:sz w:val="20"/>
                <w:szCs w:val="20"/>
                <w:color w:val="auto"/>
              </w:rPr>
            </w:pPr>
            <w:r>
              <w:rPr>
                <w:rFonts w:ascii="Arial" w:cs="Arial" w:eastAsia="Arial" w:hAnsi="Arial"/>
                <w:sz w:val="13"/>
                <w:szCs w:val="13"/>
                <w:color w:val="auto"/>
              </w:rPr>
              <w:t>937,500</w:t>
            </w:r>
          </w:p>
        </w:tc>
        <w:tc>
          <w:tcPr>
            <w:tcW w:w="680" w:type="dxa"/>
            <w:vAlign w:val="bottom"/>
          </w:tcPr>
          <w:p>
            <w:pPr>
              <w:jc w:val="right"/>
              <w:spacing w:after="0"/>
              <w:rPr>
                <w:sz w:val="20"/>
                <w:szCs w:val="20"/>
                <w:color w:val="auto"/>
              </w:rPr>
            </w:pPr>
            <w:r>
              <w:rPr>
                <w:rFonts w:ascii="Arial" w:cs="Arial" w:eastAsia="Arial" w:hAnsi="Arial"/>
                <w:sz w:val="13"/>
                <w:szCs w:val="13"/>
                <w:color w:val="auto"/>
              </w:rPr>
              <w:t>1,875,000</w:t>
            </w:r>
          </w:p>
        </w:tc>
        <w:tc>
          <w:tcPr>
            <w:tcW w:w="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3,750,000</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1"/>
        </w:trPr>
        <w:tc>
          <w:tcPr>
            <w:tcW w:w="2360" w:type="dxa"/>
            <w:vAlign w:val="bottom"/>
          </w:tcPr>
          <w:p>
            <w:pPr>
              <w:spacing w:after="0"/>
              <w:rPr>
                <w:sz w:val="3"/>
                <w:szCs w:val="3"/>
                <w:color w:val="auto"/>
              </w:rPr>
            </w:pPr>
          </w:p>
        </w:tc>
        <w:tc>
          <w:tcPr>
            <w:tcW w:w="1360" w:type="dxa"/>
            <w:vAlign w:val="bottom"/>
            <w:tcBorders>
              <w:bottom w:val="single" w:sz="8" w:color="959595"/>
            </w:tcBorders>
          </w:tcPr>
          <w:p>
            <w:pPr>
              <w:spacing w:after="0"/>
              <w:rPr>
                <w:sz w:val="3"/>
                <w:szCs w:val="3"/>
                <w:color w:val="auto"/>
              </w:rPr>
            </w:pPr>
          </w:p>
        </w:tc>
        <w:tc>
          <w:tcPr>
            <w:tcW w:w="460" w:type="dxa"/>
            <w:vAlign w:val="bottom"/>
            <w:tcBorders>
              <w:bottom w:val="single" w:sz="8" w:color="959595"/>
            </w:tcBorders>
          </w:tcPr>
          <w:p>
            <w:pPr>
              <w:spacing w:after="0"/>
              <w:rPr>
                <w:sz w:val="3"/>
                <w:szCs w:val="3"/>
                <w:color w:val="auto"/>
              </w:rPr>
            </w:pPr>
          </w:p>
        </w:tc>
        <w:tc>
          <w:tcPr>
            <w:tcW w:w="760" w:type="dxa"/>
            <w:vAlign w:val="bottom"/>
            <w:tcBorders>
              <w:bottom w:val="single" w:sz="8" w:color="959595"/>
            </w:tcBorders>
          </w:tcPr>
          <w:p>
            <w:pPr>
              <w:spacing w:after="0"/>
              <w:rPr>
                <w:sz w:val="3"/>
                <w:szCs w:val="3"/>
                <w:color w:val="auto"/>
              </w:rPr>
            </w:pPr>
          </w:p>
        </w:tc>
        <w:tc>
          <w:tcPr>
            <w:tcW w:w="680" w:type="dxa"/>
            <w:vAlign w:val="bottom"/>
            <w:tcBorders>
              <w:bottom w:val="single" w:sz="8" w:color="959595"/>
            </w:tcBorders>
          </w:tcPr>
          <w:p>
            <w:pPr>
              <w:spacing w:after="0"/>
              <w:rPr>
                <w:sz w:val="3"/>
                <w:szCs w:val="3"/>
                <w:color w:val="auto"/>
              </w:rPr>
            </w:pPr>
          </w:p>
        </w:tc>
        <w:tc>
          <w:tcPr>
            <w:tcW w:w="60" w:type="dxa"/>
            <w:vAlign w:val="bottom"/>
            <w:tcBorders>
              <w:bottom w:val="single" w:sz="8" w:color="959595"/>
            </w:tcBorders>
          </w:tcPr>
          <w:p>
            <w:pPr>
              <w:spacing w:after="0"/>
              <w:rPr>
                <w:sz w:val="3"/>
                <w:szCs w:val="3"/>
                <w:color w:val="auto"/>
              </w:rPr>
            </w:pPr>
          </w:p>
        </w:tc>
        <w:tc>
          <w:tcPr>
            <w:tcW w:w="680" w:type="dxa"/>
            <w:vAlign w:val="bottom"/>
            <w:tcBorders>
              <w:bottom w:val="single" w:sz="8" w:color="959595"/>
            </w:tcBorders>
          </w:tcPr>
          <w:p>
            <w:pPr>
              <w:spacing w:after="0"/>
              <w:rPr>
                <w:sz w:val="3"/>
                <w:szCs w:val="3"/>
                <w:color w:val="auto"/>
              </w:rPr>
            </w:pPr>
          </w:p>
        </w:tc>
        <w:tc>
          <w:tcPr>
            <w:tcW w:w="760" w:type="dxa"/>
            <w:vAlign w:val="bottom"/>
            <w:tcBorders>
              <w:bottom w:val="single" w:sz="8" w:color="959595"/>
            </w:tcBorders>
          </w:tcPr>
          <w:p>
            <w:pPr>
              <w:spacing w:after="0"/>
              <w:rPr>
                <w:sz w:val="3"/>
                <w:szCs w:val="3"/>
                <w:color w:val="auto"/>
              </w:rPr>
            </w:pPr>
          </w:p>
        </w:tc>
        <w:tc>
          <w:tcPr>
            <w:tcW w:w="580" w:type="dxa"/>
            <w:vAlign w:val="bottom"/>
            <w:tcBorders>
              <w:bottom w:val="single" w:sz="8" w:color="959595"/>
            </w:tcBorders>
          </w:tcPr>
          <w:p>
            <w:pPr>
              <w:spacing w:after="0"/>
              <w:rPr>
                <w:sz w:val="3"/>
                <w:szCs w:val="3"/>
                <w:color w:val="auto"/>
              </w:rPr>
            </w:pPr>
          </w:p>
        </w:tc>
        <w:tc>
          <w:tcPr>
            <w:tcW w:w="740" w:type="dxa"/>
            <w:vAlign w:val="bottom"/>
            <w:tcBorders>
              <w:bottom w:val="single" w:sz="8" w:color="959595"/>
            </w:tcBorders>
          </w:tcPr>
          <w:p>
            <w:pPr>
              <w:spacing w:after="0"/>
              <w:rPr>
                <w:sz w:val="3"/>
                <w:szCs w:val="3"/>
                <w:color w:val="auto"/>
              </w:rPr>
            </w:pPr>
          </w:p>
        </w:tc>
        <w:tc>
          <w:tcPr>
            <w:tcW w:w="720" w:type="dxa"/>
            <w:vAlign w:val="bottom"/>
            <w:tcBorders>
              <w:bottom w:val="single" w:sz="8" w:color="959595"/>
            </w:tcBorders>
          </w:tcPr>
          <w:p>
            <w:pPr>
              <w:spacing w:after="0"/>
              <w:rPr>
                <w:sz w:val="3"/>
                <w:szCs w:val="3"/>
                <w:color w:val="auto"/>
              </w:rPr>
            </w:pPr>
          </w:p>
        </w:tc>
        <w:tc>
          <w:tcPr>
            <w:tcW w:w="740" w:type="dxa"/>
            <w:vAlign w:val="bottom"/>
            <w:tcBorders>
              <w:bottom w:val="single" w:sz="8" w:color="959595"/>
            </w:tcBorders>
          </w:tcPr>
          <w:p>
            <w:pPr>
              <w:spacing w:after="0"/>
              <w:rPr>
                <w:sz w:val="3"/>
                <w:szCs w:val="3"/>
                <w:color w:val="auto"/>
              </w:rPr>
            </w:pPr>
          </w:p>
        </w:tc>
        <w:tc>
          <w:tcPr>
            <w:tcW w:w="600" w:type="dxa"/>
            <w:vAlign w:val="bottom"/>
            <w:tcBorders>
              <w:bottom w:val="single" w:sz="8" w:color="959595"/>
            </w:tcBorders>
          </w:tcPr>
          <w:p>
            <w:pPr>
              <w:spacing w:after="0"/>
              <w:rPr>
                <w:sz w:val="3"/>
                <w:szCs w:val="3"/>
                <w:color w:val="auto"/>
              </w:rPr>
            </w:pPr>
          </w:p>
        </w:tc>
        <w:tc>
          <w:tcPr>
            <w:tcW w:w="74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2360" w:type="dxa"/>
            <w:vAlign w:val="bottom"/>
          </w:tcPr>
          <w:p>
            <w:pPr>
              <w:spacing w:after="0"/>
              <w:rPr>
                <w:sz w:val="24"/>
                <w:szCs w:val="24"/>
                <w:color w:val="auto"/>
              </w:rPr>
            </w:pPr>
          </w:p>
        </w:tc>
        <w:tc>
          <w:tcPr>
            <w:tcW w:w="136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PSUs — Financial</w:t>
            </w:r>
            <w:r>
              <w:rPr>
                <w:rFonts w:ascii="Arial" w:cs="Arial" w:eastAsia="Arial" w:hAnsi="Arial"/>
                <w:sz w:val="22"/>
                <w:szCs w:val="22"/>
                <w:color w:val="auto"/>
                <w:vertAlign w:val="superscript"/>
              </w:rPr>
              <w:t>(5)</w:t>
            </w:r>
          </w:p>
        </w:tc>
        <w:tc>
          <w:tcPr>
            <w:tcW w:w="4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9/4/19</w:t>
            </w:r>
          </w:p>
        </w:tc>
        <w:tc>
          <w:tcPr>
            <w:tcW w:w="7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30,339</w:t>
            </w:r>
          </w:p>
        </w:tc>
        <w:tc>
          <w:tcPr>
            <w:tcW w:w="58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60,677</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121,354</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3,599,966</w:t>
            </w:r>
          </w:p>
        </w:tc>
        <w:tc>
          <w:tcPr>
            <w:tcW w:w="0" w:type="dxa"/>
            <w:vAlign w:val="bottom"/>
          </w:tcPr>
          <w:p>
            <w:pPr>
              <w:spacing w:after="0"/>
              <w:rPr>
                <w:sz w:val="1"/>
                <w:szCs w:val="1"/>
                <w:color w:val="auto"/>
              </w:rPr>
            </w:pPr>
          </w:p>
        </w:tc>
      </w:tr>
      <w:tr>
        <w:trPr>
          <w:trHeight w:val="290"/>
        </w:trPr>
        <w:tc>
          <w:tcPr>
            <w:tcW w:w="2360" w:type="dxa"/>
            <w:vAlign w:val="bottom"/>
          </w:tcPr>
          <w:p>
            <w:pPr>
              <w:spacing w:after="0"/>
              <w:rPr>
                <w:sz w:val="24"/>
                <w:szCs w:val="24"/>
                <w:color w:val="auto"/>
              </w:rPr>
            </w:pPr>
          </w:p>
        </w:tc>
        <w:tc>
          <w:tcPr>
            <w:tcW w:w="136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PSUs — TSR</w:t>
            </w:r>
            <w:r>
              <w:rPr>
                <w:rFonts w:ascii="Arial" w:cs="Arial" w:eastAsia="Arial" w:hAnsi="Arial"/>
                <w:sz w:val="22"/>
                <w:szCs w:val="22"/>
                <w:color w:val="auto"/>
                <w:vertAlign w:val="superscript"/>
              </w:rPr>
              <w:t>(6)</w:t>
            </w:r>
          </w:p>
        </w:tc>
        <w:tc>
          <w:tcPr>
            <w:tcW w:w="4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9/4/19</w:t>
            </w:r>
          </w:p>
        </w:tc>
        <w:tc>
          <w:tcPr>
            <w:tcW w:w="7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15,169</w:t>
            </w:r>
          </w:p>
        </w:tc>
        <w:tc>
          <w:tcPr>
            <w:tcW w:w="58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60,677</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121,354</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6,005,203</w:t>
            </w:r>
          </w:p>
        </w:tc>
        <w:tc>
          <w:tcPr>
            <w:tcW w:w="0" w:type="dxa"/>
            <w:vAlign w:val="bottom"/>
          </w:tcPr>
          <w:p>
            <w:pPr>
              <w:spacing w:after="0"/>
              <w:rPr>
                <w:sz w:val="1"/>
                <w:szCs w:val="1"/>
                <w:color w:val="auto"/>
              </w:rPr>
            </w:pPr>
          </w:p>
        </w:tc>
      </w:tr>
      <w:tr>
        <w:trPr>
          <w:trHeight w:val="290"/>
        </w:trPr>
        <w:tc>
          <w:tcPr>
            <w:tcW w:w="2360" w:type="dxa"/>
            <w:vAlign w:val="bottom"/>
            <w:tcBorders>
              <w:bottom w:val="single" w:sz="8" w:color="959595"/>
            </w:tcBorders>
          </w:tcPr>
          <w:p>
            <w:pPr>
              <w:spacing w:after="0"/>
              <w:rPr>
                <w:sz w:val="24"/>
                <w:szCs w:val="24"/>
                <w:color w:val="auto"/>
              </w:rPr>
            </w:pPr>
          </w:p>
        </w:tc>
        <w:tc>
          <w:tcPr>
            <w:tcW w:w="136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RSUs</w:t>
            </w:r>
            <w:r>
              <w:rPr>
                <w:rFonts w:ascii="Arial" w:cs="Arial" w:eastAsia="Arial" w:hAnsi="Arial"/>
                <w:sz w:val="22"/>
                <w:szCs w:val="22"/>
                <w:color w:val="auto"/>
                <w:vertAlign w:val="superscript"/>
              </w:rPr>
              <w:t>(7)</w:t>
            </w:r>
          </w:p>
        </w:tc>
        <w:tc>
          <w:tcPr>
            <w:tcW w:w="4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9/4/19</w:t>
            </w:r>
          </w:p>
        </w:tc>
        <w:tc>
          <w:tcPr>
            <w:tcW w:w="7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80,903</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4,799,975</w:t>
            </w:r>
          </w:p>
        </w:tc>
        <w:tc>
          <w:tcPr>
            <w:tcW w:w="0" w:type="dxa"/>
            <w:vAlign w:val="bottom"/>
          </w:tcPr>
          <w:p>
            <w:pPr>
              <w:spacing w:after="0"/>
              <w:rPr>
                <w:sz w:val="1"/>
                <w:szCs w:val="1"/>
                <w:color w:val="auto"/>
              </w:rPr>
            </w:pPr>
          </w:p>
        </w:tc>
      </w:tr>
      <w:tr>
        <w:trPr>
          <w:trHeight w:val="196"/>
        </w:trPr>
        <w:tc>
          <w:tcPr>
            <w:tcW w:w="2360" w:type="dxa"/>
            <w:vAlign w:val="bottom"/>
          </w:tcPr>
          <w:p>
            <w:pPr>
              <w:ind w:left="40"/>
              <w:spacing w:after="0"/>
              <w:rPr>
                <w:sz w:val="20"/>
                <w:szCs w:val="20"/>
                <w:color w:val="auto"/>
              </w:rPr>
            </w:pPr>
            <w:r>
              <w:rPr>
                <w:rFonts w:ascii="Arial" w:cs="Arial" w:eastAsia="Arial" w:hAnsi="Arial"/>
                <w:sz w:val="13"/>
                <w:szCs w:val="13"/>
                <w:b w:val="1"/>
                <w:bCs w:val="1"/>
                <w:color w:val="23628F"/>
              </w:rPr>
              <w:t>Michael D. Cordano</w:t>
            </w:r>
          </w:p>
        </w:tc>
        <w:tc>
          <w:tcPr>
            <w:tcW w:w="1360" w:type="dxa"/>
            <w:vAlign w:val="bottom"/>
          </w:tcPr>
          <w:p>
            <w:pPr>
              <w:ind w:left="900"/>
              <w:spacing w:after="0"/>
              <w:rPr>
                <w:sz w:val="20"/>
                <w:szCs w:val="20"/>
                <w:color w:val="auto"/>
              </w:rPr>
            </w:pPr>
            <w:r>
              <w:rPr>
                <w:rFonts w:ascii="Arial" w:cs="Arial" w:eastAsia="Arial" w:hAnsi="Arial"/>
                <w:sz w:val="13"/>
                <w:szCs w:val="13"/>
                <w:color w:val="auto"/>
              </w:rPr>
              <w:t>STI</w:t>
            </w:r>
          </w:p>
        </w:tc>
        <w:tc>
          <w:tcPr>
            <w:tcW w:w="460" w:type="dxa"/>
            <w:vAlign w:val="bottom"/>
          </w:tcPr>
          <w:p>
            <w:pPr>
              <w:jc w:val="right"/>
              <w:spacing w:after="0"/>
              <w:rPr>
                <w:sz w:val="20"/>
                <w:szCs w:val="20"/>
                <w:color w:val="auto"/>
              </w:rPr>
            </w:pPr>
            <w:r>
              <w:rPr>
                <w:rFonts w:ascii="Arial" w:cs="Arial" w:eastAsia="Arial" w:hAnsi="Arial"/>
                <w:sz w:val="13"/>
                <w:szCs w:val="13"/>
                <w:color w:val="auto"/>
              </w:rPr>
              <w:t>8/6/19</w:t>
            </w:r>
          </w:p>
        </w:tc>
        <w:tc>
          <w:tcPr>
            <w:tcW w:w="760" w:type="dxa"/>
            <w:vAlign w:val="bottom"/>
          </w:tcPr>
          <w:p>
            <w:pPr>
              <w:jc w:val="right"/>
              <w:spacing w:after="0"/>
              <w:rPr>
                <w:sz w:val="20"/>
                <w:szCs w:val="20"/>
                <w:color w:val="auto"/>
              </w:rPr>
            </w:pPr>
            <w:r>
              <w:rPr>
                <w:rFonts w:ascii="Arial" w:cs="Arial" w:eastAsia="Arial" w:hAnsi="Arial"/>
                <w:sz w:val="13"/>
                <w:szCs w:val="13"/>
                <w:color w:val="auto"/>
              </w:rPr>
              <w:t>500,000</w:t>
            </w:r>
          </w:p>
        </w:tc>
        <w:tc>
          <w:tcPr>
            <w:tcW w:w="680" w:type="dxa"/>
            <w:vAlign w:val="bottom"/>
          </w:tcPr>
          <w:p>
            <w:pPr>
              <w:jc w:val="right"/>
              <w:spacing w:after="0"/>
              <w:rPr>
                <w:sz w:val="20"/>
                <w:szCs w:val="20"/>
                <w:color w:val="auto"/>
              </w:rPr>
            </w:pPr>
            <w:r>
              <w:rPr>
                <w:rFonts w:ascii="Arial" w:cs="Arial" w:eastAsia="Arial" w:hAnsi="Arial"/>
                <w:sz w:val="13"/>
                <w:szCs w:val="13"/>
                <w:color w:val="auto"/>
              </w:rPr>
              <w:t>1,000,000</w:t>
            </w:r>
          </w:p>
        </w:tc>
        <w:tc>
          <w:tcPr>
            <w:tcW w:w="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2,000,000</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1"/>
        </w:trPr>
        <w:tc>
          <w:tcPr>
            <w:tcW w:w="2360" w:type="dxa"/>
            <w:vAlign w:val="bottom"/>
          </w:tcPr>
          <w:p>
            <w:pPr>
              <w:spacing w:after="0"/>
              <w:rPr>
                <w:sz w:val="3"/>
                <w:szCs w:val="3"/>
                <w:color w:val="auto"/>
              </w:rPr>
            </w:pPr>
          </w:p>
        </w:tc>
        <w:tc>
          <w:tcPr>
            <w:tcW w:w="1360" w:type="dxa"/>
            <w:vAlign w:val="bottom"/>
            <w:tcBorders>
              <w:bottom w:val="single" w:sz="8" w:color="959595"/>
            </w:tcBorders>
          </w:tcPr>
          <w:p>
            <w:pPr>
              <w:spacing w:after="0"/>
              <w:rPr>
                <w:sz w:val="3"/>
                <w:szCs w:val="3"/>
                <w:color w:val="auto"/>
              </w:rPr>
            </w:pPr>
          </w:p>
        </w:tc>
        <w:tc>
          <w:tcPr>
            <w:tcW w:w="460" w:type="dxa"/>
            <w:vAlign w:val="bottom"/>
            <w:tcBorders>
              <w:bottom w:val="single" w:sz="8" w:color="959595"/>
            </w:tcBorders>
          </w:tcPr>
          <w:p>
            <w:pPr>
              <w:spacing w:after="0"/>
              <w:rPr>
                <w:sz w:val="3"/>
                <w:szCs w:val="3"/>
                <w:color w:val="auto"/>
              </w:rPr>
            </w:pPr>
          </w:p>
        </w:tc>
        <w:tc>
          <w:tcPr>
            <w:tcW w:w="760" w:type="dxa"/>
            <w:vAlign w:val="bottom"/>
            <w:tcBorders>
              <w:bottom w:val="single" w:sz="8" w:color="959595"/>
            </w:tcBorders>
          </w:tcPr>
          <w:p>
            <w:pPr>
              <w:spacing w:after="0"/>
              <w:rPr>
                <w:sz w:val="3"/>
                <w:szCs w:val="3"/>
                <w:color w:val="auto"/>
              </w:rPr>
            </w:pPr>
          </w:p>
        </w:tc>
        <w:tc>
          <w:tcPr>
            <w:tcW w:w="680" w:type="dxa"/>
            <w:vAlign w:val="bottom"/>
            <w:tcBorders>
              <w:bottom w:val="single" w:sz="8" w:color="959595"/>
            </w:tcBorders>
          </w:tcPr>
          <w:p>
            <w:pPr>
              <w:spacing w:after="0"/>
              <w:rPr>
                <w:sz w:val="3"/>
                <w:szCs w:val="3"/>
                <w:color w:val="auto"/>
              </w:rPr>
            </w:pPr>
          </w:p>
        </w:tc>
        <w:tc>
          <w:tcPr>
            <w:tcW w:w="60" w:type="dxa"/>
            <w:vAlign w:val="bottom"/>
            <w:tcBorders>
              <w:bottom w:val="single" w:sz="8" w:color="959595"/>
            </w:tcBorders>
          </w:tcPr>
          <w:p>
            <w:pPr>
              <w:spacing w:after="0"/>
              <w:rPr>
                <w:sz w:val="3"/>
                <w:szCs w:val="3"/>
                <w:color w:val="auto"/>
              </w:rPr>
            </w:pPr>
          </w:p>
        </w:tc>
        <w:tc>
          <w:tcPr>
            <w:tcW w:w="680" w:type="dxa"/>
            <w:vAlign w:val="bottom"/>
            <w:tcBorders>
              <w:bottom w:val="single" w:sz="8" w:color="959595"/>
            </w:tcBorders>
          </w:tcPr>
          <w:p>
            <w:pPr>
              <w:spacing w:after="0"/>
              <w:rPr>
                <w:sz w:val="3"/>
                <w:szCs w:val="3"/>
                <w:color w:val="auto"/>
              </w:rPr>
            </w:pPr>
          </w:p>
        </w:tc>
        <w:tc>
          <w:tcPr>
            <w:tcW w:w="760" w:type="dxa"/>
            <w:vAlign w:val="bottom"/>
            <w:tcBorders>
              <w:bottom w:val="single" w:sz="8" w:color="959595"/>
            </w:tcBorders>
          </w:tcPr>
          <w:p>
            <w:pPr>
              <w:spacing w:after="0"/>
              <w:rPr>
                <w:sz w:val="3"/>
                <w:szCs w:val="3"/>
                <w:color w:val="auto"/>
              </w:rPr>
            </w:pPr>
          </w:p>
        </w:tc>
        <w:tc>
          <w:tcPr>
            <w:tcW w:w="580" w:type="dxa"/>
            <w:vAlign w:val="bottom"/>
            <w:tcBorders>
              <w:bottom w:val="single" w:sz="8" w:color="959595"/>
            </w:tcBorders>
          </w:tcPr>
          <w:p>
            <w:pPr>
              <w:spacing w:after="0"/>
              <w:rPr>
                <w:sz w:val="3"/>
                <w:szCs w:val="3"/>
                <w:color w:val="auto"/>
              </w:rPr>
            </w:pPr>
          </w:p>
        </w:tc>
        <w:tc>
          <w:tcPr>
            <w:tcW w:w="740" w:type="dxa"/>
            <w:vAlign w:val="bottom"/>
            <w:tcBorders>
              <w:bottom w:val="single" w:sz="8" w:color="959595"/>
            </w:tcBorders>
          </w:tcPr>
          <w:p>
            <w:pPr>
              <w:spacing w:after="0"/>
              <w:rPr>
                <w:sz w:val="3"/>
                <w:szCs w:val="3"/>
                <w:color w:val="auto"/>
              </w:rPr>
            </w:pPr>
          </w:p>
        </w:tc>
        <w:tc>
          <w:tcPr>
            <w:tcW w:w="720" w:type="dxa"/>
            <w:vAlign w:val="bottom"/>
            <w:tcBorders>
              <w:bottom w:val="single" w:sz="8" w:color="959595"/>
            </w:tcBorders>
          </w:tcPr>
          <w:p>
            <w:pPr>
              <w:spacing w:after="0"/>
              <w:rPr>
                <w:sz w:val="3"/>
                <w:szCs w:val="3"/>
                <w:color w:val="auto"/>
              </w:rPr>
            </w:pPr>
          </w:p>
        </w:tc>
        <w:tc>
          <w:tcPr>
            <w:tcW w:w="740" w:type="dxa"/>
            <w:vAlign w:val="bottom"/>
            <w:tcBorders>
              <w:bottom w:val="single" w:sz="8" w:color="959595"/>
            </w:tcBorders>
          </w:tcPr>
          <w:p>
            <w:pPr>
              <w:spacing w:after="0"/>
              <w:rPr>
                <w:sz w:val="3"/>
                <w:szCs w:val="3"/>
                <w:color w:val="auto"/>
              </w:rPr>
            </w:pPr>
          </w:p>
        </w:tc>
        <w:tc>
          <w:tcPr>
            <w:tcW w:w="600" w:type="dxa"/>
            <w:vAlign w:val="bottom"/>
            <w:tcBorders>
              <w:bottom w:val="single" w:sz="8" w:color="959595"/>
            </w:tcBorders>
          </w:tcPr>
          <w:p>
            <w:pPr>
              <w:spacing w:after="0"/>
              <w:rPr>
                <w:sz w:val="3"/>
                <w:szCs w:val="3"/>
                <w:color w:val="auto"/>
              </w:rPr>
            </w:pPr>
          </w:p>
        </w:tc>
        <w:tc>
          <w:tcPr>
            <w:tcW w:w="74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2360" w:type="dxa"/>
            <w:vAlign w:val="bottom"/>
          </w:tcPr>
          <w:p>
            <w:pPr>
              <w:spacing w:after="0"/>
              <w:rPr>
                <w:sz w:val="24"/>
                <w:szCs w:val="24"/>
                <w:color w:val="auto"/>
              </w:rPr>
            </w:pPr>
          </w:p>
        </w:tc>
        <w:tc>
          <w:tcPr>
            <w:tcW w:w="136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PSUs — Financial</w:t>
            </w:r>
            <w:r>
              <w:rPr>
                <w:rFonts w:ascii="Arial" w:cs="Arial" w:eastAsia="Arial" w:hAnsi="Arial"/>
                <w:sz w:val="22"/>
                <w:szCs w:val="22"/>
                <w:color w:val="auto"/>
                <w:vertAlign w:val="superscript"/>
              </w:rPr>
              <w:t>(5)</w:t>
            </w:r>
          </w:p>
        </w:tc>
        <w:tc>
          <w:tcPr>
            <w:tcW w:w="4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9/4/19</w:t>
            </w:r>
          </w:p>
        </w:tc>
        <w:tc>
          <w:tcPr>
            <w:tcW w:w="7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10,113</w:t>
            </w:r>
          </w:p>
        </w:tc>
        <w:tc>
          <w:tcPr>
            <w:tcW w:w="58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20,225</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40,450</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1,199,949</w:t>
            </w:r>
          </w:p>
        </w:tc>
        <w:tc>
          <w:tcPr>
            <w:tcW w:w="0" w:type="dxa"/>
            <w:vAlign w:val="bottom"/>
          </w:tcPr>
          <w:p>
            <w:pPr>
              <w:spacing w:after="0"/>
              <w:rPr>
                <w:sz w:val="1"/>
                <w:szCs w:val="1"/>
                <w:color w:val="auto"/>
              </w:rPr>
            </w:pPr>
          </w:p>
        </w:tc>
      </w:tr>
      <w:tr>
        <w:trPr>
          <w:trHeight w:val="290"/>
        </w:trPr>
        <w:tc>
          <w:tcPr>
            <w:tcW w:w="2360" w:type="dxa"/>
            <w:vAlign w:val="bottom"/>
          </w:tcPr>
          <w:p>
            <w:pPr>
              <w:spacing w:after="0"/>
              <w:rPr>
                <w:sz w:val="24"/>
                <w:szCs w:val="24"/>
                <w:color w:val="auto"/>
              </w:rPr>
            </w:pPr>
          </w:p>
        </w:tc>
        <w:tc>
          <w:tcPr>
            <w:tcW w:w="136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PSUs — TSR</w:t>
            </w:r>
            <w:r>
              <w:rPr>
                <w:rFonts w:ascii="Arial" w:cs="Arial" w:eastAsia="Arial" w:hAnsi="Arial"/>
                <w:sz w:val="22"/>
                <w:szCs w:val="22"/>
                <w:color w:val="auto"/>
                <w:vertAlign w:val="superscript"/>
              </w:rPr>
              <w:t>(6)</w:t>
            </w:r>
          </w:p>
        </w:tc>
        <w:tc>
          <w:tcPr>
            <w:tcW w:w="4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9/4/19</w:t>
            </w:r>
          </w:p>
        </w:tc>
        <w:tc>
          <w:tcPr>
            <w:tcW w:w="7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5,056</w:t>
            </w:r>
          </w:p>
        </w:tc>
        <w:tc>
          <w:tcPr>
            <w:tcW w:w="58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20,225</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40,450</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2,001,668</w:t>
            </w:r>
          </w:p>
        </w:tc>
        <w:tc>
          <w:tcPr>
            <w:tcW w:w="0" w:type="dxa"/>
            <w:vAlign w:val="bottom"/>
          </w:tcPr>
          <w:p>
            <w:pPr>
              <w:spacing w:after="0"/>
              <w:rPr>
                <w:sz w:val="1"/>
                <w:szCs w:val="1"/>
                <w:color w:val="auto"/>
              </w:rPr>
            </w:pPr>
          </w:p>
        </w:tc>
      </w:tr>
      <w:tr>
        <w:trPr>
          <w:trHeight w:val="290"/>
        </w:trPr>
        <w:tc>
          <w:tcPr>
            <w:tcW w:w="2360" w:type="dxa"/>
            <w:vAlign w:val="bottom"/>
            <w:tcBorders>
              <w:bottom w:val="single" w:sz="8" w:color="959595"/>
            </w:tcBorders>
          </w:tcPr>
          <w:p>
            <w:pPr>
              <w:spacing w:after="0"/>
              <w:rPr>
                <w:sz w:val="24"/>
                <w:szCs w:val="24"/>
                <w:color w:val="auto"/>
              </w:rPr>
            </w:pPr>
          </w:p>
        </w:tc>
        <w:tc>
          <w:tcPr>
            <w:tcW w:w="136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RSUs</w:t>
            </w:r>
            <w:r>
              <w:rPr>
                <w:rFonts w:ascii="Arial" w:cs="Arial" w:eastAsia="Arial" w:hAnsi="Arial"/>
                <w:sz w:val="22"/>
                <w:szCs w:val="22"/>
                <w:color w:val="auto"/>
                <w:vertAlign w:val="superscript"/>
              </w:rPr>
              <w:t>(7)</w:t>
            </w:r>
          </w:p>
        </w:tc>
        <w:tc>
          <w:tcPr>
            <w:tcW w:w="4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9/4/19</w:t>
            </w:r>
          </w:p>
        </w:tc>
        <w:tc>
          <w:tcPr>
            <w:tcW w:w="7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40,451</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2,399,958</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00" w:hanging="292"/>
        <w:spacing w:after="0"/>
        <w:tabs>
          <w:tab w:leader="none" w:pos="300" w:val="left"/>
        </w:tabs>
        <w:numPr>
          <w:ilvl w:val="0"/>
          <w:numId w:val="199"/>
        </w:numPr>
        <w:rPr>
          <w:rFonts w:ascii="Arial" w:cs="Arial" w:eastAsia="Arial" w:hAnsi="Arial"/>
          <w:sz w:val="11"/>
          <w:szCs w:val="11"/>
          <w:color w:val="auto"/>
        </w:rPr>
      </w:pPr>
      <w:r>
        <w:rPr>
          <w:rFonts w:ascii="Arial" w:cs="Arial" w:eastAsia="Arial" w:hAnsi="Arial"/>
          <w:sz w:val="13"/>
          <w:szCs w:val="13"/>
          <w:color w:val="auto"/>
        </w:rPr>
        <w:t>To help explain this table and the awards granted to our named executive officers in fiscal 2020, we included an additional column showing the type of award granted.</w:t>
      </w:r>
    </w:p>
    <w:p>
      <w:pPr>
        <w:spacing w:after="0" w:line="12" w:lineRule="exact"/>
        <w:rPr>
          <w:rFonts w:ascii="Arial" w:cs="Arial" w:eastAsia="Arial" w:hAnsi="Arial"/>
          <w:sz w:val="11"/>
          <w:szCs w:val="11"/>
          <w:color w:val="auto"/>
        </w:rPr>
      </w:pPr>
    </w:p>
    <w:p>
      <w:pPr>
        <w:ind w:left="300" w:right="20" w:hanging="292"/>
        <w:spacing w:after="0" w:line="241" w:lineRule="auto"/>
        <w:tabs>
          <w:tab w:leader="none" w:pos="300" w:val="left"/>
        </w:tabs>
        <w:numPr>
          <w:ilvl w:val="0"/>
          <w:numId w:val="199"/>
        </w:numPr>
        <w:rPr>
          <w:rFonts w:ascii="Arial" w:cs="Arial" w:eastAsia="Arial" w:hAnsi="Arial"/>
          <w:sz w:val="11"/>
          <w:szCs w:val="11"/>
          <w:color w:val="auto"/>
        </w:rPr>
      </w:pPr>
      <w:r>
        <w:rPr>
          <w:rFonts w:ascii="Arial" w:cs="Arial" w:eastAsia="Arial" w:hAnsi="Arial"/>
          <w:sz w:val="13"/>
          <w:szCs w:val="13"/>
          <w:color w:val="auto"/>
        </w:rPr>
        <w:t>The amounts shown reflect the grant date fair value of the award computed in accordance with ASC 718. These amounts were calculated based on the assumptions described in Note 12 in the Notes to Consolidated Financial Statements included in our Annual Report on Form 10-K for fiscal 2020. The grant date of each award, other than the RSU and PSU awards to Mr. Goeckeler, is September 4, 2019, the date on which the award was approved by the Compensation and Talent Committee. The grant date fair value for such PSU awards subject to financial goals, at the target level, is based on the closing price of our common stock on the Nasdaq Stock Market on September 4, 2019 ($59.33). The grant date fair value for such PSU awards subject to relative TSR performance, at the probable outcome, is based on the value of our common stock on September 4, 2019 using a Monte Carlo simulation, which resulted in a simulated award value of $98.97 per share based on certain assumptions. The grant date of the RSU and PSU awards to Mr. Goeckeler is March 9, 2020, the date on which</w:t>
      </w:r>
    </w:p>
    <w:p>
      <w:pPr>
        <w:spacing w:after="0" w:line="337" w:lineRule="exact"/>
        <w:rPr>
          <w:sz w:val="20"/>
          <w:szCs w:val="20"/>
          <w:color w:val="auto"/>
        </w:rPr>
      </w:pPr>
    </w:p>
    <w:p>
      <w:pPr>
        <w:ind w:left="9120"/>
        <w:spacing w:after="0"/>
        <w:tabs>
          <w:tab w:leader="none" w:pos="11020" w:val="left"/>
        </w:tabs>
        <w:rPr>
          <w:sz w:val="20"/>
          <w:szCs w:val="20"/>
          <w:color w:val="auto"/>
        </w:rPr>
      </w:pPr>
      <w:r>
        <w:rPr>
          <w:rFonts w:ascii="Arial" w:cs="Arial" w:eastAsia="Arial" w:hAnsi="Arial"/>
          <w:sz w:val="13"/>
          <w:szCs w:val="13"/>
          <w:color w:val="23628F"/>
        </w:rPr>
        <w:t>2020 PROXY STATEMENT</w:t>
      </w:r>
      <w:r>
        <w:rPr>
          <w:sz w:val="20"/>
          <w:szCs w:val="20"/>
          <w:color w:val="auto"/>
        </w:rPr>
        <w:tab/>
      </w:r>
      <w:r>
        <w:rPr>
          <w:rFonts w:ascii="Arial" w:cs="Arial" w:eastAsia="Arial" w:hAnsi="Arial"/>
          <w:sz w:val="16"/>
          <w:szCs w:val="16"/>
          <w:b w:val="1"/>
          <w:bCs w:val="1"/>
          <w:color w:val="23628F"/>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153275" cy="215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23628F"/>
        </w:rPr>
        <w:t>COMPENSATION DISCUSSION AND ANALYSIS</w:t>
      </w:r>
    </w:p>
    <w:p>
      <w:pPr>
        <w:spacing w:after="0" w:line="215" w:lineRule="exact"/>
        <w:rPr>
          <w:sz w:val="20"/>
          <w:szCs w:val="20"/>
          <w:color w:val="auto"/>
        </w:rPr>
      </w:pPr>
    </w:p>
    <w:p>
      <w:pPr>
        <w:ind w:left="300" w:right="160"/>
        <w:spacing w:after="0"/>
        <w:rPr>
          <w:sz w:val="20"/>
          <w:szCs w:val="20"/>
          <w:color w:val="auto"/>
        </w:rPr>
      </w:pPr>
      <w:r>
        <w:rPr>
          <w:rFonts w:ascii="Arial" w:cs="Arial" w:eastAsia="Arial" w:hAnsi="Arial"/>
          <w:sz w:val="13"/>
          <w:szCs w:val="13"/>
          <w:color w:val="auto"/>
        </w:rPr>
        <w:t>Mr. Goeckeler commenced employment with our company. The grant date fair value for Mr. Goeckeler’s PSU award subject to relative TSR performance, at the probable outcome, is based on the value of our common stock on March 9, 2020 using a Monte Carlo simulation, which resulted in a simulated award value of $48.88 per share based on certain assumptions.</w:t>
      </w:r>
    </w:p>
    <w:p>
      <w:pPr>
        <w:spacing w:after="0" w:line="147" w:lineRule="exact"/>
        <w:rPr>
          <w:sz w:val="20"/>
          <w:szCs w:val="20"/>
          <w:color w:val="auto"/>
        </w:rPr>
      </w:pPr>
    </w:p>
    <w:p>
      <w:pPr>
        <w:ind w:left="300" w:right="180" w:hanging="292"/>
        <w:spacing w:after="0"/>
        <w:tabs>
          <w:tab w:leader="none" w:pos="300" w:val="left"/>
        </w:tabs>
        <w:numPr>
          <w:ilvl w:val="0"/>
          <w:numId w:val="200"/>
        </w:numPr>
        <w:rPr>
          <w:rFonts w:ascii="Arial" w:cs="Arial" w:eastAsia="Arial" w:hAnsi="Arial"/>
          <w:sz w:val="11"/>
          <w:szCs w:val="11"/>
          <w:color w:val="auto"/>
        </w:rPr>
      </w:pPr>
      <w:r>
        <w:rPr>
          <w:rFonts w:ascii="Arial" w:cs="Arial" w:eastAsia="Arial" w:hAnsi="Arial"/>
          <w:sz w:val="13"/>
          <w:szCs w:val="13"/>
          <w:color w:val="auto"/>
        </w:rPr>
        <w:t>Represents a transition PSU award granted to Mr. Goeckeler for the three-year performance period that begins on March 9, 2020 and ends March 8, 2023, subject to cliff vesting at March 8, 2023 based on our relative TSR performance that corresponds to specific payout percentages ranging between 0% and 150% of the target number of stock units subject to the award.</w:t>
      </w:r>
    </w:p>
    <w:p>
      <w:pPr>
        <w:spacing w:after="0" w:line="146" w:lineRule="exact"/>
        <w:rPr>
          <w:rFonts w:ascii="Arial" w:cs="Arial" w:eastAsia="Arial" w:hAnsi="Arial"/>
          <w:sz w:val="11"/>
          <w:szCs w:val="11"/>
          <w:color w:val="auto"/>
        </w:rPr>
      </w:pPr>
    </w:p>
    <w:p>
      <w:pPr>
        <w:ind w:left="300" w:hanging="292"/>
        <w:spacing w:after="0" w:line="238" w:lineRule="auto"/>
        <w:tabs>
          <w:tab w:leader="none" w:pos="300" w:val="left"/>
        </w:tabs>
        <w:numPr>
          <w:ilvl w:val="0"/>
          <w:numId w:val="200"/>
        </w:numPr>
        <w:rPr>
          <w:rFonts w:ascii="Arial" w:cs="Arial" w:eastAsia="Arial" w:hAnsi="Arial"/>
          <w:sz w:val="11"/>
          <w:szCs w:val="11"/>
          <w:color w:val="auto"/>
        </w:rPr>
      </w:pPr>
      <w:r>
        <w:rPr>
          <w:rFonts w:ascii="Arial" w:cs="Arial" w:eastAsia="Arial" w:hAnsi="Arial"/>
          <w:sz w:val="13"/>
          <w:szCs w:val="13"/>
          <w:color w:val="auto"/>
        </w:rPr>
        <w:t>Represents a transition RSU award granted to Mr. Goeckeler, which is scheduled to vest ratably over two years. See the section entitled “—Description of Compensation Arrangements for Named Executive Officers—Equity-Based Awards” below for more information about this award.</w:t>
      </w:r>
    </w:p>
    <w:p>
      <w:pPr>
        <w:ind w:left="300" w:right="220" w:hanging="292"/>
        <w:spacing w:after="0" w:line="238" w:lineRule="auto"/>
        <w:tabs>
          <w:tab w:leader="none" w:pos="300" w:val="left"/>
        </w:tabs>
        <w:numPr>
          <w:ilvl w:val="0"/>
          <w:numId w:val="200"/>
        </w:numPr>
        <w:rPr>
          <w:rFonts w:ascii="Arial" w:cs="Arial" w:eastAsia="Arial" w:hAnsi="Arial"/>
          <w:sz w:val="11"/>
          <w:szCs w:val="11"/>
          <w:color w:val="auto"/>
        </w:rPr>
      </w:pPr>
      <w:r>
        <w:rPr>
          <w:rFonts w:ascii="Arial" w:cs="Arial" w:eastAsia="Arial" w:hAnsi="Arial"/>
          <w:sz w:val="13"/>
          <w:szCs w:val="13"/>
          <w:color w:val="auto"/>
        </w:rPr>
        <w:t>Represents an annual LTI PSU award granted to the named executive officer for the two-year performance period covering fiscal 2020 and 2021 and three-year performance period covering fiscal 2020 through 2022, subject to cliff vesting at September 4, 2022, based on our achievement of specified revenue and non-GAAP EPS performance goals that correspond to specific payout percentages ranging between 0% and 200% of the target number of stock units subject to the award.</w:t>
      </w:r>
    </w:p>
    <w:p>
      <w:pPr>
        <w:ind w:left="300" w:right="100" w:hanging="292"/>
        <w:spacing w:after="0" w:line="238" w:lineRule="auto"/>
        <w:tabs>
          <w:tab w:leader="none" w:pos="300" w:val="left"/>
        </w:tabs>
        <w:numPr>
          <w:ilvl w:val="0"/>
          <w:numId w:val="200"/>
        </w:numPr>
        <w:rPr>
          <w:rFonts w:ascii="Arial" w:cs="Arial" w:eastAsia="Arial" w:hAnsi="Arial"/>
          <w:sz w:val="11"/>
          <w:szCs w:val="11"/>
          <w:color w:val="auto"/>
        </w:rPr>
      </w:pPr>
      <w:r>
        <w:rPr>
          <w:rFonts w:ascii="Arial" w:cs="Arial" w:eastAsia="Arial" w:hAnsi="Arial"/>
          <w:sz w:val="13"/>
          <w:szCs w:val="13"/>
          <w:color w:val="auto"/>
        </w:rPr>
        <w:t>Represents an annual LTI PSU award granted to the named executive officer for the three-year performance period covering fiscal 2020 through 2022, subject to cliff vesting at September 4, 2022 based on our relative TSR performance that correspond to specific payout percentages ranging between 0% and 200% of the target number of stock units subject to the award and capped at 100% if our absolute TSR is negative over the three-year performance period.</w:t>
      </w:r>
    </w:p>
    <w:p>
      <w:pPr>
        <w:ind w:left="300" w:right="40" w:hanging="292"/>
        <w:spacing w:after="0" w:line="258" w:lineRule="auto"/>
        <w:tabs>
          <w:tab w:leader="none" w:pos="300" w:val="left"/>
        </w:tabs>
        <w:numPr>
          <w:ilvl w:val="0"/>
          <w:numId w:val="200"/>
        </w:numPr>
        <w:rPr>
          <w:rFonts w:ascii="Arial" w:cs="Arial" w:eastAsia="Arial" w:hAnsi="Arial"/>
          <w:sz w:val="11"/>
          <w:szCs w:val="11"/>
          <w:color w:val="auto"/>
        </w:rPr>
      </w:pPr>
      <w:r>
        <w:rPr>
          <w:rFonts w:ascii="Arial" w:cs="Arial" w:eastAsia="Arial" w:hAnsi="Arial"/>
          <w:sz w:val="13"/>
          <w:szCs w:val="13"/>
          <w:color w:val="auto"/>
        </w:rPr>
        <w:t>Represents an annual LTI RSU award granted to the named executive officer, which is scheduled to vest ratably over four years. See the section entitled “Description of Compensation Arrangements for Named Executive Officers—Equity-Based Awards” below for more information about these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1234440" cy="6858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34440" cy="68580"/>
                    </a:xfrm>
                    <a:prstGeom prst="rect">
                      <a:avLst/>
                    </a:prstGeom>
                    <a:noFill/>
                  </pic:spPr>
                </pic:pic>
              </a:graphicData>
            </a:graphic>
          </wp:anchor>
        </w:drawing>
      </w:r>
    </w:p>
    <w:p>
      <w:pPr>
        <w:spacing w:after="0" w:line="323" w:lineRule="exact"/>
        <w:rPr>
          <w:sz w:val="20"/>
          <w:szCs w:val="20"/>
          <w:color w:val="auto"/>
        </w:rPr>
      </w:pPr>
    </w:p>
    <w:p>
      <w:pPr>
        <w:ind w:right="1320"/>
        <w:spacing w:after="0" w:line="276" w:lineRule="auto"/>
        <w:rPr>
          <w:sz w:val="20"/>
          <w:szCs w:val="20"/>
          <w:color w:val="auto"/>
        </w:rPr>
      </w:pPr>
      <w:r>
        <w:rPr>
          <w:rFonts w:ascii="Arial" w:cs="Arial" w:eastAsia="Arial" w:hAnsi="Arial"/>
          <w:sz w:val="26"/>
          <w:szCs w:val="26"/>
          <w:b w:val="1"/>
          <w:bCs w:val="1"/>
          <w:color w:val="23628F"/>
        </w:rPr>
        <w:t>DESCRIPTION OF COMPENSATION ARRANGEMENTS FOR NAMED EXECUTIVE OFFICERS</w:t>
      </w:r>
    </w:p>
    <w:p>
      <w:pPr>
        <w:spacing w:after="0" w:line="127"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Overview</w:t>
      </w:r>
    </w:p>
    <w:p>
      <w:pPr>
        <w:spacing w:after="0" w:line="257" w:lineRule="exact"/>
        <w:rPr>
          <w:sz w:val="20"/>
          <w:szCs w:val="20"/>
          <w:color w:val="auto"/>
        </w:rPr>
      </w:pPr>
    </w:p>
    <w:p>
      <w:pPr>
        <w:ind w:right="100"/>
        <w:spacing w:after="0" w:line="248" w:lineRule="auto"/>
        <w:rPr>
          <w:sz w:val="20"/>
          <w:szCs w:val="20"/>
          <w:color w:val="auto"/>
        </w:rPr>
      </w:pPr>
      <w:r>
        <w:rPr>
          <w:rFonts w:ascii="Arial" w:cs="Arial" w:eastAsia="Arial" w:hAnsi="Arial"/>
          <w:sz w:val="13"/>
          <w:szCs w:val="13"/>
          <w:color w:val="auto"/>
        </w:rPr>
        <w:t>The “Fiscal 2018—2020 Summary Compensation Table” above quantifies the value of the different forms of compensation earned by our named executive officers in fiscal 2018, 2019 and 2020, and the “Fiscal 2020 Grants of Plan-Based Awards Table” above provides information regarding the equity incentive awards and non-equity incentive awards granted to our named executive officers in fiscal 2020. These tables should be read in conjunction with the narrative descriptions and additional tables that follow.</w:t>
      </w:r>
    </w:p>
    <w:p>
      <w:pPr>
        <w:spacing w:after="0" w:line="165"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Non-Equity Incentive Plan Compensation and Awards</w:t>
      </w:r>
    </w:p>
    <w:p>
      <w:pPr>
        <w:spacing w:after="0" w:line="257" w:lineRule="exact"/>
        <w:rPr>
          <w:sz w:val="20"/>
          <w:szCs w:val="20"/>
          <w:color w:val="auto"/>
        </w:rPr>
      </w:pPr>
    </w:p>
    <w:p>
      <w:pPr>
        <w:ind w:right="80"/>
        <w:spacing w:after="0" w:line="241" w:lineRule="auto"/>
        <w:rPr>
          <w:sz w:val="20"/>
          <w:szCs w:val="20"/>
          <w:color w:val="auto"/>
        </w:rPr>
      </w:pPr>
      <w:r>
        <w:rPr>
          <w:rFonts w:ascii="Arial" w:cs="Arial" w:eastAsia="Arial" w:hAnsi="Arial"/>
          <w:sz w:val="13"/>
          <w:szCs w:val="13"/>
          <w:color w:val="auto"/>
        </w:rPr>
        <w:t>Under our STI plan, our named executive officers are eligible to receive cash incentive awards on an annual basis (or such other period as the Compensation and Talent Committee approves). The amount of the awards payable under our STI plan is determined based on our achievement of operating and/or financial performance goals established by the Compensation and Talent Committee annually (or such other period as the Compensation and Talent Committee approves), as well as other discretionary factors, including non-financial and strategic operating objectives, business and industry conditions and individual and business group performance. The named executive officer is generally required to remain employed with us through the date on which the Compensation and Talent Committee determines, and we pay, the incentive amounts for the applicable performance period to be eligible to receive payment of the incentive award for that period. See the section entitled “Executive Compensation—Compensation Discussion and Analysis” for a more detailed description of our STI plan and tables reflecting each executive’s STI target opportunities and actual STI payouts under our STI plan for fiscal 2020.</w:t>
      </w:r>
    </w:p>
    <w:p>
      <w:pPr>
        <w:spacing w:after="0" w:line="171"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Equity-Based Awards</w:t>
      </w:r>
    </w:p>
    <w:p>
      <w:pPr>
        <w:spacing w:after="0" w:line="257" w:lineRule="exact"/>
        <w:rPr>
          <w:sz w:val="20"/>
          <w:szCs w:val="20"/>
          <w:color w:val="auto"/>
        </w:rPr>
      </w:pPr>
    </w:p>
    <w:p>
      <w:pPr>
        <w:ind w:right="20"/>
        <w:spacing w:after="0" w:line="241" w:lineRule="auto"/>
        <w:rPr>
          <w:sz w:val="20"/>
          <w:szCs w:val="20"/>
          <w:color w:val="auto"/>
        </w:rPr>
      </w:pPr>
      <w:r>
        <w:rPr>
          <w:rFonts w:ascii="Arial" w:cs="Arial" w:eastAsia="Arial" w:hAnsi="Arial"/>
          <w:sz w:val="13"/>
          <w:szCs w:val="13"/>
          <w:color w:val="auto"/>
        </w:rPr>
        <w:t>Each RSU and PSU award reported in the “Fiscal 2020 Grants of Plan-Based Awards Table” was granted by the Compensation and Talent Committee under, and is subject to, the terms of our 2017 Performance Incentive Plan. Our Board of Directors has delegated general administrative authority for our 2017 Performance Incentive Plan to the Compensation and Talent Committee. The Compensation and Talent Committee has broad authority under our 2017 Performance Incentive Plan with respect to granting awards, including the authority to select participants and determine the type of award they are to receive, to determine the number of shares that are to be subject to awards and the terms and conditions of awards, to accelerate or extend the vesting or exercisability or extend the term of any or all outstanding awards, to make certain adjustments to an outstanding award and to authorize the conversion, succession or substitution of an award upon the occurrence of certain corporate events such as reorganizations, mergers and stock splits, and to make provision for the payment of the purchase price of an award (if any) and ensure that any tax withholding obligations incurred in respect of awards are satisfied.</w:t>
      </w:r>
    </w:p>
    <w:p>
      <w:pPr>
        <w:spacing w:after="0" w:line="200" w:lineRule="exact"/>
        <w:rPr>
          <w:sz w:val="20"/>
          <w:szCs w:val="20"/>
          <w:color w:val="auto"/>
        </w:rPr>
      </w:pPr>
    </w:p>
    <w:p>
      <w:pPr>
        <w:ind w:left="440" w:hanging="432"/>
        <w:spacing w:after="0"/>
        <w:tabs>
          <w:tab w:leader="none" w:pos="440" w:val="left"/>
        </w:tabs>
        <w:numPr>
          <w:ilvl w:val="0"/>
          <w:numId w:val="201"/>
        </w:numPr>
        <w:rPr>
          <w:rFonts w:ascii="Arial" w:cs="Arial" w:eastAsia="Arial" w:hAnsi="Arial"/>
          <w:sz w:val="18"/>
          <w:szCs w:val="18"/>
          <w:b w:val="1"/>
          <w:bCs w:val="1"/>
          <w:color w:val="23628F"/>
        </w:rPr>
      </w:pPr>
      <w:r>
        <w:rPr>
          <w:rFonts w:ascii="Arial" w:cs="Arial" w:eastAsia="Arial" w:hAnsi="Arial"/>
          <w:sz w:val="13"/>
          <w:szCs w:val="13"/>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153275" cy="215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ind w:left="8260"/>
        <w:spacing w:after="0"/>
        <w:rPr>
          <w:sz w:val="20"/>
          <w:szCs w:val="20"/>
          <w:color w:val="auto"/>
        </w:rPr>
      </w:pPr>
      <w:r>
        <w:rPr>
          <w:rFonts w:ascii="Arial" w:cs="Arial" w:eastAsia="Arial" w:hAnsi="Arial"/>
          <w:sz w:val="13"/>
          <w:szCs w:val="13"/>
          <w:color w:val="23628F"/>
        </w:rPr>
        <w:t>COMPENSATION DISCUSSION AND ANALYSIS</w:t>
      </w:r>
    </w:p>
    <w:p>
      <w:pPr>
        <w:spacing w:after="0" w:line="201" w:lineRule="exact"/>
        <w:rPr>
          <w:sz w:val="20"/>
          <w:szCs w:val="20"/>
          <w:color w:val="auto"/>
        </w:rPr>
      </w:pPr>
    </w:p>
    <w:p>
      <w:pPr>
        <w:ind w:right="20"/>
        <w:spacing w:after="0" w:line="243" w:lineRule="auto"/>
        <w:rPr>
          <w:sz w:val="20"/>
          <w:szCs w:val="20"/>
          <w:color w:val="auto"/>
        </w:rPr>
      </w:pPr>
      <w:r>
        <w:rPr>
          <w:rFonts w:ascii="Arial" w:cs="Arial" w:eastAsia="Arial" w:hAnsi="Arial"/>
          <w:sz w:val="13"/>
          <w:szCs w:val="13"/>
          <w:i w:val="1"/>
          <w:iCs w:val="1"/>
          <w:color w:val="23628F"/>
        </w:rPr>
        <w:t xml:space="preserve">PSU Awards. </w:t>
      </w:r>
      <w:r>
        <w:rPr>
          <w:rFonts w:ascii="Arial" w:cs="Arial" w:eastAsia="Arial" w:hAnsi="Arial"/>
          <w:sz w:val="13"/>
          <w:szCs w:val="13"/>
          <w:color w:val="000000"/>
        </w:rPr>
        <w:t>The annual LTI PSU awards granted to our named executive officers in fiscal 2020 were granted as part of our regular annual LTI award process, and each PSU award</w:t>
      </w:r>
      <w:r>
        <w:rPr>
          <w:rFonts w:ascii="Arial" w:cs="Arial" w:eastAsia="Arial" w:hAnsi="Arial"/>
          <w:sz w:val="13"/>
          <w:szCs w:val="13"/>
          <w:i w:val="1"/>
          <w:iCs w:val="1"/>
          <w:color w:val="23628F"/>
        </w:rPr>
        <w:t xml:space="preserve"> </w:t>
      </w:r>
      <w:r>
        <w:rPr>
          <w:rFonts w:ascii="Arial" w:cs="Arial" w:eastAsia="Arial" w:hAnsi="Arial"/>
          <w:sz w:val="13"/>
          <w:szCs w:val="13"/>
          <w:color w:val="000000"/>
        </w:rPr>
        <w:t>represents a contractual right to receive a percentage of the target number of shares of our common stock based on achievement of certain goals over the performance period. (Mr. Goeckeler did not receive an annual LTI PSU award in fiscal 2020 as he was not employed by us at the time the annual LTI PSU awards were granted.) The performance measures selected by the Compensation and Talent Committee for the awards consisted of cumulative revenue and non-GAAP EPS over a three-year performance period covering fiscal 2020 through 2022 (representing 37.5% of the target award) and a two-year performance period covering fiscal 2020 and 2021 (representing 12.5% of the target award) and a cumulative relative TSR compared to a group of industry peers over a three-year performance period covering fiscal 2020 through 2020 (representing 50% of the target award). Each PSU award is subject to cliff vesting at the end of three years; the portion of the PSUs that have a two-year performance period include a three-year service period (one year beyond the two-year performance period) for our named executive officers to vest in the awards. The number of stock units received upon vesting is based upon achievement of the pre-established performance goals. The actual number of shares of our common stock that may become earned and payable after the performance period will range from 0% to 200% of the target number of shares underlying these PSU awards based on the level of achievement of the applicable metrics.</w:t>
      </w:r>
    </w:p>
    <w:p>
      <w:pPr>
        <w:spacing w:after="0" w:line="353" w:lineRule="exact"/>
        <w:rPr>
          <w:sz w:val="20"/>
          <w:szCs w:val="20"/>
          <w:color w:val="auto"/>
        </w:rPr>
      </w:pPr>
    </w:p>
    <w:p>
      <w:pPr>
        <w:spacing w:after="0" w:line="245" w:lineRule="auto"/>
        <w:rPr>
          <w:sz w:val="20"/>
          <w:szCs w:val="20"/>
          <w:color w:val="auto"/>
        </w:rPr>
      </w:pPr>
      <w:r>
        <w:rPr>
          <w:rFonts w:ascii="Arial" w:cs="Arial" w:eastAsia="Arial" w:hAnsi="Arial"/>
          <w:sz w:val="13"/>
          <w:szCs w:val="13"/>
          <w:color w:val="auto"/>
        </w:rPr>
        <w:t>In connection with his appointment as our Chief Executive Officer, Mr. Goeckeler was granted an award of PSUs that will vest based on our cumulative relative TSR compared to the S&amp;P 500 constituents over a three-year performance period. The PSUs will cliff vest at the end of three years. The number of stock units received upon vesting is based upon achievement of the pre-established performance goals. The actual number of shares of our common stock that may become earned and payable after the performance period will range from 0% to 150% of the target number of shares underlying this PSU award based on our relative TSR performance over the performance period.</w:t>
      </w:r>
    </w:p>
    <w:p>
      <w:pPr>
        <w:spacing w:after="0" w:line="186" w:lineRule="exact"/>
        <w:rPr>
          <w:sz w:val="20"/>
          <w:szCs w:val="20"/>
          <w:color w:val="auto"/>
        </w:rPr>
      </w:pPr>
    </w:p>
    <w:p>
      <w:pPr>
        <w:ind w:right="260"/>
        <w:spacing w:after="0" w:line="252" w:lineRule="auto"/>
        <w:rPr>
          <w:sz w:val="20"/>
          <w:szCs w:val="20"/>
          <w:color w:val="auto"/>
        </w:rPr>
      </w:pPr>
      <w:r>
        <w:rPr>
          <w:rFonts w:ascii="Arial" w:cs="Arial" w:eastAsia="Arial" w:hAnsi="Arial"/>
          <w:sz w:val="13"/>
          <w:szCs w:val="13"/>
          <w:i w:val="1"/>
          <w:iCs w:val="1"/>
          <w:color w:val="23628F"/>
        </w:rPr>
        <w:t xml:space="preserve">RSU Awards. </w:t>
      </w:r>
      <w:r>
        <w:rPr>
          <w:rFonts w:ascii="Arial" w:cs="Arial" w:eastAsia="Arial" w:hAnsi="Arial"/>
          <w:sz w:val="13"/>
          <w:szCs w:val="13"/>
          <w:color w:val="000000"/>
        </w:rPr>
        <w:t>The annual LTI RSU awards granted to our named executive officers in fiscal 2020 were granted as part of our regular annual LTI award process, and each RSU award</w:t>
      </w:r>
      <w:r>
        <w:rPr>
          <w:rFonts w:ascii="Arial" w:cs="Arial" w:eastAsia="Arial" w:hAnsi="Arial"/>
          <w:sz w:val="13"/>
          <w:szCs w:val="13"/>
          <w:i w:val="1"/>
          <w:iCs w:val="1"/>
          <w:color w:val="23628F"/>
        </w:rPr>
        <w:t xml:space="preserve"> </w:t>
      </w:r>
      <w:r>
        <w:rPr>
          <w:rFonts w:ascii="Arial" w:cs="Arial" w:eastAsia="Arial" w:hAnsi="Arial"/>
          <w:sz w:val="13"/>
          <w:szCs w:val="13"/>
          <w:color w:val="000000"/>
        </w:rPr>
        <w:t>represents a contractual right to receive one share of our common stock per RSU on the vesting date(s) of the RSUs. (Mr. Goeckeler did not receive an annual LTI RSU award in fiscal 2020 as he was not employed by us at the time the annual LTI RSU awards were granted.) The vesting dates of the annual LTI RSU awards reported in the “Fiscal 2020 Grants of Plan-Based Awards Table” are disclosed in the “Outstanding Equity Awards at Fiscal 2020 Year-End Table” below.</w:t>
      </w:r>
    </w:p>
    <w:p>
      <w:pPr>
        <w:spacing w:after="0" w:line="196" w:lineRule="exact"/>
        <w:rPr>
          <w:sz w:val="20"/>
          <w:szCs w:val="20"/>
          <w:color w:val="auto"/>
        </w:rPr>
      </w:pPr>
    </w:p>
    <w:p>
      <w:pPr>
        <w:spacing w:after="0" w:line="242" w:lineRule="auto"/>
        <w:rPr>
          <w:sz w:val="20"/>
          <w:szCs w:val="20"/>
          <w:color w:val="auto"/>
        </w:rPr>
      </w:pPr>
      <w:r>
        <w:rPr>
          <w:rFonts w:ascii="Arial" w:cs="Arial" w:eastAsia="Arial" w:hAnsi="Arial"/>
          <w:sz w:val="13"/>
          <w:szCs w:val="13"/>
          <w:color w:val="auto"/>
        </w:rPr>
        <w:t>Our named executive officers are not entitled to voting rights with respect to their stock units (PSUs and RSUs). However, if we pay an ordinary cash dividend on our outstanding shares of common stock, the named executive officer will have the right to receive a dividend equivalent with respect to any unpaid stock unit (whether vested or not) held as of the record date for the dividend payment. A dividend equivalent is a credit to the named executive officer’s bookkeeping account of an additional number of stock units equal to (i) the per-share cash dividend, multiplied by (ii) the number of stock units held by the named executive officer as of the record date of the dividend payment, divided by (iii) the closing price of our common stock on the Nasdaq Stock Market on the date the dividend is paid. Dividend equivalents are subject to the same vesting, payment and other terms and conditions as the original stock units to which they relate (except that dividend equivalents may be paid in cash based on the closing price of our common stock on the Nasdaq Stock Market on the date of payment).</w:t>
      </w:r>
    </w:p>
    <w:p>
      <w:pPr>
        <w:spacing w:after="0" w:line="203" w:lineRule="exact"/>
        <w:rPr>
          <w:sz w:val="20"/>
          <w:szCs w:val="20"/>
          <w:color w:val="auto"/>
        </w:rPr>
      </w:pPr>
    </w:p>
    <w:p>
      <w:pPr>
        <w:ind w:right="560"/>
        <w:spacing w:after="0" w:line="258" w:lineRule="auto"/>
        <w:rPr>
          <w:sz w:val="20"/>
          <w:szCs w:val="20"/>
          <w:color w:val="auto"/>
        </w:rPr>
      </w:pPr>
      <w:r>
        <w:rPr>
          <w:rFonts w:ascii="Arial" w:cs="Arial" w:eastAsia="Arial" w:hAnsi="Arial"/>
          <w:sz w:val="13"/>
          <w:szCs w:val="13"/>
          <w:color w:val="auto"/>
        </w:rPr>
        <w:t>Additional information regarding the vesting acceleration provisions applicable to equity awards granted to our named executive officers is included in the section entitled “Potential Payments upon Termination or Change in Control” below.</w:t>
      </w:r>
    </w:p>
    <w:p>
      <w:pPr>
        <w:spacing w:after="0" w:line="17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23628F"/>
        </w:rPr>
        <w:t>2020 PROXY STATEMENT</w:t>
      </w:r>
      <w:r>
        <w:rPr>
          <w:sz w:val="20"/>
          <w:szCs w:val="20"/>
          <w:color w:val="auto"/>
        </w:rPr>
        <w:tab/>
      </w:r>
      <w:r>
        <w:rPr>
          <w:rFonts w:ascii="Arial" w:cs="Arial" w:eastAsia="Arial" w:hAnsi="Arial"/>
          <w:sz w:val="16"/>
          <w:szCs w:val="16"/>
          <w:b w:val="1"/>
          <w:bCs w:val="1"/>
          <w:color w:val="23628F"/>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153275" cy="209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23628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234440" cy="6858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34440" cy="68580"/>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OUTSTANDING EQUITY AWARDS AT FISCAL 2020 YEAR-END TABLE</w:t>
      </w:r>
    </w:p>
    <w:p>
      <w:pPr>
        <w:spacing w:after="0" w:line="252" w:lineRule="exact"/>
        <w:rPr>
          <w:sz w:val="20"/>
          <w:szCs w:val="20"/>
          <w:color w:val="auto"/>
        </w:rPr>
      </w:pPr>
    </w:p>
    <w:p>
      <w:pPr>
        <w:jc w:val="both"/>
        <w:ind w:right="180"/>
        <w:spacing w:after="0" w:line="248" w:lineRule="auto"/>
        <w:rPr>
          <w:sz w:val="20"/>
          <w:szCs w:val="20"/>
          <w:color w:val="auto"/>
        </w:rPr>
      </w:pPr>
      <w:r>
        <w:rPr>
          <w:rFonts w:ascii="Arial" w:cs="Arial" w:eastAsia="Arial" w:hAnsi="Arial"/>
          <w:sz w:val="13"/>
          <w:szCs w:val="13"/>
          <w:color w:val="auto"/>
        </w:rPr>
        <w:t>The following table presents information regarding the current holdings of stock options and stock awards (and corresponding dividend equivalents) held by each of our named executive officers as of July 3, 2020. This table includes vested but unexercised stock option awards, unvested and unexercisable stock option awards, and unvested awards of RSUs and PSUs at the target level of performance or, if applicable, the credited amount.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760" w:type="dxa"/>
            <w:vAlign w:val="bottom"/>
            <w:gridSpan w:val="2"/>
          </w:tcPr>
          <w:p>
            <w:pPr>
              <w:jc w:val="right"/>
              <w:spacing w:after="0"/>
              <w:rPr>
                <w:sz w:val="20"/>
                <w:szCs w:val="20"/>
                <w:color w:val="auto"/>
              </w:rPr>
            </w:pPr>
            <w:r>
              <w:rPr>
                <w:rFonts w:ascii="Arial" w:cs="Arial" w:eastAsia="Arial" w:hAnsi="Arial"/>
                <w:sz w:val="13"/>
                <w:szCs w:val="13"/>
                <w:b w:val="1"/>
                <w:bCs w:val="1"/>
                <w:color w:val="auto"/>
              </w:rPr>
              <w:t>Option Awards</w:t>
            </w:r>
          </w:p>
        </w:tc>
        <w:tc>
          <w:tcPr>
            <w:tcW w:w="820" w:type="dxa"/>
            <w:vAlign w:val="bottom"/>
            <w:tcBorders>
              <w:right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2320" w:type="dxa"/>
            <w:vAlign w:val="bottom"/>
            <w:gridSpan w:val="2"/>
          </w:tcPr>
          <w:p>
            <w:pPr>
              <w:jc w:val="right"/>
              <w:ind w:right="533"/>
              <w:spacing w:after="0"/>
              <w:rPr>
                <w:sz w:val="20"/>
                <w:szCs w:val="20"/>
                <w:color w:val="auto"/>
              </w:rPr>
            </w:pPr>
            <w:r>
              <w:rPr>
                <w:rFonts w:ascii="Arial" w:cs="Arial" w:eastAsia="Arial" w:hAnsi="Arial"/>
                <w:sz w:val="13"/>
                <w:szCs w:val="13"/>
                <w:b w:val="1"/>
                <w:bCs w:val="1"/>
                <w:color w:val="auto"/>
              </w:rPr>
              <w:t>Stock Awards</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2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Borders>
              <w:right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74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Equity</w:t>
            </w: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49"/>
        </w:trPr>
        <w:tc>
          <w:tcPr>
            <w:tcW w:w="274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Incentive</w:t>
            </w: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Incentive Plan</w:t>
            </w:r>
          </w:p>
        </w:tc>
        <w:tc>
          <w:tcPr>
            <w:tcW w:w="0" w:type="dxa"/>
            <w:vAlign w:val="bottom"/>
          </w:tcPr>
          <w:p>
            <w:pPr>
              <w:spacing w:after="0"/>
              <w:rPr>
                <w:sz w:val="1"/>
                <w:szCs w:val="1"/>
                <w:color w:val="auto"/>
              </w:rPr>
            </w:pPr>
          </w:p>
        </w:tc>
      </w:tr>
      <w:tr>
        <w:trPr>
          <w:trHeight w:val="148"/>
        </w:trPr>
        <w:tc>
          <w:tcPr>
            <w:tcW w:w="274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Plan Awards:</w:t>
            </w: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Awards: Market</w:t>
            </w:r>
          </w:p>
        </w:tc>
        <w:tc>
          <w:tcPr>
            <w:tcW w:w="0" w:type="dxa"/>
            <w:vAlign w:val="bottom"/>
          </w:tcPr>
          <w:p>
            <w:pPr>
              <w:spacing w:after="0"/>
              <w:rPr>
                <w:sz w:val="1"/>
                <w:szCs w:val="1"/>
                <w:color w:val="auto"/>
              </w:rPr>
            </w:pPr>
          </w:p>
        </w:tc>
      </w:tr>
      <w:tr>
        <w:trPr>
          <w:trHeight w:val="148"/>
        </w:trPr>
        <w:tc>
          <w:tcPr>
            <w:tcW w:w="274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Number of</w:t>
            </w:r>
          </w:p>
        </w:tc>
        <w:tc>
          <w:tcPr>
            <w:tcW w:w="106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Number of</w:t>
            </w:r>
          </w:p>
        </w:tc>
        <w:tc>
          <w:tcPr>
            <w:tcW w:w="7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Number of</w:t>
            </w:r>
          </w:p>
        </w:tc>
        <w:tc>
          <w:tcPr>
            <w:tcW w:w="96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Market Value</w:t>
            </w:r>
          </w:p>
        </w:tc>
        <w:tc>
          <w:tcPr>
            <w:tcW w:w="136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Number of</w:t>
            </w: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or Payout Value</w:t>
            </w:r>
          </w:p>
        </w:tc>
        <w:tc>
          <w:tcPr>
            <w:tcW w:w="0" w:type="dxa"/>
            <w:vAlign w:val="bottom"/>
          </w:tcPr>
          <w:p>
            <w:pPr>
              <w:spacing w:after="0"/>
              <w:rPr>
                <w:sz w:val="1"/>
                <w:szCs w:val="1"/>
                <w:color w:val="auto"/>
              </w:rPr>
            </w:pPr>
          </w:p>
        </w:tc>
      </w:tr>
      <w:tr>
        <w:trPr>
          <w:trHeight w:val="148"/>
        </w:trPr>
        <w:tc>
          <w:tcPr>
            <w:tcW w:w="274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Securities</w:t>
            </w:r>
          </w:p>
        </w:tc>
        <w:tc>
          <w:tcPr>
            <w:tcW w:w="106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Securities</w:t>
            </w:r>
          </w:p>
        </w:tc>
        <w:tc>
          <w:tcPr>
            <w:tcW w:w="7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Shares or</w:t>
            </w:r>
          </w:p>
        </w:tc>
        <w:tc>
          <w:tcPr>
            <w:tcW w:w="96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of Shares</w:t>
            </w:r>
          </w:p>
        </w:tc>
        <w:tc>
          <w:tcPr>
            <w:tcW w:w="136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Unearned</w:t>
            </w: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of Unearned</w:t>
            </w:r>
          </w:p>
        </w:tc>
        <w:tc>
          <w:tcPr>
            <w:tcW w:w="0" w:type="dxa"/>
            <w:vAlign w:val="bottom"/>
          </w:tcPr>
          <w:p>
            <w:pPr>
              <w:spacing w:after="0"/>
              <w:rPr>
                <w:sz w:val="1"/>
                <w:szCs w:val="1"/>
                <w:color w:val="auto"/>
              </w:rPr>
            </w:pPr>
          </w:p>
        </w:tc>
      </w:tr>
      <w:tr>
        <w:trPr>
          <w:trHeight w:val="148"/>
        </w:trPr>
        <w:tc>
          <w:tcPr>
            <w:tcW w:w="274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Underlying</w:t>
            </w:r>
          </w:p>
        </w:tc>
        <w:tc>
          <w:tcPr>
            <w:tcW w:w="106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Underlying</w:t>
            </w:r>
          </w:p>
        </w:tc>
        <w:tc>
          <w:tcPr>
            <w:tcW w:w="7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Units of</w:t>
            </w:r>
          </w:p>
        </w:tc>
        <w:tc>
          <w:tcPr>
            <w:tcW w:w="96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or Units of</w:t>
            </w:r>
          </w:p>
        </w:tc>
        <w:tc>
          <w:tcPr>
            <w:tcW w:w="136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Shares, Units</w:t>
            </w: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Shares, Units</w:t>
            </w:r>
          </w:p>
        </w:tc>
        <w:tc>
          <w:tcPr>
            <w:tcW w:w="0" w:type="dxa"/>
            <w:vAlign w:val="bottom"/>
          </w:tcPr>
          <w:p>
            <w:pPr>
              <w:spacing w:after="0"/>
              <w:rPr>
                <w:sz w:val="1"/>
                <w:szCs w:val="1"/>
                <w:color w:val="auto"/>
              </w:rPr>
            </w:pPr>
          </w:p>
        </w:tc>
      </w:tr>
      <w:tr>
        <w:trPr>
          <w:trHeight w:val="149"/>
        </w:trPr>
        <w:tc>
          <w:tcPr>
            <w:tcW w:w="274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Unexercised</w:t>
            </w:r>
          </w:p>
        </w:tc>
        <w:tc>
          <w:tcPr>
            <w:tcW w:w="106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Unexercised</w:t>
            </w:r>
          </w:p>
        </w:tc>
        <w:tc>
          <w:tcPr>
            <w:tcW w:w="70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Option</w:t>
            </w:r>
          </w:p>
        </w:tc>
        <w:tc>
          <w:tcPr>
            <w:tcW w:w="82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Option</w:t>
            </w:r>
          </w:p>
        </w:tc>
        <w:tc>
          <w:tcPr>
            <w:tcW w:w="86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Stock That</w:t>
            </w:r>
          </w:p>
        </w:tc>
        <w:tc>
          <w:tcPr>
            <w:tcW w:w="96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Stock That</w:t>
            </w:r>
          </w:p>
        </w:tc>
        <w:tc>
          <w:tcPr>
            <w:tcW w:w="136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or Other Rights</w:t>
            </w: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or Other Rights</w:t>
            </w:r>
          </w:p>
        </w:tc>
        <w:tc>
          <w:tcPr>
            <w:tcW w:w="0" w:type="dxa"/>
            <w:vAlign w:val="bottom"/>
          </w:tcPr>
          <w:p>
            <w:pPr>
              <w:spacing w:after="0"/>
              <w:rPr>
                <w:sz w:val="1"/>
                <w:szCs w:val="1"/>
                <w:color w:val="auto"/>
              </w:rPr>
            </w:pPr>
          </w:p>
        </w:tc>
      </w:tr>
      <w:tr>
        <w:trPr>
          <w:trHeight w:val="148"/>
        </w:trPr>
        <w:tc>
          <w:tcPr>
            <w:tcW w:w="274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Grant</w:t>
            </w:r>
          </w:p>
        </w:tc>
        <w:tc>
          <w:tcPr>
            <w:tcW w:w="94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Options (#)</w:t>
            </w:r>
          </w:p>
        </w:tc>
        <w:tc>
          <w:tcPr>
            <w:tcW w:w="106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Options (#)</w:t>
            </w:r>
          </w:p>
        </w:tc>
        <w:tc>
          <w:tcPr>
            <w:tcW w:w="70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Exercise</w:t>
            </w:r>
          </w:p>
        </w:tc>
        <w:tc>
          <w:tcPr>
            <w:tcW w:w="82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Expiration</w:t>
            </w:r>
          </w:p>
        </w:tc>
        <w:tc>
          <w:tcPr>
            <w:tcW w:w="86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Have Not</w:t>
            </w:r>
          </w:p>
        </w:tc>
        <w:tc>
          <w:tcPr>
            <w:tcW w:w="96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Have Not</w:t>
            </w:r>
          </w:p>
        </w:tc>
        <w:tc>
          <w:tcPr>
            <w:tcW w:w="136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That Have Not</w:t>
            </w: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That Have Not</w:t>
            </w:r>
          </w:p>
        </w:tc>
        <w:tc>
          <w:tcPr>
            <w:tcW w:w="0" w:type="dxa"/>
            <w:vAlign w:val="bottom"/>
          </w:tcPr>
          <w:p>
            <w:pPr>
              <w:spacing w:after="0"/>
              <w:rPr>
                <w:sz w:val="1"/>
                <w:szCs w:val="1"/>
                <w:color w:val="auto"/>
              </w:rPr>
            </w:pPr>
          </w:p>
        </w:tc>
      </w:tr>
      <w:tr>
        <w:trPr>
          <w:trHeight w:val="203"/>
        </w:trPr>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rPr>
              <w:t>Name</w:t>
            </w:r>
          </w:p>
        </w:tc>
        <w:tc>
          <w:tcPr>
            <w:tcW w:w="680" w:type="dxa"/>
            <w:vAlign w:val="bottom"/>
            <w:tcBorders>
              <w:bottom w:val="single" w:sz="8" w:color="auto"/>
              <w:right w:val="single" w:sz="8" w:color="auto"/>
            </w:tcBorders>
          </w:tcPr>
          <w:p>
            <w:pPr>
              <w:jc w:val="right"/>
              <w:ind w:right="33"/>
              <w:spacing w:after="0" w:line="203" w:lineRule="exact"/>
              <w:rPr>
                <w:sz w:val="20"/>
                <w:szCs w:val="20"/>
                <w:color w:val="auto"/>
              </w:rPr>
            </w:pPr>
            <w:r>
              <w:rPr>
                <w:rFonts w:ascii="Arial" w:cs="Arial" w:eastAsia="Arial" w:hAnsi="Arial"/>
                <w:sz w:val="13"/>
                <w:szCs w:val="13"/>
                <w:b w:val="1"/>
                <w:bCs w:val="1"/>
                <w:color w:val="auto"/>
              </w:rPr>
              <w:t>Date</w:t>
            </w:r>
            <w:r>
              <w:rPr>
                <w:rFonts w:ascii="Arial" w:cs="Arial" w:eastAsia="Arial" w:hAnsi="Arial"/>
                <w:sz w:val="22"/>
                <w:szCs w:val="22"/>
                <w:b w:val="1"/>
                <w:bCs w:val="1"/>
                <w:color w:val="auto"/>
                <w:vertAlign w:val="superscript"/>
              </w:rPr>
              <w:t>(1)</w:t>
            </w:r>
          </w:p>
        </w:tc>
        <w:tc>
          <w:tcPr>
            <w:tcW w:w="94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Exercisable</w:t>
            </w:r>
          </w:p>
        </w:tc>
        <w:tc>
          <w:tcPr>
            <w:tcW w:w="106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Unexercisable</w:t>
            </w:r>
          </w:p>
        </w:tc>
        <w:tc>
          <w:tcPr>
            <w:tcW w:w="70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Price ($)</w:t>
            </w:r>
          </w:p>
        </w:tc>
        <w:tc>
          <w:tcPr>
            <w:tcW w:w="82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Date</w:t>
            </w:r>
          </w:p>
        </w:tc>
        <w:tc>
          <w:tcPr>
            <w:tcW w:w="86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Vested (#)</w:t>
            </w:r>
          </w:p>
        </w:tc>
        <w:tc>
          <w:tcPr>
            <w:tcW w:w="960" w:type="dxa"/>
            <w:vAlign w:val="bottom"/>
            <w:tcBorders>
              <w:bottom w:val="single" w:sz="8" w:color="auto"/>
              <w:right w:val="single" w:sz="8" w:color="auto"/>
            </w:tcBorders>
          </w:tcPr>
          <w:p>
            <w:pPr>
              <w:jc w:val="right"/>
              <w:ind w:right="13"/>
              <w:spacing w:after="0" w:line="203" w:lineRule="exact"/>
              <w:rPr>
                <w:sz w:val="20"/>
                <w:szCs w:val="20"/>
                <w:color w:val="auto"/>
              </w:rPr>
            </w:pPr>
            <w:r>
              <w:rPr>
                <w:rFonts w:ascii="Arial" w:cs="Arial" w:eastAsia="Arial" w:hAnsi="Arial"/>
                <w:sz w:val="13"/>
                <w:szCs w:val="13"/>
                <w:b w:val="1"/>
                <w:bCs w:val="1"/>
                <w:color w:val="auto"/>
              </w:rPr>
              <w:t>Vested ($)</w:t>
            </w:r>
            <w:r>
              <w:rPr>
                <w:rFonts w:ascii="Arial" w:cs="Arial" w:eastAsia="Arial" w:hAnsi="Arial"/>
                <w:sz w:val="22"/>
                <w:szCs w:val="22"/>
                <w:b w:val="1"/>
                <w:bCs w:val="1"/>
                <w:color w:val="auto"/>
                <w:vertAlign w:val="superscript"/>
              </w:rPr>
              <w:t>(2)</w:t>
            </w:r>
          </w:p>
        </w:tc>
        <w:tc>
          <w:tcPr>
            <w:tcW w:w="136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Vested (#)</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3"/>
                <w:szCs w:val="13"/>
                <w:b w:val="1"/>
                <w:bCs w:val="1"/>
                <w:color w:val="auto"/>
              </w:rPr>
              <w:t>Vested ($)</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290"/>
        </w:trPr>
        <w:tc>
          <w:tcPr>
            <w:tcW w:w="2740" w:type="dxa"/>
            <w:vAlign w:val="bottom"/>
            <w:tcBorders>
              <w:bottom w:val="single" w:sz="8" w:color="959595"/>
            </w:tcBorders>
          </w:tcPr>
          <w:p>
            <w:pPr>
              <w:ind w:left="40"/>
              <w:spacing w:after="0"/>
              <w:rPr>
                <w:sz w:val="20"/>
                <w:szCs w:val="20"/>
                <w:color w:val="auto"/>
              </w:rPr>
            </w:pPr>
            <w:r>
              <w:rPr>
                <w:rFonts w:ascii="Arial" w:cs="Arial" w:eastAsia="Arial" w:hAnsi="Arial"/>
                <w:sz w:val="13"/>
                <w:szCs w:val="13"/>
                <w:b w:val="1"/>
                <w:bCs w:val="1"/>
                <w:color w:val="23628F"/>
              </w:rPr>
              <w:t>David V. Goeckeler</w:t>
            </w:r>
          </w:p>
        </w:tc>
        <w:tc>
          <w:tcPr>
            <w:tcW w:w="68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3/9/2020</w:t>
            </w:r>
          </w:p>
        </w:tc>
        <w:tc>
          <w:tcPr>
            <w:tcW w:w="9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959595"/>
            </w:tcBorders>
          </w:tcPr>
          <w:p>
            <w:pPr>
              <w:jc w:val="right"/>
              <w:ind w:right="493"/>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959595"/>
            </w:tcBorders>
          </w:tcPr>
          <w:p>
            <w:pPr>
              <w:jc w:val="right"/>
              <w:ind w:right="113"/>
              <w:spacing w:after="0"/>
              <w:rPr>
                <w:sz w:val="20"/>
                <w:szCs w:val="20"/>
                <w:color w:val="auto"/>
              </w:rPr>
            </w:pPr>
            <w:r>
              <w:rPr>
                <w:rFonts w:ascii="Arial" w:cs="Arial" w:eastAsia="Arial" w:hAnsi="Arial"/>
                <w:sz w:val="13"/>
                <w:szCs w:val="13"/>
                <w:color w:val="auto"/>
              </w:rPr>
              <w:t>213,463</w:t>
            </w:r>
            <w:r>
              <w:rPr>
                <w:rFonts w:ascii="Arial" w:cs="Arial" w:eastAsia="Arial" w:hAnsi="Arial"/>
                <w:sz w:val="22"/>
                <w:szCs w:val="22"/>
                <w:color w:val="auto"/>
                <w:vertAlign w:val="superscript"/>
              </w:rPr>
              <w:t>(3)</w:t>
            </w:r>
          </w:p>
        </w:tc>
        <w:tc>
          <w:tcPr>
            <w:tcW w:w="9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9,059,370</w:t>
            </w:r>
          </w:p>
        </w:tc>
        <w:tc>
          <w:tcPr>
            <w:tcW w:w="1360" w:type="dxa"/>
            <w:vAlign w:val="bottom"/>
            <w:tcBorders>
              <w:bottom w:val="single" w:sz="8" w:color="959595"/>
            </w:tcBorders>
          </w:tcPr>
          <w:p>
            <w:pPr>
              <w:jc w:val="right"/>
              <w:ind w:right="373"/>
              <w:spacing w:after="0"/>
              <w:rPr>
                <w:sz w:val="20"/>
                <w:szCs w:val="20"/>
                <w:color w:val="auto"/>
              </w:rPr>
            </w:pPr>
            <w:r>
              <w:rPr>
                <w:rFonts w:ascii="Arial" w:cs="Arial" w:eastAsia="Arial" w:hAnsi="Arial"/>
                <w:sz w:val="13"/>
                <w:szCs w:val="13"/>
                <w:color w:val="auto"/>
              </w:rPr>
              <w:t>437,599</w:t>
            </w:r>
            <w:r>
              <w:rPr>
                <w:rFonts w:ascii="Arial" w:cs="Arial" w:eastAsia="Arial" w:hAnsi="Arial"/>
                <w:sz w:val="22"/>
                <w:szCs w:val="22"/>
                <w:color w:val="auto"/>
                <w:vertAlign w:val="superscript"/>
              </w:rPr>
              <w:t>(4)</w:t>
            </w:r>
          </w:p>
        </w:tc>
        <w:tc>
          <w:tcPr>
            <w:tcW w:w="11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18,571,702</w:t>
            </w:r>
          </w:p>
        </w:tc>
        <w:tc>
          <w:tcPr>
            <w:tcW w:w="0" w:type="dxa"/>
            <w:vAlign w:val="bottom"/>
          </w:tcPr>
          <w:p>
            <w:pPr>
              <w:spacing w:after="0"/>
              <w:rPr>
                <w:sz w:val="1"/>
                <w:szCs w:val="1"/>
                <w:color w:val="auto"/>
              </w:rPr>
            </w:pPr>
          </w:p>
        </w:tc>
      </w:tr>
      <w:tr>
        <w:trPr>
          <w:trHeight w:val="291"/>
        </w:trPr>
        <w:tc>
          <w:tcPr>
            <w:tcW w:w="2740" w:type="dxa"/>
            <w:vAlign w:val="bottom"/>
          </w:tcPr>
          <w:p>
            <w:pPr>
              <w:ind w:left="40"/>
              <w:spacing w:after="0"/>
              <w:rPr>
                <w:sz w:val="20"/>
                <w:szCs w:val="20"/>
                <w:color w:val="auto"/>
              </w:rPr>
            </w:pPr>
            <w:r>
              <w:rPr>
                <w:rFonts w:ascii="Arial" w:cs="Arial" w:eastAsia="Arial" w:hAnsi="Arial"/>
                <w:sz w:val="13"/>
                <w:szCs w:val="13"/>
                <w:b w:val="1"/>
                <w:bCs w:val="1"/>
                <w:color w:val="23628F"/>
              </w:rPr>
              <w:t>Robert K. Eulau</w:t>
            </w:r>
          </w:p>
        </w:tc>
        <w:tc>
          <w:tcPr>
            <w:tcW w:w="68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4/22/2019</w:t>
            </w:r>
          </w:p>
        </w:tc>
        <w:tc>
          <w:tcPr>
            <w:tcW w:w="9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959595"/>
            </w:tcBorders>
          </w:tcPr>
          <w:p>
            <w:pPr>
              <w:jc w:val="right"/>
              <w:ind w:right="493"/>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959595"/>
            </w:tcBorders>
          </w:tcPr>
          <w:p>
            <w:pPr>
              <w:jc w:val="right"/>
              <w:ind w:right="113"/>
              <w:spacing w:after="0"/>
              <w:rPr>
                <w:sz w:val="20"/>
                <w:szCs w:val="20"/>
                <w:color w:val="auto"/>
              </w:rPr>
            </w:pPr>
            <w:r>
              <w:rPr>
                <w:rFonts w:ascii="Arial" w:cs="Arial" w:eastAsia="Arial" w:hAnsi="Arial"/>
                <w:sz w:val="13"/>
                <w:szCs w:val="13"/>
                <w:color w:val="auto"/>
              </w:rPr>
              <w:t>28,699</w:t>
            </w:r>
            <w:r>
              <w:rPr>
                <w:rFonts w:ascii="Arial" w:cs="Arial" w:eastAsia="Arial" w:hAnsi="Arial"/>
                <w:sz w:val="22"/>
                <w:szCs w:val="22"/>
                <w:color w:val="auto"/>
                <w:vertAlign w:val="superscript"/>
              </w:rPr>
              <w:t>(5)</w:t>
            </w:r>
          </w:p>
        </w:tc>
        <w:tc>
          <w:tcPr>
            <w:tcW w:w="9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1,217,986</w:t>
            </w:r>
          </w:p>
        </w:tc>
        <w:tc>
          <w:tcPr>
            <w:tcW w:w="1360" w:type="dxa"/>
            <w:vAlign w:val="bottom"/>
            <w:tcBorders>
              <w:bottom w:val="single" w:sz="8" w:color="959595"/>
            </w:tcBorders>
          </w:tcPr>
          <w:p>
            <w:pPr>
              <w:jc w:val="right"/>
              <w:ind w:right="513"/>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0"/>
        </w:trPr>
        <w:tc>
          <w:tcPr>
            <w:tcW w:w="2740" w:type="dxa"/>
            <w:vAlign w:val="bottom"/>
          </w:tcPr>
          <w:p>
            <w:pPr>
              <w:spacing w:after="0"/>
              <w:rPr>
                <w:sz w:val="24"/>
                <w:szCs w:val="24"/>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9/4/2019</w:t>
            </w: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right"/>
              <w:ind w:right="493"/>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ind w:right="113"/>
              <w:spacing w:after="0"/>
              <w:rPr>
                <w:sz w:val="20"/>
                <w:szCs w:val="20"/>
                <w:color w:val="auto"/>
              </w:rPr>
            </w:pPr>
            <w:r>
              <w:rPr>
                <w:rFonts w:ascii="Arial" w:cs="Arial" w:eastAsia="Arial" w:hAnsi="Arial"/>
                <w:sz w:val="13"/>
                <w:szCs w:val="13"/>
                <w:color w:val="auto"/>
              </w:rPr>
              <w:t>34,647</w:t>
            </w:r>
            <w:r>
              <w:rPr>
                <w:rFonts w:ascii="Arial" w:cs="Arial" w:eastAsia="Arial" w:hAnsi="Arial"/>
                <w:sz w:val="22"/>
                <w:szCs w:val="22"/>
                <w:color w:val="auto"/>
                <w:vertAlign w:val="superscript"/>
              </w:rPr>
              <w:t>(5)</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1,470,419</w:t>
            </w:r>
          </w:p>
        </w:tc>
        <w:tc>
          <w:tcPr>
            <w:tcW w:w="1360" w:type="dxa"/>
            <w:vAlign w:val="bottom"/>
            <w:tcBorders>
              <w:bottom w:val="single" w:sz="8" w:color="959595"/>
            </w:tcBorders>
          </w:tcPr>
          <w:p>
            <w:pPr>
              <w:jc w:val="right"/>
              <w:ind w:right="373"/>
              <w:spacing w:after="0"/>
              <w:rPr>
                <w:sz w:val="20"/>
                <w:szCs w:val="20"/>
                <w:color w:val="auto"/>
              </w:rPr>
            </w:pPr>
            <w:r>
              <w:rPr>
                <w:rFonts w:ascii="Arial" w:cs="Arial" w:eastAsia="Arial" w:hAnsi="Arial"/>
                <w:sz w:val="13"/>
                <w:szCs w:val="13"/>
                <w:color w:val="auto"/>
              </w:rPr>
              <w:t>17,323</w:t>
            </w:r>
            <w:r>
              <w:rPr>
                <w:rFonts w:ascii="Arial" w:cs="Arial" w:eastAsia="Arial" w:hAnsi="Arial"/>
                <w:sz w:val="22"/>
                <w:szCs w:val="22"/>
                <w:color w:val="auto"/>
                <w:vertAlign w:val="superscript"/>
              </w:rPr>
              <w:t>(6)</w:t>
            </w:r>
          </w:p>
        </w:tc>
        <w:tc>
          <w:tcPr>
            <w:tcW w:w="11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735,188</w:t>
            </w:r>
          </w:p>
        </w:tc>
        <w:tc>
          <w:tcPr>
            <w:tcW w:w="0" w:type="dxa"/>
            <w:vAlign w:val="bottom"/>
          </w:tcPr>
          <w:p>
            <w:pPr>
              <w:spacing w:after="0"/>
              <w:rPr>
                <w:sz w:val="1"/>
                <w:szCs w:val="1"/>
                <w:color w:val="auto"/>
              </w:rPr>
            </w:pPr>
          </w:p>
        </w:tc>
      </w:tr>
      <w:tr>
        <w:trPr>
          <w:trHeight w:val="178"/>
        </w:trPr>
        <w:tc>
          <w:tcPr>
            <w:tcW w:w="27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360" w:type="dxa"/>
            <w:vAlign w:val="bottom"/>
            <w:vMerge w:val="restart"/>
          </w:tcPr>
          <w:p>
            <w:pPr>
              <w:jc w:val="right"/>
              <w:ind w:right="373"/>
              <w:spacing w:after="0"/>
              <w:rPr>
                <w:sz w:val="20"/>
                <w:szCs w:val="20"/>
                <w:color w:val="auto"/>
              </w:rPr>
            </w:pPr>
            <w:r>
              <w:rPr>
                <w:rFonts w:ascii="Arial" w:cs="Arial" w:eastAsia="Arial" w:hAnsi="Arial"/>
                <w:sz w:val="13"/>
                <w:szCs w:val="13"/>
                <w:color w:val="auto"/>
              </w:rPr>
              <w:t>17,323</w:t>
            </w:r>
            <w:r>
              <w:rPr>
                <w:rFonts w:ascii="Arial" w:cs="Arial" w:eastAsia="Arial" w:hAnsi="Arial"/>
                <w:sz w:val="22"/>
                <w:szCs w:val="22"/>
                <w:color w:val="auto"/>
                <w:vertAlign w:val="superscript"/>
              </w:rPr>
              <w:t>(7)</w:t>
            </w: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735,188</w:t>
            </w:r>
          </w:p>
        </w:tc>
        <w:tc>
          <w:tcPr>
            <w:tcW w:w="0" w:type="dxa"/>
            <w:vAlign w:val="bottom"/>
          </w:tcPr>
          <w:p>
            <w:pPr>
              <w:spacing w:after="0"/>
              <w:rPr>
                <w:sz w:val="1"/>
                <w:szCs w:val="1"/>
                <w:color w:val="auto"/>
              </w:rPr>
            </w:pPr>
          </w:p>
        </w:tc>
      </w:tr>
      <w:tr>
        <w:trPr>
          <w:trHeight w:val="112"/>
        </w:trPr>
        <w:tc>
          <w:tcPr>
            <w:tcW w:w="2740" w:type="dxa"/>
            <w:vAlign w:val="bottom"/>
            <w:tcBorders>
              <w:bottom w:val="single" w:sz="8" w:color="959595"/>
            </w:tcBorders>
          </w:tcPr>
          <w:p>
            <w:pPr>
              <w:spacing w:after="0"/>
              <w:rPr>
                <w:sz w:val="9"/>
                <w:szCs w:val="9"/>
                <w:color w:val="auto"/>
              </w:rPr>
            </w:pPr>
          </w:p>
        </w:tc>
        <w:tc>
          <w:tcPr>
            <w:tcW w:w="680" w:type="dxa"/>
            <w:vAlign w:val="bottom"/>
            <w:tcBorders>
              <w:bottom w:val="single" w:sz="8" w:color="959595"/>
            </w:tcBorders>
          </w:tcPr>
          <w:p>
            <w:pPr>
              <w:spacing w:after="0"/>
              <w:rPr>
                <w:sz w:val="9"/>
                <w:szCs w:val="9"/>
                <w:color w:val="auto"/>
              </w:rPr>
            </w:pPr>
          </w:p>
        </w:tc>
        <w:tc>
          <w:tcPr>
            <w:tcW w:w="940" w:type="dxa"/>
            <w:vAlign w:val="bottom"/>
            <w:tcBorders>
              <w:bottom w:val="single" w:sz="8" w:color="959595"/>
            </w:tcBorders>
          </w:tcPr>
          <w:p>
            <w:pPr>
              <w:spacing w:after="0"/>
              <w:rPr>
                <w:sz w:val="9"/>
                <w:szCs w:val="9"/>
                <w:color w:val="auto"/>
              </w:rPr>
            </w:pPr>
          </w:p>
        </w:tc>
        <w:tc>
          <w:tcPr>
            <w:tcW w:w="1060" w:type="dxa"/>
            <w:vAlign w:val="bottom"/>
            <w:tcBorders>
              <w:bottom w:val="single" w:sz="8" w:color="959595"/>
            </w:tcBorders>
          </w:tcPr>
          <w:p>
            <w:pPr>
              <w:spacing w:after="0"/>
              <w:rPr>
                <w:sz w:val="9"/>
                <w:szCs w:val="9"/>
                <w:color w:val="auto"/>
              </w:rPr>
            </w:pPr>
          </w:p>
        </w:tc>
        <w:tc>
          <w:tcPr>
            <w:tcW w:w="700" w:type="dxa"/>
            <w:vAlign w:val="bottom"/>
            <w:tcBorders>
              <w:bottom w:val="single" w:sz="8" w:color="959595"/>
            </w:tcBorders>
          </w:tcPr>
          <w:p>
            <w:pPr>
              <w:spacing w:after="0"/>
              <w:rPr>
                <w:sz w:val="9"/>
                <w:szCs w:val="9"/>
                <w:color w:val="auto"/>
              </w:rPr>
            </w:pPr>
          </w:p>
        </w:tc>
        <w:tc>
          <w:tcPr>
            <w:tcW w:w="820" w:type="dxa"/>
            <w:vAlign w:val="bottom"/>
            <w:tcBorders>
              <w:bottom w:val="single" w:sz="8" w:color="959595"/>
            </w:tcBorders>
          </w:tcPr>
          <w:p>
            <w:pPr>
              <w:spacing w:after="0"/>
              <w:rPr>
                <w:sz w:val="9"/>
                <w:szCs w:val="9"/>
                <w:color w:val="auto"/>
              </w:rPr>
            </w:pPr>
          </w:p>
        </w:tc>
        <w:tc>
          <w:tcPr>
            <w:tcW w:w="860" w:type="dxa"/>
            <w:vAlign w:val="bottom"/>
            <w:tcBorders>
              <w:bottom w:val="single" w:sz="8" w:color="959595"/>
            </w:tcBorders>
          </w:tcPr>
          <w:p>
            <w:pPr>
              <w:spacing w:after="0"/>
              <w:rPr>
                <w:sz w:val="9"/>
                <w:szCs w:val="9"/>
                <w:color w:val="auto"/>
              </w:rPr>
            </w:pPr>
          </w:p>
        </w:tc>
        <w:tc>
          <w:tcPr>
            <w:tcW w:w="960" w:type="dxa"/>
            <w:vAlign w:val="bottom"/>
            <w:tcBorders>
              <w:bottom w:val="single" w:sz="8" w:color="959595"/>
            </w:tcBorders>
          </w:tcPr>
          <w:p>
            <w:pPr>
              <w:spacing w:after="0"/>
              <w:rPr>
                <w:sz w:val="9"/>
                <w:szCs w:val="9"/>
                <w:color w:val="auto"/>
              </w:rPr>
            </w:pPr>
          </w:p>
        </w:tc>
        <w:tc>
          <w:tcPr>
            <w:tcW w:w="1360" w:type="dxa"/>
            <w:vAlign w:val="bottom"/>
            <w:tcBorders>
              <w:bottom w:val="single" w:sz="8" w:color="959595"/>
            </w:tcBorders>
            <w:vMerge w:val="continue"/>
          </w:tcPr>
          <w:p>
            <w:pPr>
              <w:spacing w:after="0"/>
              <w:rPr>
                <w:sz w:val="9"/>
                <w:szCs w:val="9"/>
                <w:color w:val="auto"/>
              </w:rPr>
            </w:pPr>
          </w:p>
        </w:tc>
        <w:tc>
          <w:tcPr>
            <w:tcW w:w="1120" w:type="dxa"/>
            <w:vAlign w:val="bottom"/>
            <w:tcBorders>
              <w:bottom w:val="single" w:sz="8" w:color="959595"/>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740" w:type="dxa"/>
            <w:vAlign w:val="bottom"/>
          </w:tcPr>
          <w:p>
            <w:pPr>
              <w:ind w:left="40"/>
              <w:spacing w:after="0"/>
              <w:rPr>
                <w:sz w:val="20"/>
                <w:szCs w:val="20"/>
                <w:color w:val="auto"/>
              </w:rPr>
            </w:pPr>
            <w:r>
              <w:rPr>
                <w:rFonts w:ascii="Arial" w:cs="Arial" w:eastAsia="Arial" w:hAnsi="Arial"/>
                <w:sz w:val="13"/>
                <w:szCs w:val="13"/>
                <w:b w:val="1"/>
                <w:bCs w:val="1"/>
                <w:color w:val="23628F"/>
              </w:rPr>
              <w:t>Srinivasan Sivaram</w:t>
            </w:r>
          </w:p>
        </w:tc>
        <w:tc>
          <w:tcPr>
            <w:tcW w:w="680" w:type="dxa"/>
            <w:vAlign w:val="bottom"/>
          </w:tcPr>
          <w:p>
            <w:pPr>
              <w:jc w:val="right"/>
              <w:spacing w:after="0"/>
              <w:rPr>
                <w:sz w:val="20"/>
                <w:szCs w:val="20"/>
                <w:color w:val="auto"/>
              </w:rPr>
            </w:pPr>
            <w:r>
              <w:rPr>
                <w:rFonts w:ascii="Arial" w:cs="Arial" w:eastAsia="Arial" w:hAnsi="Arial"/>
                <w:sz w:val="13"/>
                <w:szCs w:val="13"/>
                <w:color w:val="auto"/>
              </w:rPr>
              <w:t>5/12/2016</w:t>
            </w:r>
          </w:p>
        </w:tc>
        <w:tc>
          <w:tcPr>
            <w:tcW w:w="940" w:type="dxa"/>
            <w:vAlign w:val="bottom"/>
          </w:tcPr>
          <w:p>
            <w:pPr>
              <w:jc w:val="right"/>
              <w:spacing w:after="0"/>
              <w:rPr>
                <w:sz w:val="20"/>
                <w:szCs w:val="20"/>
                <w:color w:val="auto"/>
              </w:rPr>
            </w:pPr>
            <w:r>
              <w:rPr>
                <w:rFonts w:ascii="Arial" w:cs="Arial" w:eastAsia="Arial" w:hAnsi="Arial"/>
                <w:sz w:val="13"/>
                <w:szCs w:val="13"/>
                <w:color w:val="auto"/>
              </w:rPr>
              <w:t>11,380</w:t>
            </w:r>
          </w:p>
        </w:tc>
        <w:tc>
          <w:tcPr>
            <w:tcW w:w="1060" w:type="dxa"/>
            <w:vAlign w:val="bottom"/>
          </w:tcPr>
          <w:p>
            <w:pPr>
              <w:jc w:val="right"/>
              <w:ind w:right="493"/>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40.63</w:t>
            </w:r>
          </w:p>
        </w:tc>
        <w:tc>
          <w:tcPr>
            <w:tcW w:w="820" w:type="dxa"/>
            <w:vAlign w:val="bottom"/>
          </w:tcPr>
          <w:p>
            <w:pPr>
              <w:jc w:val="right"/>
              <w:spacing w:after="0"/>
              <w:rPr>
                <w:sz w:val="20"/>
                <w:szCs w:val="20"/>
                <w:color w:val="auto"/>
              </w:rPr>
            </w:pPr>
            <w:r>
              <w:rPr>
                <w:rFonts w:ascii="Arial" w:cs="Arial" w:eastAsia="Arial" w:hAnsi="Arial"/>
                <w:sz w:val="13"/>
                <w:szCs w:val="13"/>
                <w:color w:val="auto"/>
              </w:rPr>
              <w:t>2/16/2022</w:t>
            </w:r>
          </w:p>
        </w:tc>
        <w:tc>
          <w:tcPr>
            <w:tcW w:w="860" w:type="dxa"/>
            <w:vAlign w:val="bottom"/>
          </w:tcPr>
          <w:p>
            <w:pPr>
              <w:jc w:val="right"/>
              <w:ind w:right="253"/>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513"/>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1"/>
        </w:trPr>
        <w:tc>
          <w:tcPr>
            <w:tcW w:w="2740" w:type="dxa"/>
            <w:vAlign w:val="bottom"/>
          </w:tcPr>
          <w:p>
            <w:pPr>
              <w:spacing w:after="0"/>
              <w:rPr>
                <w:sz w:val="3"/>
                <w:szCs w:val="3"/>
                <w:color w:val="auto"/>
              </w:rPr>
            </w:pPr>
          </w:p>
        </w:tc>
        <w:tc>
          <w:tcPr>
            <w:tcW w:w="680" w:type="dxa"/>
            <w:vAlign w:val="bottom"/>
            <w:tcBorders>
              <w:bottom w:val="single" w:sz="8" w:color="959595"/>
            </w:tcBorders>
          </w:tcPr>
          <w:p>
            <w:pPr>
              <w:spacing w:after="0"/>
              <w:rPr>
                <w:sz w:val="3"/>
                <w:szCs w:val="3"/>
                <w:color w:val="auto"/>
              </w:rPr>
            </w:pPr>
          </w:p>
        </w:tc>
        <w:tc>
          <w:tcPr>
            <w:tcW w:w="940" w:type="dxa"/>
            <w:vAlign w:val="bottom"/>
            <w:tcBorders>
              <w:bottom w:val="single" w:sz="8" w:color="959595"/>
            </w:tcBorders>
          </w:tcPr>
          <w:p>
            <w:pPr>
              <w:spacing w:after="0"/>
              <w:rPr>
                <w:sz w:val="3"/>
                <w:szCs w:val="3"/>
                <w:color w:val="auto"/>
              </w:rPr>
            </w:pPr>
          </w:p>
        </w:tc>
        <w:tc>
          <w:tcPr>
            <w:tcW w:w="1060" w:type="dxa"/>
            <w:vAlign w:val="bottom"/>
            <w:tcBorders>
              <w:bottom w:val="single" w:sz="8" w:color="959595"/>
            </w:tcBorders>
          </w:tcPr>
          <w:p>
            <w:pPr>
              <w:spacing w:after="0"/>
              <w:rPr>
                <w:sz w:val="3"/>
                <w:szCs w:val="3"/>
                <w:color w:val="auto"/>
              </w:rPr>
            </w:pPr>
          </w:p>
        </w:tc>
        <w:tc>
          <w:tcPr>
            <w:tcW w:w="700" w:type="dxa"/>
            <w:vAlign w:val="bottom"/>
            <w:tcBorders>
              <w:bottom w:val="single" w:sz="8" w:color="959595"/>
            </w:tcBorders>
          </w:tcPr>
          <w:p>
            <w:pPr>
              <w:spacing w:after="0"/>
              <w:rPr>
                <w:sz w:val="3"/>
                <w:szCs w:val="3"/>
                <w:color w:val="auto"/>
              </w:rPr>
            </w:pPr>
          </w:p>
        </w:tc>
        <w:tc>
          <w:tcPr>
            <w:tcW w:w="820" w:type="dxa"/>
            <w:vAlign w:val="bottom"/>
            <w:tcBorders>
              <w:bottom w:val="single" w:sz="8" w:color="959595"/>
            </w:tcBorders>
          </w:tcPr>
          <w:p>
            <w:pPr>
              <w:spacing w:after="0"/>
              <w:rPr>
                <w:sz w:val="3"/>
                <w:szCs w:val="3"/>
                <w:color w:val="auto"/>
              </w:rPr>
            </w:pPr>
          </w:p>
        </w:tc>
        <w:tc>
          <w:tcPr>
            <w:tcW w:w="860" w:type="dxa"/>
            <w:vAlign w:val="bottom"/>
            <w:tcBorders>
              <w:bottom w:val="single" w:sz="8" w:color="959595"/>
            </w:tcBorders>
          </w:tcPr>
          <w:p>
            <w:pPr>
              <w:spacing w:after="0"/>
              <w:rPr>
                <w:sz w:val="3"/>
                <w:szCs w:val="3"/>
                <w:color w:val="auto"/>
              </w:rPr>
            </w:pPr>
          </w:p>
        </w:tc>
        <w:tc>
          <w:tcPr>
            <w:tcW w:w="960" w:type="dxa"/>
            <w:vAlign w:val="bottom"/>
            <w:tcBorders>
              <w:bottom w:val="single" w:sz="8" w:color="959595"/>
            </w:tcBorders>
          </w:tcPr>
          <w:p>
            <w:pPr>
              <w:spacing w:after="0"/>
              <w:rPr>
                <w:sz w:val="3"/>
                <w:szCs w:val="3"/>
                <w:color w:val="auto"/>
              </w:rPr>
            </w:pPr>
          </w:p>
        </w:tc>
        <w:tc>
          <w:tcPr>
            <w:tcW w:w="1360" w:type="dxa"/>
            <w:vAlign w:val="bottom"/>
            <w:tcBorders>
              <w:bottom w:val="single" w:sz="8" w:color="959595"/>
            </w:tcBorders>
          </w:tcPr>
          <w:p>
            <w:pPr>
              <w:spacing w:after="0"/>
              <w:rPr>
                <w:sz w:val="3"/>
                <w:szCs w:val="3"/>
                <w:color w:val="auto"/>
              </w:rPr>
            </w:pPr>
          </w:p>
        </w:tc>
        <w:tc>
          <w:tcPr>
            <w:tcW w:w="112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2740" w:type="dxa"/>
            <w:vAlign w:val="bottom"/>
          </w:tcPr>
          <w:p>
            <w:pPr>
              <w:spacing w:after="0"/>
              <w:rPr>
                <w:sz w:val="24"/>
                <w:szCs w:val="24"/>
                <w:color w:val="auto"/>
              </w:rPr>
            </w:pPr>
          </w:p>
        </w:tc>
        <w:tc>
          <w:tcPr>
            <w:tcW w:w="68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8/3/2016</w:t>
            </w:r>
          </w:p>
        </w:tc>
        <w:tc>
          <w:tcPr>
            <w:tcW w:w="9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28,984</w:t>
            </w:r>
          </w:p>
        </w:tc>
        <w:tc>
          <w:tcPr>
            <w:tcW w:w="1060" w:type="dxa"/>
            <w:vAlign w:val="bottom"/>
            <w:tcBorders>
              <w:bottom w:val="single" w:sz="8" w:color="959595"/>
            </w:tcBorders>
          </w:tcPr>
          <w:p>
            <w:pPr>
              <w:jc w:val="right"/>
              <w:ind w:right="353"/>
              <w:spacing w:after="0"/>
              <w:rPr>
                <w:sz w:val="20"/>
                <w:szCs w:val="20"/>
                <w:color w:val="auto"/>
              </w:rPr>
            </w:pPr>
            <w:r>
              <w:rPr>
                <w:rFonts w:ascii="Arial" w:cs="Arial" w:eastAsia="Arial" w:hAnsi="Arial"/>
                <w:sz w:val="13"/>
                <w:szCs w:val="13"/>
                <w:color w:val="auto"/>
              </w:rPr>
              <w:t>3,622</w:t>
            </w:r>
            <w:r>
              <w:rPr>
                <w:rFonts w:ascii="Arial" w:cs="Arial" w:eastAsia="Arial" w:hAnsi="Arial"/>
                <w:sz w:val="22"/>
                <w:szCs w:val="22"/>
                <w:color w:val="auto"/>
                <w:vertAlign w:val="superscript"/>
              </w:rPr>
              <w:t>(8)</w:t>
            </w:r>
          </w:p>
        </w:tc>
        <w:tc>
          <w:tcPr>
            <w:tcW w:w="70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44.78</w:t>
            </w:r>
          </w:p>
        </w:tc>
        <w:tc>
          <w:tcPr>
            <w:tcW w:w="8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8/3/2023</w:t>
            </w:r>
          </w:p>
        </w:tc>
        <w:tc>
          <w:tcPr>
            <w:tcW w:w="860" w:type="dxa"/>
            <w:vAlign w:val="bottom"/>
            <w:tcBorders>
              <w:bottom w:val="single" w:sz="8" w:color="959595"/>
            </w:tcBorders>
          </w:tcPr>
          <w:p>
            <w:pPr>
              <w:jc w:val="right"/>
              <w:ind w:right="113"/>
              <w:spacing w:after="0"/>
              <w:rPr>
                <w:sz w:val="20"/>
                <w:szCs w:val="20"/>
                <w:color w:val="auto"/>
              </w:rPr>
            </w:pPr>
            <w:r>
              <w:rPr>
                <w:rFonts w:ascii="Arial" w:cs="Arial" w:eastAsia="Arial" w:hAnsi="Arial"/>
                <w:sz w:val="13"/>
                <w:szCs w:val="13"/>
                <w:color w:val="auto"/>
              </w:rPr>
              <w:t>7,100</w:t>
            </w:r>
            <w:r>
              <w:rPr>
                <w:rFonts w:ascii="Arial" w:cs="Arial" w:eastAsia="Arial" w:hAnsi="Arial"/>
                <w:sz w:val="22"/>
                <w:szCs w:val="22"/>
                <w:color w:val="auto"/>
                <w:vertAlign w:val="superscript"/>
              </w:rPr>
              <w:t>(5)</w:t>
            </w:r>
          </w:p>
        </w:tc>
        <w:tc>
          <w:tcPr>
            <w:tcW w:w="9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301,324</w:t>
            </w:r>
          </w:p>
        </w:tc>
        <w:tc>
          <w:tcPr>
            <w:tcW w:w="1360" w:type="dxa"/>
            <w:vAlign w:val="bottom"/>
            <w:tcBorders>
              <w:bottom w:val="single" w:sz="8" w:color="959595"/>
            </w:tcBorders>
          </w:tcPr>
          <w:p>
            <w:pPr>
              <w:jc w:val="right"/>
              <w:ind w:right="513"/>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68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8/2/2017</w:t>
            </w:r>
          </w:p>
        </w:tc>
        <w:tc>
          <w:tcPr>
            <w:tcW w:w="9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959595"/>
            </w:tcBorders>
          </w:tcPr>
          <w:p>
            <w:pPr>
              <w:jc w:val="right"/>
              <w:ind w:right="493"/>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959595"/>
            </w:tcBorders>
          </w:tcPr>
          <w:p>
            <w:pPr>
              <w:jc w:val="right"/>
              <w:ind w:right="113"/>
              <w:spacing w:after="0"/>
              <w:rPr>
                <w:sz w:val="20"/>
                <w:szCs w:val="20"/>
                <w:color w:val="auto"/>
              </w:rPr>
            </w:pPr>
            <w:r>
              <w:rPr>
                <w:rFonts w:ascii="Arial" w:cs="Arial" w:eastAsia="Arial" w:hAnsi="Arial"/>
                <w:sz w:val="13"/>
                <w:szCs w:val="13"/>
                <w:color w:val="auto"/>
              </w:rPr>
              <w:t>6,437</w:t>
            </w:r>
            <w:r>
              <w:rPr>
                <w:rFonts w:ascii="Arial" w:cs="Arial" w:eastAsia="Arial" w:hAnsi="Arial"/>
                <w:sz w:val="22"/>
                <w:szCs w:val="22"/>
                <w:color w:val="auto"/>
                <w:vertAlign w:val="superscript"/>
              </w:rPr>
              <w:t>(5)</w:t>
            </w:r>
          </w:p>
        </w:tc>
        <w:tc>
          <w:tcPr>
            <w:tcW w:w="9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273,186</w:t>
            </w:r>
          </w:p>
        </w:tc>
        <w:tc>
          <w:tcPr>
            <w:tcW w:w="1360" w:type="dxa"/>
            <w:vAlign w:val="bottom"/>
            <w:tcBorders>
              <w:bottom w:val="single" w:sz="8" w:color="959595"/>
            </w:tcBorders>
          </w:tcPr>
          <w:p>
            <w:pPr>
              <w:jc w:val="right"/>
              <w:ind w:right="513"/>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68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11/1/2017</w:t>
            </w:r>
          </w:p>
        </w:tc>
        <w:tc>
          <w:tcPr>
            <w:tcW w:w="9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959595"/>
            </w:tcBorders>
          </w:tcPr>
          <w:p>
            <w:pPr>
              <w:jc w:val="right"/>
              <w:ind w:right="493"/>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959595"/>
            </w:tcBorders>
          </w:tcPr>
          <w:p>
            <w:pPr>
              <w:jc w:val="right"/>
              <w:ind w:right="113"/>
              <w:spacing w:after="0"/>
              <w:rPr>
                <w:sz w:val="20"/>
                <w:szCs w:val="20"/>
                <w:color w:val="auto"/>
              </w:rPr>
            </w:pPr>
            <w:r>
              <w:rPr>
                <w:rFonts w:ascii="Arial" w:cs="Arial" w:eastAsia="Arial" w:hAnsi="Arial"/>
                <w:sz w:val="13"/>
                <w:szCs w:val="13"/>
                <w:color w:val="auto"/>
              </w:rPr>
              <w:t>30,523</w:t>
            </w:r>
            <w:r>
              <w:rPr>
                <w:rFonts w:ascii="Arial" w:cs="Arial" w:eastAsia="Arial" w:hAnsi="Arial"/>
                <w:sz w:val="22"/>
                <w:szCs w:val="22"/>
                <w:color w:val="auto"/>
                <w:vertAlign w:val="superscript"/>
              </w:rPr>
              <w:t>(9)</w:t>
            </w:r>
          </w:p>
        </w:tc>
        <w:tc>
          <w:tcPr>
            <w:tcW w:w="9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1,295,396</w:t>
            </w:r>
          </w:p>
        </w:tc>
        <w:tc>
          <w:tcPr>
            <w:tcW w:w="1360" w:type="dxa"/>
            <w:vAlign w:val="bottom"/>
            <w:tcBorders>
              <w:bottom w:val="single" w:sz="8" w:color="959595"/>
            </w:tcBorders>
          </w:tcPr>
          <w:p>
            <w:pPr>
              <w:jc w:val="right"/>
              <w:ind w:right="513"/>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0"/>
        </w:trPr>
        <w:tc>
          <w:tcPr>
            <w:tcW w:w="2740" w:type="dxa"/>
            <w:vAlign w:val="bottom"/>
          </w:tcPr>
          <w:p>
            <w:pPr>
              <w:spacing w:after="0"/>
              <w:rPr>
                <w:sz w:val="24"/>
                <w:szCs w:val="24"/>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8/30/2018</w:t>
            </w: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right"/>
              <w:ind w:right="493"/>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959595"/>
            </w:tcBorders>
          </w:tcPr>
          <w:p>
            <w:pPr>
              <w:jc w:val="right"/>
              <w:ind w:right="113"/>
              <w:spacing w:after="0"/>
              <w:rPr>
                <w:sz w:val="20"/>
                <w:szCs w:val="20"/>
                <w:color w:val="auto"/>
              </w:rPr>
            </w:pPr>
            <w:r>
              <w:rPr>
                <w:rFonts w:ascii="Arial" w:cs="Arial" w:eastAsia="Arial" w:hAnsi="Arial"/>
                <w:sz w:val="13"/>
                <w:szCs w:val="13"/>
                <w:color w:val="auto"/>
              </w:rPr>
              <w:t>19,828</w:t>
            </w:r>
            <w:r>
              <w:rPr>
                <w:rFonts w:ascii="Arial" w:cs="Arial" w:eastAsia="Arial" w:hAnsi="Arial"/>
                <w:sz w:val="22"/>
                <w:szCs w:val="22"/>
                <w:color w:val="auto"/>
                <w:vertAlign w:val="superscript"/>
              </w:rPr>
              <w:t>(5)</w:t>
            </w:r>
          </w:p>
        </w:tc>
        <w:tc>
          <w:tcPr>
            <w:tcW w:w="9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841,500</w:t>
            </w:r>
          </w:p>
        </w:tc>
        <w:tc>
          <w:tcPr>
            <w:tcW w:w="1360" w:type="dxa"/>
            <w:vAlign w:val="bottom"/>
            <w:tcBorders>
              <w:bottom w:val="single" w:sz="8" w:color="959595"/>
            </w:tcBorders>
          </w:tcPr>
          <w:p>
            <w:pPr>
              <w:jc w:val="right"/>
              <w:ind w:right="313"/>
              <w:spacing w:after="0"/>
              <w:rPr>
                <w:sz w:val="20"/>
                <w:szCs w:val="20"/>
                <w:color w:val="auto"/>
              </w:rPr>
            </w:pPr>
            <w:r>
              <w:rPr>
                <w:rFonts w:ascii="Arial" w:cs="Arial" w:eastAsia="Arial" w:hAnsi="Arial"/>
                <w:sz w:val="13"/>
                <w:szCs w:val="13"/>
                <w:color w:val="auto"/>
              </w:rPr>
              <w:t>3,305</w:t>
            </w:r>
            <w:r>
              <w:rPr>
                <w:rFonts w:ascii="Arial" w:cs="Arial" w:eastAsia="Arial" w:hAnsi="Arial"/>
                <w:sz w:val="22"/>
                <w:szCs w:val="22"/>
                <w:color w:val="auto"/>
                <w:vertAlign w:val="superscript"/>
              </w:rPr>
              <w:t>(10)</w:t>
            </w:r>
          </w:p>
        </w:tc>
        <w:tc>
          <w:tcPr>
            <w:tcW w:w="11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140,264</w:t>
            </w:r>
          </w:p>
        </w:tc>
        <w:tc>
          <w:tcPr>
            <w:tcW w:w="0" w:type="dxa"/>
            <w:vAlign w:val="bottom"/>
          </w:tcPr>
          <w:p>
            <w:pPr>
              <w:spacing w:after="0"/>
              <w:rPr>
                <w:sz w:val="1"/>
                <w:szCs w:val="1"/>
                <w:color w:val="auto"/>
              </w:rPr>
            </w:pPr>
          </w:p>
        </w:tc>
      </w:tr>
      <w:tr>
        <w:trPr>
          <w:trHeight w:val="60"/>
        </w:trPr>
        <w:tc>
          <w:tcPr>
            <w:tcW w:w="2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860" w:type="dxa"/>
            <w:vAlign w:val="bottom"/>
            <w:vMerge w:val="restart"/>
          </w:tcPr>
          <w:p>
            <w:pPr>
              <w:jc w:val="right"/>
              <w:ind w:right="53"/>
              <w:spacing w:after="0"/>
              <w:rPr>
                <w:sz w:val="20"/>
                <w:szCs w:val="20"/>
                <w:color w:val="auto"/>
              </w:rPr>
            </w:pPr>
            <w:r>
              <w:rPr>
                <w:rFonts w:ascii="Arial" w:cs="Arial" w:eastAsia="Arial" w:hAnsi="Arial"/>
                <w:sz w:val="13"/>
                <w:szCs w:val="13"/>
                <w:color w:val="auto"/>
              </w:rPr>
              <w:t>3,040</w:t>
            </w:r>
            <w:r>
              <w:rPr>
                <w:rFonts w:ascii="Arial" w:cs="Arial" w:eastAsia="Arial" w:hAnsi="Arial"/>
                <w:sz w:val="22"/>
                <w:szCs w:val="22"/>
                <w:color w:val="auto"/>
                <w:vertAlign w:val="superscript"/>
              </w:rPr>
              <w:t>(11)</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129,018</w:t>
            </w:r>
          </w:p>
        </w:tc>
        <w:tc>
          <w:tcPr>
            <w:tcW w:w="1360" w:type="dxa"/>
            <w:vAlign w:val="bottom"/>
            <w:vMerge w:val="restart"/>
          </w:tcPr>
          <w:p>
            <w:pPr>
              <w:jc w:val="right"/>
              <w:ind w:right="313"/>
              <w:spacing w:after="0"/>
              <w:rPr>
                <w:sz w:val="20"/>
                <w:szCs w:val="20"/>
                <w:color w:val="auto"/>
              </w:rPr>
            </w:pPr>
            <w:r>
              <w:rPr>
                <w:rFonts w:ascii="Arial" w:cs="Arial" w:eastAsia="Arial" w:hAnsi="Arial"/>
                <w:sz w:val="13"/>
                <w:szCs w:val="13"/>
                <w:color w:val="auto"/>
              </w:rPr>
              <w:t>9,914</w:t>
            </w:r>
            <w:r>
              <w:rPr>
                <w:rFonts w:ascii="Arial" w:cs="Arial" w:eastAsia="Arial" w:hAnsi="Arial"/>
                <w:sz w:val="22"/>
                <w:szCs w:val="22"/>
                <w:color w:val="auto"/>
                <w:vertAlign w:val="superscript"/>
              </w:rPr>
              <w:t>(12)</w:t>
            </w: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420,750</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680" w:type="dxa"/>
            <w:vAlign w:val="bottom"/>
            <w:tcBorders>
              <w:bottom w:val="single" w:sz="8" w:color="959595"/>
            </w:tcBorders>
          </w:tcPr>
          <w:p>
            <w:pPr>
              <w:spacing w:after="0"/>
              <w:rPr>
                <w:sz w:val="20"/>
                <w:szCs w:val="20"/>
                <w:color w:val="auto"/>
              </w:rPr>
            </w:pPr>
          </w:p>
        </w:tc>
        <w:tc>
          <w:tcPr>
            <w:tcW w:w="940" w:type="dxa"/>
            <w:vAlign w:val="bottom"/>
            <w:tcBorders>
              <w:bottom w:val="single" w:sz="8" w:color="959595"/>
            </w:tcBorders>
          </w:tcPr>
          <w:p>
            <w:pPr>
              <w:spacing w:after="0"/>
              <w:rPr>
                <w:sz w:val="20"/>
                <w:szCs w:val="20"/>
                <w:color w:val="auto"/>
              </w:rPr>
            </w:pPr>
          </w:p>
        </w:tc>
        <w:tc>
          <w:tcPr>
            <w:tcW w:w="1060" w:type="dxa"/>
            <w:vAlign w:val="bottom"/>
            <w:tcBorders>
              <w:bottom w:val="single" w:sz="8" w:color="959595"/>
            </w:tcBorders>
          </w:tcPr>
          <w:p>
            <w:pPr>
              <w:spacing w:after="0"/>
              <w:rPr>
                <w:sz w:val="20"/>
                <w:szCs w:val="20"/>
                <w:color w:val="auto"/>
              </w:rPr>
            </w:pPr>
          </w:p>
        </w:tc>
        <w:tc>
          <w:tcPr>
            <w:tcW w:w="700" w:type="dxa"/>
            <w:vAlign w:val="bottom"/>
            <w:tcBorders>
              <w:bottom w:val="single" w:sz="8" w:color="959595"/>
            </w:tcBorders>
          </w:tcPr>
          <w:p>
            <w:pPr>
              <w:spacing w:after="0"/>
              <w:rPr>
                <w:sz w:val="20"/>
                <w:szCs w:val="20"/>
                <w:color w:val="auto"/>
              </w:rPr>
            </w:pPr>
          </w:p>
        </w:tc>
        <w:tc>
          <w:tcPr>
            <w:tcW w:w="820" w:type="dxa"/>
            <w:vAlign w:val="bottom"/>
            <w:tcBorders>
              <w:bottom w:val="single" w:sz="8" w:color="959595"/>
            </w:tcBorders>
          </w:tcPr>
          <w:p>
            <w:pPr>
              <w:spacing w:after="0"/>
              <w:rPr>
                <w:sz w:val="20"/>
                <w:szCs w:val="20"/>
                <w:color w:val="auto"/>
              </w:rPr>
            </w:pPr>
          </w:p>
        </w:tc>
        <w:tc>
          <w:tcPr>
            <w:tcW w:w="860" w:type="dxa"/>
            <w:vAlign w:val="bottom"/>
            <w:tcBorders>
              <w:bottom w:val="single" w:sz="8" w:color="959595"/>
            </w:tcBorders>
            <w:vMerge w:val="continue"/>
          </w:tcPr>
          <w:p>
            <w:pPr>
              <w:spacing w:after="0"/>
              <w:rPr>
                <w:sz w:val="20"/>
                <w:szCs w:val="20"/>
                <w:color w:val="auto"/>
              </w:rPr>
            </w:pPr>
          </w:p>
        </w:tc>
        <w:tc>
          <w:tcPr>
            <w:tcW w:w="960" w:type="dxa"/>
            <w:vAlign w:val="bottom"/>
            <w:tcBorders>
              <w:bottom w:val="single" w:sz="8" w:color="959595"/>
            </w:tcBorders>
            <w:vMerge w:val="continue"/>
          </w:tcPr>
          <w:p>
            <w:pPr>
              <w:spacing w:after="0"/>
              <w:rPr>
                <w:sz w:val="20"/>
                <w:szCs w:val="20"/>
                <w:color w:val="auto"/>
              </w:rPr>
            </w:pPr>
          </w:p>
        </w:tc>
        <w:tc>
          <w:tcPr>
            <w:tcW w:w="1360" w:type="dxa"/>
            <w:vAlign w:val="bottom"/>
            <w:tcBorders>
              <w:bottom w:val="single" w:sz="8" w:color="959595"/>
            </w:tcBorders>
            <w:vMerge w:val="continue"/>
          </w:tcPr>
          <w:p>
            <w:pPr>
              <w:spacing w:after="0"/>
              <w:rPr>
                <w:sz w:val="20"/>
                <w:szCs w:val="20"/>
                <w:color w:val="auto"/>
              </w:rPr>
            </w:pPr>
          </w:p>
        </w:tc>
        <w:tc>
          <w:tcPr>
            <w:tcW w:w="1120" w:type="dxa"/>
            <w:vAlign w:val="bottom"/>
            <w:tcBorders>
              <w:bottom w:val="single" w:sz="8" w:color="959595"/>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2740" w:type="dxa"/>
            <w:vAlign w:val="bottom"/>
          </w:tcPr>
          <w:p>
            <w:pPr>
              <w:spacing w:after="0"/>
              <w:rPr>
                <w:sz w:val="24"/>
                <w:szCs w:val="24"/>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9/4/2019</w:t>
            </w: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right"/>
              <w:ind w:right="493"/>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ind w:right="113"/>
              <w:spacing w:after="0"/>
              <w:rPr>
                <w:sz w:val="20"/>
                <w:szCs w:val="20"/>
                <w:color w:val="auto"/>
              </w:rPr>
            </w:pPr>
            <w:r>
              <w:rPr>
                <w:rFonts w:ascii="Arial" w:cs="Arial" w:eastAsia="Arial" w:hAnsi="Arial"/>
                <w:sz w:val="13"/>
                <w:szCs w:val="13"/>
                <w:color w:val="auto"/>
              </w:rPr>
              <w:t>34,647</w:t>
            </w:r>
            <w:r>
              <w:rPr>
                <w:rFonts w:ascii="Arial" w:cs="Arial" w:eastAsia="Arial" w:hAnsi="Arial"/>
                <w:sz w:val="22"/>
                <w:szCs w:val="22"/>
                <w:color w:val="auto"/>
                <w:vertAlign w:val="superscript"/>
              </w:rPr>
              <w:t>(5)</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1,470,419</w:t>
            </w:r>
          </w:p>
        </w:tc>
        <w:tc>
          <w:tcPr>
            <w:tcW w:w="1360" w:type="dxa"/>
            <w:vAlign w:val="bottom"/>
            <w:tcBorders>
              <w:bottom w:val="single" w:sz="8" w:color="959595"/>
            </w:tcBorders>
          </w:tcPr>
          <w:p>
            <w:pPr>
              <w:jc w:val="right"/>
              <w:ind w:right="373"/>
              <w:spacing w:after="0"/>
              <w:rPr>
                <w:sz w:val="20"/>
                <w:szCs w:val="20"/>
                <w:color w:val="auto"/>
              </w:rPr>
            </w:pPr>
            <w:r>
              <w:rPr>
                <w:rFonts w:ascii="Arial" w:cs="Arial" w:eastAsia="Arial" w:hAnsi="Arial"/>
                <w:sz w:val="13"/>
                <w:szCs w:val="13"/>
                <w:color w:val="auto"/>
              </w:rPr>
              <w:t>17,323</w:t>
            </w:r>
            <w:r>
              <w:rPr>
                <w:rFonts w:ascii="Arial" w:cs="Arial" w:eastAsia="Arial" w:hAnsi="Arial"/>
                <w:sz w:val="22"/>
                <w:szCs w:val="22"/>
                <w:color w:val="auto"/>
                <w:vertAlign w:val="superscript"/>
              </w:rPr>
              <w:t>(6)</w:t>
            </w:r>
          </w:p>
        </w:tc>
        <w:tc>
          <w:tcPr>
            <w:tcW w:w="11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735,188</w:t>
            </w:r>
          </w:p>
        </w:tc>
        <w:tc>
          <w:tcPr>
            <w:tcW w:w="0" w:type="dxa"/>
            <w:vAlign w:val="bottom"/>
          </w:tcPr>
          <w:p>
            <w:pPr>
              <w:spacing w:after="0"/>
              <w:rPr>
                <w:sz w:val="1"/>
                <w:szCs w:val="1"/>
                <w:color w:val="auto"/>
              </w:rPr>
            </w:pPr>
          </w:p>
        </w:tc>
      </w:tr>
      <w:tr>
        <w:trPr>
          <w:trHeight w:val="178"/>
        </w:trPr>
        <w:tc>
          <w:tcPr>
            <w:tcW w:w="27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360" w:type="dxa"/>
            <w:vAlign w:val="bottom"/>
            <w:vMerge w:val="restart"/>
          </w:tcPr>
          <w:p>
            <w:pPr>
              <w:jc w:val="right"/>
              <w:ind w:right="373"/>
              <w:spacing w:after="0"/>
              <w:rPr>
                <w:sz w:val="20"/>
                <w:szCs w:val="20"/>
                <w:color w:val="auto"/>
              </w:rPr>
            </w:pPr>
            <w:r>
              <w:rPr>
                <w:rFonts w:ascii="Arial" w:cs="Arial" w:eastAsia="Arial" w:hAnsi="Arial"/>
                <w:sz w:val="13"/>
                <w:szCs w:val="13"/>
                <w:color w:val="auto"/>
              </w:rPr>
              <w:t>17,323</w:t>
            </w:r>
            <w:r>
              <w:rPr>
                <w:rFonts w:ascii="Arial" w:cs="Arial" w:eastAsia="Arial" w:hAnsi="Arial"/>
                <w:sz w:val="22"/>
                <w:szCs w:val="22"/>
                <w:color w:val="auto"/>
                <w:vertAlign w:val="superscript"/>
              </w:rPr>
              <w:t>(7)</w:t>
            </w: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735,188</w:t>
            </w:r>
          </w:p>
        </w:tc>
        <w:tc>
          <w:tcPr>
            <w:tcW w:w="0" w:type="dxa"/>
            <w:vAlign w:val="bottom"/>
          </w:tcPr>
          <w:p>
            <w:pPr>
              <w:spacing w:after="0"/>
              <w:rPr>
                <w:sz w:val="1"/>
                <w:szCs w:val="1"/>
                <w:color w:val="auto"/>
              </w:rPr>
            </w:pPr>
          </w:p>
        </w:tc>
      </w:tr>
      <w:tr>
        <w:trPr>
          <w:trHeight w:val="112"/>
        </w:trPr>
        <w:tc>
          <w:tcPr>
            <w:tcW w:w="2740" w:type="dxa"/>
            <w:vAlign w:val="bottom"/>
            <w:tcBorders>
              <w:bottom w:val="single" w:sz="8" w:color="959595"/>
            </w:tcBorders>
          </w:tcPr>
          <w:p>
            <w:pPr>
              <w:spacing w:after="0"/>
              <w:rPr>
                <w:sz w:val="9"/>
                <w:szCs w:val="9"/>
                <w:color w:val="auto"/>
              </w:rPr>
            </w:pPr>
          </w:p>
        </w:tc>
        <w:tc>
          <w:tcPr>
            <w:tcW w:w="680" w:type="dxa"/>
            <w:vAlign w:val="bottom"/>
            <w:tcBorders>
              <w:bottom w:val="single" w:sz="8" w:color="959595"/>
            </w:tcBorders>
          </w:tcPr>
          <w:p>
            <w:pPr>
              <w:spacing w:after="0"/>
              <w:rPr>
                <w:sz w:val="9"/>
                <w:szCs w:val="9"/>
                <w:color w:val="auto"/>
              </w:rPr>
            </w:pPr>
          </w:p>
        </w:tc>
        <w:tc>
          <w:tcPr>
            <w:tcW w:w="940" w:type="dxa"/>
            <w:vAlign w:val="bottom"/>
            <w:tcBorders>
              <w:bottom w:val="single" w:sz="8" w:color="959595"/>
            </w:tcBorders>
          </w:tcPr>
          <w:p>
            <w:pPr>
              <w:spacing w:after="0"/>
              <w:rPr>
                <w:sz w:val="9"/>
                <w:szCs w:val="9"/>
                <w:color w:val="auto"/>
              </w:rPr>
            </w:pPr>
          </w:p>
        </w:tc>
        <w:tc>
          <w:tcPr>
            <w:tcW w:w="1060" w:type="dxa"/>
            <w:vAlign w:val="bottom"/>
            <w:tcBorders>
              <w:bottom w:val="single" w:sz="8" w:color="959595"/>
            </w:tcBorders>
          </w:tcPr>
          <w:p>
            <w:pPr>
              <w:spacing w:after="0"/>
              <w:rPr>
                <w:sz w:val="9"/>
                <w:szCs w:val="9"/>
                <w:color w:val="auto"/>
              </w:rPr>
            </w:pPr>
          </w:p>
        </w:tc>
        <w:tc>
          <w:tcPr>
            <w:tcW w:w="700" w:type="dxa"/>
            <w:vAlign w:val="bottom"/>
            <w:tcBorders>
              <w:bottom w:val="single" w:sz="8" w:color="959595"/>
            </w:tcBorders>
          </w:tcPr>
          <w:p>
            <w:pPr>
              <w:spacing w:after="0"/>
              <w:rPr>
                <w:sz w:val="9"/>
                <w:szCs w:val="9"/>
                <w:color w:val="auto"/>
              </w:rPr>
            </w:pPr>
          </w:p>
        </w:tc>
        <w:tc>
          <w:tcPr>
            <w:tcW w:w="820" w:type="dxa"/>
            <w:vAlign w:val="bottom"/>
            <w:tcBorders>
              <w:bottom w:val="single" w:sz="8" w:color="959595"/>
            </w:tcBorders>
          </w:tcPr>
          <w:p>
            <w:pPr>
              <w:spacing w:after="0"/>
              <w:rPr>
                <w:sz w:val="9"/>
                <w:szCs w:val="9"/>
                <w:color w:val="auto"/>
              </w:rPr>
            </w:pPr>
          </w:p>
        </w:tc>
        <w:tc>
          <w:tcPr>
            <w:tcW w:w="860" w:type="dxa"/>
            <w:vAlign w:val="bottom"/>
            <w:tcBorders>
              <w:bottom w:val="single" w:sz="8" w:color="959595"/>
            </w:tcBorders>
          </w:tcPr>
          <w:p>
            <w:pPr>
              <w:spacing w:after="0"/>
              <w:rPr>
                <w:sz w:val="9"/>
                <w:szCs w:val="9"/>
                <w:color w:val="auto"/>
              </w:rPr>
            </w:pPr>
          </w:p>
        </w:tc>
        <w:tc>
          <w:tcPr>
            <w:tcW w:w="960" w:type="dxa"/>
            <w:vAlign w:val="bottom"/>
            <w:tcBorders>
              <w:bottom w:val="single" w:sz="8" w:color="959595"/>
            </w:tcBorders>
          </w:tcPr>
          <w:p>
            <w:pPr>
              <w:spacing w:after="0"/>
              <w:rPr>
                <w:sz w:val="9"/>
                <w:szCs w:val="9"/>
                <w:color w:val="auto"/>
              </w:rPr>
            </w:pPr>
          </w:p>
        </w:tc>
        <w:tc>
          <w:tcPr>
            <w:tcW w:w="1360" w:type="dxa"/>
            <w:vAlign w:val="bottom"/>
            <w:tcBorders>
              <w:bottom w:val="single" w:sz="8" w:color="959595"/>
            </w:tcBorders>
            <w:vMerge w:val="continue"/>
          </w:tcPr>
          <w:p>
            <w:pPr>
              <w:spacing w:after="0"/>
              <w:rPr>
                <w:sz w:val="9"/>
                <w:szCs w:val="9"/>
                <w:color w:val="auto"/>
              </w:rPr>
            </w:pPr>
          </w:p>
        </w:tc>
        <w:tc>
          <w:tcPr>
            <w:tcW w:w="1120" w:type="dxa"/>
            <w:vAlign w:val="bottom"/>
            <w:tcBorders>
              <w:bottom w:val="single" w:sz="8" w:color="959595"/>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740" w:type="dxa"/>
            <w:vAlign w:val="bottom"/>
          </w:tcPr>
          <w:p>
            <w:pPr>
              <w:ind w:left="40"/>
              <w:spacing w:after="0"/>
              <w:rPr>
                <w:sz w:val="20"/>
                <w:szCs w:val="20"/>
                <w:color w:val="auto"/>
              </w:rPr>
            </w:pPr>
            <w:r>
              <w:rPr>
                <w:rFonts w:ascii="Arial" w:cs="Arial" w:eastAsia="Arial" w:hAnsi="Arial"/>
                <w:sz w:val="13"/>
                <w:szCs w:val="13"/>
                <w:b w:val="1"/>
                <w:bCs w:val="1"/>
                <w:color w:val="23628F"/>
              </w:rPr>
              <w:t>Michael C. Ray</w:t>
            </w:r>
          </w:p>
        </w:tc>
        <w:tc>
          <w:tcPr>
            <w:tcW w:w="680" w:type="dxa"/>
            <w:vAlign w:val="bottom"/>
          </w:tcPr>
          <w:p>
            <w:pPr>
              <w:jc w:val="right"/>
              <w:spacing w:after="0"/>
              <w:rPr>
                <w:sz w:val="20"/>
                <w:szCs w:val="20"/>
                <w:color w:val="auto"/>
              </w:rPr>
            </w:pPr>
            <w:r>
              <w:rPr>
                <w:rFonts w:ascii="Arial" w:cs="Arial" w:eastAsia="Arial" w:hAnsi="Arial"/>
                <w:sz w:val="13"/>
                <w:szCs w:val="13"/>
                <w:color w:val="auto"/>
              </w:rPr>
              <w:t>9/11/2014</w:t>
            </w:r>
          </w:p>
        </w:tc>
        <w:tc>
          <w:tcPr>
            <w:tcW w:w="940" w:type="dxa"/>
            <w:vAlign w:val="bottom"/>
          </w:tcPr>
          <w:p>
            <w:pPr>
              <w:jc w:val="right"/>
              <w:spacing w:after="0"/>
              <w:rPr>
                <w:sz w:val="20"/>
                <w:szCs w:val="20"/>
                <w:color w:val="auto"/>
              </w:rPr>
            </w:pPr>
            <w:r>
              <w:rPr>
                <w:rFonts w:ascii="Arial" w:cs="Arial" w:eastAsia="Arial" w:hAnsi="Arial"/>
                <w:sz w:val="13"/>
                <w:szCs w:val="13"/>
                <w:color w:val="auto"/>
              </w:rPr>
              <w:t>22,524</w:t>
            </w:r>
          </w:p>
        </w:tc>
        <w:tc>
          <w:tcPr>
            <w:tcW w:w="1060" w:type="dxa"/>
            <w:vAlign w:val="bottom"/>
          </w:tcPr>
          <w:p>
            <w:pPr>
              <w:jc w:val="right"/>
              <w:ind w:right="493"/>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100.06</w:t>
            </w:r>
          </w:p>
        </w:tc>
        <w:tc>
          <w:tcPr>
            <w:tcW w:w="820" w:type="dxa"/>
            <w:vAlign w:val="bottom"/>
          </w:tcPr>
          <w:p>
            <w:pPr>
              <w:jc w:val="right"/>
              <w:spacing w:after="0"/>
              <w:rPr>
                <w:sz w:val="20"/>
                <w:szCs w:val="20"/>
                <w:color w:val="auto"/>
              </w:rPr>
            </w:pPr>
            <w:r>
              <w:rPr>
                <w:rFonts w:ascii="Arial" w:cs="Arial" w:eastAsia="Arial" w:hAnsi="Arial"/>
                <w:sz w:val="13"/>
                <w:szCs w:val="13"/>
                <w:color w:val="auto"/>
              </w:rPr>
              <w:t>9/11/2021</w:t>
            </w:r>
          </w:p>
        </w:tc>
        <w:tc>
          <w:tcPr>
            <w:tcW w:w="860" w:type="dxa"/>
            <w:vAlign w:val="bottom"/>
          </w:tcPr>
          <w:p>
            <w:pPr>
              <w:jc w:val="right"/>
              <w:ind w:right="253"/>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513"/>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1"/>
        </w:trPr>
        <w:tc>
          <w:tcPr>
            <w:tcW w:w="2740" w:type="dxa"/>
            <w:vAlign w:val="bottom"/>
          </w:tcPr>
          <w:p>
            <w:pPr>
              <w:spacing w:after="0"/>
              <w:rPr>
                <w:sz w:val="3"/>
                <w:szCs w:val="3"/>
                <w:color w:val="auto"/>
              </w:rPr>
            </w:pPr>
          </w:p>
        </w:tc>
        <w:tc>
          <w:tcPr>
            <w:tcW w:w="680" w:type="dxa"/>
            <w:vAlign w:val="bottom"/>
            <w:tcBorders>
              <w:bottom w:val="single" w:sz="8" w:color="959595"/>
            </w:tcBorders>
          </w:tcPr>
          <w:p>
            <w:pPr>
              <w:spacing w:after="0"/>
              <w:rPr>
                <w:sz w:val="3"/>
                <w:szCs w:val="3"/>
                <w:color w:val="auto"/>
              </w:rPr>
            </w:pPr>
          </w:p>
        </w:tc>
        <w:tc>
          <w:tcPr>
            <w:tcW w:w="940" w:type="dxa"/>
            <w:vAlign w:val="bottom"/>
            <w:tcBorders>
              <w:bottom w:val="single" w:sz="8" w:color="959595"/>
            </w:tcBorders>
          </w:tcPr>
          <w:p>
            <w:pPr>
              <w:spacing w:after="0"/>
              <w:rPr>
                <w:sz w:val="3"/>
                <w:szCs w:val="3"/>
                <w:color w:val="auto"/>
              </w:rPr>
            </w:pPr>
          </w:p>
        </w:tc>
        <w:tc>
          <w:tcPr>
            <w:tcW w:w="1060" w:type="dxa"/>
            <w:vAlign w:val="bottom"/>
            <w:tcBorders>
              <w:bottom w:val="single" w:sz="8" w:color="959595"/>
            </w:tcBorders>
          </w:tcPr>
          <w:p>
            <w:pPr>
              <w:spacing w:after="0"/>
              <w:rPr>
                <w:sz w:val="3"/>
                <w:szCs w:val="3"/>
                <w:color w:val="auto"/>
              </w:rPr>
            </w:pPr>
          </w:p>
        </w:tc>
        <w:tc>
          <w:tcPr>
            <w:tcW w:w="700" w:type="dxa"/>
            <w:vAlign w:val="bottom"/>
            <w:tcBorders>
              <w:bottom w:val="single" w:sz="8" w:color="959595"/>
            </w:tcBorders>
          </w:tcPr>
          <w:p>
            <w:pPr>
              <w:spacing w:after="0"/>
              <w:rPr>
                <w:sz w:val="3"/>
                <w:szCs w:val="3"/>
                <w:color w:val="auto"/>
              </w:rPr>
            </w:pPr>
          </w:p>
        </w:tc>
        <w:tc>
          <w:tcPr>
            <w:tcW w:w="820" w:type="dxa"/>
            <w:vAlign w:val="bottom"/>
            <w:tcBorders>
              <w:bottom w:val="single" w:sz="8" w:color="959595"/>
            </w:tcBorders>
          </w:tcPr>
          <w:p>
            <w:pPr>
              <w:spacing w:after="0"/>
              <w:rPr>
                <w:sz w:val="3"/>
                <w:szCs w:val="3"/>
                <w:color w:val="auto"/>
              </w:rPr>
            </w:pPr>
          </w:p>
        </w:tc>
        <w:tc>
          <w:tcPr>
            <w:tcW w:w="860" w:type="dxa"/>
            <w:vAlign w:val="bottom"/>
            <w:tcBorders>
              <w:bottom w:val="single" w:sz="8" w:color="959595"/>
            </w:tcBorders>
          </w:tcPr>
          <w:p>
            <w:pPr>
              <w:spacing w:after="0"/>
              <w:rPr>
                <w:sz w:val="3"/>
                <w:szCs w:val="3"/>
                <w:color w:val="auto"/>
              </w:rPr>
            </w:pPr>
          </w:p>
        </w:tc>
        <w:tc>
          <w:tcPr>
            <w:tcW w:w="960" w:type="dxa"/>
            <w:vAlign w:val="bottom"/>
            <w:tcBorders>
              <w:bottom w:val="single" w:sz="8" w:color="959595"/>
            </w:tcBorders>
          </w:tcPr>
          <w:p>
            <w:pPr>
              <w:spacing w:after="0"/>
              <w:rPr>
                <w:sz w:val="3"/>
                <w:szCs w:val="3"/>
                <w:color w:val="auto"/>
              </w:rPr>
            </w:pPr>
          </w:p>
        </w:tc>
        <w:tc>
          <w:tcPr>
            <w:tcW w:w="1360" w:type="dxa"/>
            <w:vAlign w:val="bottom"/>
            <w:tcBorders>
              <w:bottom w:val="single" w:sz="8" w:color="959595"/>
            </w:tcBorders>
          </w:tcPr>
          <w:p>
            <w:pPr>
              <w:spacing w:after="0"/>
              <w:rPr>
                <w:sz w:val="3"/>
                <w:szCs w:val="3"/>
                <w:color w:val="auto"/>
              </w:rPr>
            </w:pPr>
          </w:p>
        </w:tc>
        <w:tc>
          <w:tcPr>
            <w:tcW w:w="112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27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8/4/2015</w:t>
            </w:r>
          </w:p>
        </w:tc>
        <w:tc>
          <w:tcPr>
            <w:tcW w:w="940" w:type="dxa"/>
            <w:vAlign w:val="bottom"/>
          </w:tcPr>
          <w:p>
            <w:pPr>
              <w:jc w:val="right"/>
              <w:spacing w:after="0"/>
              <w:rPr>
                <w:sz w:val="20"/>
                <w:szCs w:val="20"/>
                <w:color w:val="auto"/>
              </w:rPr>
            </w:pPr>
            <w:r>
              <w:rPr>
                <w:rFonts w:ascii="Arial" w:cs="Arial" w:eastAsia="Arial" w:hAnsi="Arial"/>
                <w:sz w:val="13"/>
                <w:szCs w:val="13"/>
                <w:color w:val="auto"/>
              </w:rPr>
              <w:t>6,460</w:t>
            </w:r>
          </w:p>
        </w:tc>
        <w:tc>
          <w:tcPr>
            <w:tcW w:w="1060" w:type="dxa"/>
            <w:vAlign w:val="bottom"/>
          </w:tcPr>
          <w:p>
            <w:pPr>
              <w:jc w:val="right"/>
              <w:ind w:right="493"/>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84.39</w:t>
            </w:r>
          </w:p>
        </w:tc>
        <w:tc>
          <w:tcPr>
            <w:tcW w:w="820" w:type="dxa"/>
            <w:vAlign w:val="bottom"/>
          </w:tcPr>
          <w:p>
            <w:pPr>
              <w:jc w:val="right"/>
              <w:spacing w:after="0"/>
              <w:rPr>
                <w:sz w:val="20"/>
                <w:szCs w:val="20"/>
                <w:color w:val="auto"/>
              </w:rPr>
            </w:pPr>
            <w:r>
              <w:rPr>
                <w:rFonts w:ascii="Arial" w:cs="Arial" w:eastAsia="Arial" w:hAnsi="Arial"/>
                <w:sz w:val="13"/>
                <w:szCs w:val="13"/>
                <w:color w:val="auto"/>
              </w:rPr>
              <w:t>8/4/2022</w:t>
            </w:r>
          </w:p>
        </w:tc>
        <w:tc>
          <w:tcPr>
            <w:tcW w:w="860" w:type="dxa"/>
            <w:vAlign w:val="bottom"/>
          </w:tcPr>
          <w:p>
            <w:pPr>
              <w:jc w:val="right"/>
              <w:ind w:right="253"/>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513"/>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1"/>
        </w:trPr>
        <w:tc>
          <w:tcPr>
            <w:tcW w:w="2740" w:type="dxa"/>
            <w:vAlign w:val="bottom"/>
          </w:tcPr>
          <w:p>
            <w:pPr>
              <w:spacing w:after="0"/>
              <w:rPr>
                <w:sz w:val="3"/>
                <w:szCs w:val="3"/>
                <w:color w:val="auto"/>
              </w:rPr>
            </w:pPr>
          </w:p>
        </w:tc>
        <w:tc>
          <w:tcPr>
            <w:tcW w:w="680" w:type="dxa"/>
            <w:vAlign w:val="bottom"/>
            <w:tcBorders>
              <w:bottom w:val="single" w:sz="8" w:color="959595"/>
            </w:tcBorders>
          </w:tcPr>
          <w:p>
            <w:pPr>
              <w:spacing w:after="0"/>
              <w:rPr>
                <w:sz w:val="3"/>
                <w:szCs w:val="3"/>
                <w:color w:val="auto"/>
              </w:rPr>
            </w:pPr>
          </w:p>
        </w:tc>
        <w:tc>
          <w:tcPr>
            <w:tcW w:w="940" w:type="dxa"/>
            <w:vAlign w:val="bottom"/>
            <w:tcBorders>
              <w:bottom w:val="single" w:sz="8" w:color="959595"/>
            </w:tcBorders>
          </w:tcPr>
          <w:p>
            <w:pPr>
              <w:spacing w:after="0"/>
              <w:rPr>
                <w:sz w:val="3"/>
                <w:szCs w:val="3"/>
                <w:color w:val="auto"/>
              </w:rPr>
            </w:pPr>
          </w:p>
        </w:tc>
        <w:tc>
          <w:tcPr>
            <w:tcW w:w="1060" w:type="dxa"/>
            <w:vAlign w:val="bottom"/>
            <w:tcBorders>
              <w:bottom w:val="single" w:sz="8" w:color="959595"/>
            </w:tcBorders>
          </w:tcPr>
          <w:p>
            <w:pPr>
              <w:spacing w:after="0"/>
              <w:rPr>
                <w:sz w:val="3"/>
                <w:szCs w:val="3"/>
                <w:color w:val="auto"/>
              </w:rPr>
            </w:pPr>
          </w:p>
        </w:tc>
        <w:tc>
          <w:tcPr>
            <w:tcW w:w="700" w:type="dxa"/>
            <w:vAlign w:val="bottom"/>
            <w:tcBorders>
              <w:bottom w:val="single" w:sz="8" w:color="959595"/>
            </w:tcBorders>
          </w:tcPr>
          <w:p>
            <w:pPr>
              <w:spacing w:after="0"/>
              <w:rPr>
                <w:sz w:val="3"/>
                <w:szCs w:val="3"/>
                <w:color w:val="auto"/>
              </w:rPr>
            </w:pPr>
          </w:p>
        </w:tc>
        <w:tc>
          <w:tcPr>
            <w:tcW w:w="820" w:type="dxa"/>
            <w:vAlign w:val="bottom"/>
            <w:tcBorders>
              <w:bottom w:val="single" w:sz="8" w:color="959595"/>
            </w:tcBorders>
          </w:tcPr>
          <w:p>
            <w:pPr>
              <w:spacing w:after="0"/>
              <w:rPr>
                <w:sz w:val="3"/>
                <w:szCs w:val="3"/>
                <w:color w:val="auto"/>
              </w:rPr>
            </w:pPr>
          </w:p>
        </w:tc>
        <w:tc>
          <w:tcPr>
            <w:tcW w:w="860" w:type="dxa"/>
            <w:vAlign w:val="bottom"/>
            <w:tcBorders>
              <w:bottom w:val="single" w:sz="8" w:color="959595"/>
            </w:tcBorders>
          </w:tcPr>
          <w:p>
            <w:pPr>
              <w:spacing w:after="0"/>
              <w:rPr>
                <w:sz w:val="3"/>
                <w:szCs w:val="3"/>
                <w:color w:val="auto"/>
              </w:rPr>
            </w:pPr>
          </w:p>
        </w:tc>
        <w:tc>
          <w:tcPr>
            <w:tcW w:w="960" w:type="dxa"/>
            <w:vAlign w:val="bottom"/>
            <w:tcBorders>
              <w:bottom w:val="single" w:sz="8" w:color="959595"/>
            </w:tcBorders>
          </w:tcPr>
          <w:p>
            <w:pPr>
              <w:spacing w:after="0"/>
              <w:rPr>
                <w:sz w:val="3"/>
                <w:szCs w:val="3"/>
                <w:color w:val="auto"/>
              </w:rPr>
            </w:pPr>
          </w:p>
        </w:tc>
        <w:tc>
          <w:tcPr>
            <w:tcW w:w="1360" w:type="dxa"/>
            <w:vAlign w:val="bottom"/>
            <w:tcBorders>
              <w:bottom w:val="single" w:sz="8" w:color="959595"/>
            </w:tcBorders>
          </w:tcPr>
          <w:p>
            <w:pPr>
              <w:spacing w:after="0"/>
              <w:rPr>
                <w:sz w:val="3"/>
                <w:szCs w:val="3"/>
                <w:color w:val="auto"/>
              </w:rPr>
            </w:pPr>
          </w:p>
        </w:tc>
        <w:tc>
          <w:tcPr>
            <w:tcW w:w="112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27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11/3/2015</w:t>
            </w:r>
          </w:p>
        </w:tc>
        <w:tc>
          <w:tcPr>
            <w:tcW w:w="940" w:type="dxa"/>
            <w:vAlign w:val="bottom"/>
          </w:tcPr>
          <w:p>
            <w:pPr>
              <w:jc w:val="right"/>
              <w:spacing w:after="0"/>
              <w:rPr>
                <w:sz w:val="20"/>
                <w:szCs w:val="20"/>
                <w:color w:val="auto"/>
              </w:rPr>
            </w:pPr>
            <w:r>
              <w:rPr>
                <w:rFonts w:ascii="Arial" w:cs="Arial" w:eastAsia="Arial" w:hAnsi="Arial"/>
                <w:sz w:val="13"/>
                <w:szCs w:val="13"/>
                <w:color w:val="auto"/>
              </w:rPr>
              <w:t>7,248</w:t>
            </w:r>
          </w:p>
        </w:tc>
        <w:tc>
          <w:tcPr>
            <w:tcW w:w="1060" w:type="dxa"/>
            <w:vAlign w:val="bottom"/>
          </w:tcPr>
          <w:p>
            <w:pPr>
              <w:jc w:val="right"/>
              <w:ind w:right="493"/>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68.53</w:t>
            </w:r>
          </w:p>
        </w:tc>
        <w:tc>
          <w:tcPr>
            <w:tcW w:w="820" w:type="dxa"/>
            <w:vAlign w:val="bottom"/>
          </w:tcPr>
          <w:p>
            <w:pPr>
              <w:jc w:val="right"/>
              <w:spacing w:after="0"/>
              <w:rPr>
                <w:sz w:val="20"/>
                <w:szCs w:val="20"/>
                <w:color w:val="auto"/>
              </w:rPr>
            </w:pPr>
            <w:r>
              <w:rPr>
                <w:rFonts w:ascii="Arial" w:cs="Arial" w:eastAsia="Arial" w:hAnsi="Arial"/>
                <w:sz w:val="13"/>
                <w:szCs w:val="13"/>
                <w:color w:val="auto"/>
              </w:rPr>
              <w:t>11/3/2022</w:t>
            </w:r>
          </w:p>
        </w:tc>
        <w:tc>
          <w:tcPr>
            <w:tcW w:w="860" w:type="dxa"/>
            <w:vAlign w:val="bottom"/>
          </w:tcPr>
          <w:p>
            <w:pPr>
              <w:jc w:val="right"/>
              <w:ind w:right="253"/>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360" w:type="dxa"/>
            <w:vAlign w:val="bottom"/>
          </w:tcPr>
          <w:p>
            <w:pPr>
              <w:jc w:val="right"/>
              <w:ind w:right="513"/>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1"/>
        </w:trPr>
        <w:tc>
          <w:tcPr>
            <w:tcW w:w="2740" w:type="dxa"/>
            <w:vAlign w:val="bottom"/>
          </w:tcPr>
          <w:p>
            <w:pPr>
              <w:spacing w:after="0"/>
              <w:rPr>
                <w:sz w:val="3"/>
                <w:szCs w:val="3"/>
                <w:color w:val="auto"/>
              </w:rPr>
            </w:pPr>
          </w:p>
        </w:tc>
        <w:tc>
          <w:tcPr>
            <w:tcW w:w="680" w:type="dxa"/>
            <w:vAlign w:val="bottom"/>
            <w:tcBorders>
              <w:bottom w:val="single" w:sz="8" w:color="959595"/>
            </w:tcBorders>
          </w:tcPr>
          <w:p>
            <w:pPr>
              <w:spacing w:after="0"/>
              <w:rPr>
                <w:sz w:val="3"/>
                <w:szCs w:val="3"/>
                <w:color w:val="auto"/>
              </w:rPr>
            </w:pPr>
          </w:p>
        </w:tc>
        <w:tc>
          <w:tcPr>
            <w:tcW w:w="940" w:type="dxa"/>
            <w:vAlign w:val="bottom"/>
            <w:tcBorders>
              <w:bottom w:val="single" w:sz="8" w:color="959595"/>
            </w:tcBorders>
          </w:tcPr>
          <w:p>
            <w:pPr>
              <w:spacing w:after="0"/>
              <w:rPr>
                <w:sz w:val="3"/>
                <w:szCs w:val="3"/>
                <w:color w:val="auto"/>
              </w:rPr>
            </w:pPr>
          </w:p>
        </w:tc>
        <w:tc>
          <w:tcPr>
            <w:tcW w:w="1060" w:type="dxa"/>
            <w:vAlign w:val="bottom"/>
            <w:tcBorders>
              <w:bottom w:val="single" w:sz="8" w:color="959595"/>
            </w:tcBorders>
          </w:tcPr>
          <w:p>
            <w:pPr>
              <w:spacing w:after="0"/>
              <w:rPr>
                <w:sz w:val="3"/>
                <w:szCs w:val="3"/>
                <w:color w:val="auto"/>
              </w:rPr>
            </w:pPr>
          </w:p>
        </w:tc>
        <w:tc>
          <w:tcPr>
            <w:tcW w:w="700" w:type="dxa"/>
            <w:vAlign w:val="bottom"/>
            <w:tcBorders>
              <w:bottom w:val="single" w:sz="8" w:color="959595"/>
            </w:tcBorders>
          </w:tcPr>
          <w:p>
            <w:pPr>
              <w:spacing w:after="0"/>
              <w:rPr>
                <w:sz w:val="3"/>
                <w:szCs w:val="3"/>
                <w:color w:val="auto"/>
              </w:rPr>
            </w:pPr>
          </w:p>
        </w:tc>
        <w:tc>
          <w:tcPr>
            <w:tcW w:w="820" w:type="dxa"/>
            <w:vAlign w:val="bottom"/>
            <w:tcBorders>
              <w:bottom w:val="single" w:sz="8" w:color="959595"/>
            </w:tcBorders>
          </w:tcPr>
          <w:p>
            <w:pPr>
              <w:spacing w:after="0"/>
              <w:rPr>
                <w:sz w:val="3"/>
                <w:szCs w:val="3"/>
                <w:color w:val="auto"/>
              </w:rPr>
            </w:pPr>
          </w:p>
        </w:tc>
        <w:tc>
          <w:tcPr>
            <w:tcW w:w="860" w:type="dxa"/>
            <w:vAlign w:val="bottom"/>
            <w:tcBorders>
              <w:bottom w:val="single" w:sz="8" w:color="959595"/>
            </w:tcBorders>
          </w:tcPr>
          <w:p>
            <w:pPr>
              <w:spacing w:after="0"/>
              <w:rPr>
                <w:sz w:val="3"/>
                <w:szCs w:val="3"/>
                <w:color w:val="auto"/>
              </w:rPr>
            </w:pPr>
          </w:p>
        </w:tc>
        <w:tc>
          <w:tcPr>
            <w:tcW w:w="960" w:type="dxa"/>
            <w:vAlign w:val="bottom"/>
            <w:tcBorders>
              <w:bottom w:val="single" w:sz="8" w:color="959595"/>
            </w:tcBorders>
          </w:tcPr>
          <w:p>
            <w:pPr>
              <w:spacing w:after="0"/>
              <w:rPr>
                <w:sz w:val="3"/>
                <w:szCs w:val="3"/>
                <w:color w:val="auto"/>
              </w:rPr>
            </w:pPr>
          </w:p>
        </w:tc>
        <w:tc>
          <w:tcPr>
            <w:tcW w:w="1360" w:type="dxa"/>
            <w:vAlign w:val="bottom"/>
            <w:tcBorders>
              <w:bottom w:val="single" w:sz="8" w:color="959595"/>
            </w:tcBorders>
          </w:tcPr>
          <w:p>
            <w:pPr>
              <w:spacing w:after="0"/>
              <w:rPr>
                <w:sz w:val="3"/>
                <w:szCs w:val="3"/>
                <w:color w:val="auto"/>
              </w:rPr>
            </w:pPr>
          </w:p>
        </w:tc>
        <w:tc>
          <w:tcPr>
            <w:tcW w:w="112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2740" w:type="dxa"/>
            <w:vAlign w:val="bottom"/>
          </w:tcPr>
          <w:p>
            <w:pPr>
              <w:spacing w:after="0"/>
              <w:rPr>
                <w:sz w:val="24"/>
                <w:szCs w:val="24"/>
                <w:color w:val="auto"/>
              </w:rPr>
            </w:pPr>
          </w:p>
        </w:tc>
        <w:tc>
          <w:tcPr>
            <w:tcW w:w="68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8/3/2016</w:t>
            </w:r>
          </w:p>
        </w:tc>
        <w:tc>
          <w:tcPr>
            <w:tcW w:w="9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4,386</w:t>
            </w:r>
          </w:p>
        </w:tc>
        <w:tc>
          <w:tcPr>
            <w:tcW w:w="1060" w:type="dxa"/>
            <w:vAlign w:val="bottom"/>
            <w:tcBorders>
              <w:bottom w:val="single" w:sz="8" w:color="959595"/>
            </w:tcBorders>
          </w:tcPr>
          <w:p>
            <w:pPr>
              <w:jc w:val="right"/>
              <w:ind w:right="353"/>
              <w:spacing w:after="0"/>
              <w:rPr>
                <w:sz w:val="20"/>
                <w:szCs w:val="20"/>
                <w:color w:val="auto"/>
              </w:rPr>
            </w:pPr>
            <w:r>
              <w:rPr>
                <w:rFonts w:ascii="Arial" w:cs="Arial" w:eastAsia="Arial" w:hAnsi="Arial"/>
                <w:sz w:val="13"/>
                <w:szCs w:val="13"/>
                <w:color w:val="auto"/>
              </w:rPr>
              <w:t>4,387</w:t>
            </w:r>
            <w:r>
              <w:rPr>
                <w:rFonts w:ascii="Arial" w:cs="Arial" w:eastAsia="Arial" w:hAnsi="Arial"/>
                <w:sz w:val="22"/>
                <w:szCs w:val="22"/>
                <w:color w:val="auto"/>
                <w:vertAlign w:val="superscript"/>
              </w:rPr>
              <w:t>(8)</w:t>
            </w:r>
          </w:p>
        </w:tc>
        <w:tc>
          <w:tcPr>
            <w:tcW w:w="70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44.78</w:t>
            </w:r>
          </w:p>
        </w:tc>
        <w:tc>
          <w:tcPr>
            <w:tcW w:w="8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8/3/2023</w:t>
            </w:r>
          </w:p>
        </w:tc>
        <w:tc>
          <w:tcPr>
            <w:tcW w:w="860" w:type="dxa"/>
            <w:vAlign w:val="bottom"/>
            <w:tcBorders>
              <w:bottom w:val="single" w:sz="8" w:color="959595"/>
            </w:tcBorders>
          </w:tcPr>
          <w:p>
            <w:pPr>
              <w:jc w:val="right"/>
              <w:ind w:right="113"/>
              <w:spacing w:after="0"/>
              <w:rPr>
                <w:sz w:val="20"/>
                <w:szCs w:val="20"/>
                <w:color w:val="auto"/>
              </w:rPr>
            </w:pPr>
            <w:r>
              <w:rPr>
                <w:rFonts w:ascii="Arial" w:cs="Arial" w:eastAsia="Arial" w:hAnsi="Arial"/>
                <w:sz w:val="13"/>
                <w:szCs w:val="13"/>
                <w:color w:val="auto"/>
              </w:rPr>
              <w:t>8,598</w:t>
            </w:r>
            <w:r>
              <w:rPr>
                <w:rFonts w:ascii="Arial" w:cs="Arial" w:eastAsia="Arial" w:hAnsi="Arial"/>
                <w:sz w:val="22"/>
                <w:szCs w:val="22"/>
                <w:color w:val="auto"/>
                <w:vertAlign w:val="superscript"/>
              </w:rPr>
              <w:t>(5)</w:t>
            </w:r>
          </w:p>
        </w:tc>
        <w:tc>
          <w:tcPr>
            <w:tcW w:w="9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364,899</w:t>
            </w:r>
          </w:p>
        </w:tc>
        <w:tc>
          <w:tcPr>
            <w:tcW w:w="1360" w:type="dxa"/>
            <w:vAlign w:val="bottom"/>
            <w:tcBorders>
              <w:bottom w:val="single" w:sz="8" w:color="959595"/>
            </w:tcBorders>
          </w:tcPr>
          <w:p>
            <w:pPr>
              <w:jc w:val="right"/>
              <w:ind w:right="513"/>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68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8/2/2017</w:t>
            </w:r>
          </w:p>
        </w:tc>
        <w:tc>
          <w:tcPr>
            <w:tcW w:w="9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959595"/>
            </w:tcBorders>
          </w:tcPr>
          <w:p>
            <w:pPr>
              <w:jc w:val="right"/>
              <w:ind w:right="493"/>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959595"/>
            </w:tcBorders>
          </w:tcPr>
          <w:p>
            <w:pPr>
              <w:jc w:val="right"/>
              <w:ind w:right="113"/>
              <w:spacing w:after="0"/>
              <w:rPr>
                <w:sz w:val="20"/>
                <w:szCs w:val="20"/>
                <w:color w:val="auto"/>
              </w:rPr>
            </w:pPr>
            <w:r>
              <w:rPr>
                <w:rFonts w:ascii="Arial" w:cs="Arial" w:eastAsia="Arial" w:hAnsi="Arial"/>
                <w:sz w:val="13"/>
                <w:szCs w:val="13"/>
                <w:color w:val="auto"/>
              </w:rPr>
              <w:t>6,437</w:t>
            </w:r>
            <w:r>
              <w:rPr>
                <w:rFonts w:ascii="Arial" w:cs="Arial" w:eastAsia="Arial" w:hAnsi="Arial"/>
                <w:sz w:val="22"/>
                <w:szCs w:val="22"/>
                <w:color w:val="auto"/>
                <w:vertAlign w:val="superscript"/>
              </w:rPr>
              <w:t>(5)</w:t>
            </w:r>
          </w:p>
        </w:tc>
        <w:tc>
          <w:tcPr>
            <w:tcW w:w="9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273,186</w:t>
            </w:r>
          </w:p>
        </w:tc>
        <w:tc>
          <w:tcPr>
            <w:tcW w:w="1360" w:type="dxa"/>
            <w:vAlign w:val="bottom"/>
            <w:tcBorders>
              <w:bottom w:val="single" w:sz="8" w:color="959595"/>
            </w:tcBorders>
          </w:tcPr>
          <w:p>
            <w:pPr>
              <w:jc w:val="right"/>
              <w:ind w:right="513"/>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0"/>
        </w:trPr>
        <w:tc>
          <w:tcPr>
            <w:tcW w:w="2740" w:type="dxa"/>
            <w:vAlign w:val="bottom"/>
          </w:tcPr>
          <w:p>
            <w:pPr>
              <w:spacing w:after="0"/>
              <w:rPr>
                <w:sz w:val="24"/>
                <w:szCs w:val="24"/>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8/30/2018</w:t>
            </w: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right"/>
              <w:ind w:right="493"/>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959595"/>
            </w:tcBorders>
          </w:tcPr>
          <w:p>
            <w:pPr>
              <w:jc w:val="right"/>
              <w:ind w:right="113"/>
              <w:spacing w:after="0"/>
              <w:rPr>
                <w:sz w:val="20"/>
                <w:szCs w:val="20"/>
                <w:color w:val="auto"/>
              </w:rPr>
            </w:pPr>
            <w:r>
              <w:rPr>
                <w:rFonts w:ascii="Arial" w:cs="Arial" w:eastAsia="Arial" w:hAnsi="Arial"/>
                <w:sz w:val="13"/>
                <w:szCs w:val="13"/>
                <w:color w:val="auto"/>
              </w:rPr>
              <w:t>12,768</w:t>
            </w:r>
            <w:r>
              <w:rPr>
                <w:rFonts w:ascii="Arial" w:cs="Arial" w:eastAsia="Arial" w:hAnsi="Arial"/>
                <w:sz w:val="22"/>
                <w:szCs w:val="22"/>
                <w:color w:val="auto"/>
                <w:vertAlign w:val="superscript"/>
              </w:rPr>
              <w:t>(5)</w:t>
            </w:r>
          </w:p>
        </w:tc>
        <w:tc>
          <w:tcPr>
            <w:tcW w:w="9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541,874</w:t>
            </w:r>
          </w:p>
        </w:tc>
        <w:tc>
          <w:tcPr>
            <w:tcW w:w="1360" w:type="dxa"/>
            <w:vAlign w:val="bottom"/>
            <w:tcBorders>
              <w:bottom w:val="single" w:sz="8" w:color="959595"/>
            </w:tcBorders>
          </w:tcPr>
          <w:p>
            <w:pPr>
              <w:jc w:val="right"/>
              <w:ind w:right="313"/>
              <w:spacing w:after="0"/>
              <w:rPr>
                <w:sz w:val="20"/>
                <w:szCs w:val="20"/>
                <w:color w:val="auto"/>
              </w:rPr>
            </w:pPr>
            <w:r>
              <w:rPr>
                <w:rFonts w:ascii="Arial" w:cs="Arial" w:eastAsia="Arial" w:hAnsi="Arial"/>
                <w:sz w:val="13"/>
                <w:szCs w:val="13"/>
                <w:color w:val="auto"/>
              </w:rPr>
              <w:t>2,128</w:t>
            </w:r>
            <w:r>
              <w:rPr>
                <w:rFonts w:ascii="Arial" w:cs="Arial" w:eastAsia="Arial" w:hAnsi="Arial"/>
                <w:sz w:val="22"/>
                <w:szCs w:val="22"/>
                <w:color w:val="auto"/>
                <w:vertAlign w:val="superscript"/>
              </w:rPr>
              <w:t>(10)</w:t>
            </w:r>
          </w:p>
        </w:tc>
        <w:tc>
          <w:tcPr>
            <w:tcW w:w="11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90,312</w:t>
            </w:r>
          </w:p>
        </w:tc>
        <w:tc>
          <w:tcPr>
            <w:tcW w:w="0" w:type="dxa"/>
            <w:vAlign w:val="bottom"/>
          </w:tcPr>
          <w:p>
            <w:pPr>
              <w:spacing w:after="0"/>
              <w:rPr>
                <w:sz w:val="1"/>
                <w:szCs w:val="1"/>
                <w:color w:val="auto"/>
              </w:rPr>
            </w:pPr>
          </w:p>
        </w:tc>
      </w:tr>
      <w:tr>
        <w:trPr>
          <w:trHeight w:val="60"/>
        </w:trPr>
        <w:tc>
          <w:tcPr>
            <w:tcW w:w="2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860" w:type="dxa"/>
            <w:vAlign w:val="bottom"/>
            <w:vMerge w:val="restart"/>
          </w:tcPr>
          <w:p>
            <w:pPr>
              <w:jc w:val="right"/>
              <w:ind w:right="53"/>
              <w:spacing w:after="0"/>
              <w:rPr>
                <w:sz w:val="20"/>
                <w:szCs w:val="20"/>
                <w:color w:val="auto"/>
              </w:rPr>
            </w:pPr>
            <w:r>
              <w:rPr>
                <w:rFonts w:ascii="Arial" w:cs="Arial" w:eastAsia="Arial" w:hAnsi="Arial"/>
                <w:sz w:val="13"/>
                <w:szCs w:val="13"/>
                <w:color w:val="auto"/>
              </w:rPr>
              <w:t>1,957</w:t>
            </w:r>
            <w:r>
              <w:rPr>
                <w:rFonts w:ascii="Arial" w:cs="Arial" w:eastAsia="Arial" w:hAnsi="Arial"/>
                <w:sz w:val="22"/>
                <w:szCs w:val="22"/>
                <w:color w:val="auto"/>
                <w:vertAlign w:val="superscript"/>
              </w:rPr>
              <w:t>(11)</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83,055</w:t>
            </w:r>
          </w:p>
        </w:tc>
        <w:tc>
          <w:tcPr>
            <w:tcW w:w="1360" w:type="dxa"/>
            <w:vAlign w:val="bottom"/>
            <w:vMerge w:val="restart"/>
          </w:tcPr>
          <w:p>
            <w:pPr>
              <w:jc w:val="right"/>
              <w:ind w:right="313"/>
              <w:spacing w:after="0"/>
              <w:rPr>
                <w:sz w:val="20"/>
                <w:szCs w:val="20"/>
                <w:color w:val="auto"/>
              </w:rPr>
            </w:pPr>
            <w:r>
              <w:rPr>
                <w:rFonts w:ascii="Arial" w:cs="Arial" w:eastAsia="Arial" w:hAnsi="Arial"/>
                <w:sz w:val="13"/>
                <w:szCs w:val="13"/>
                <w:color w:val="auto"/>
              </w:rPr>
              <w:t>6,386</w:t>
            </w:r>
            <w:r>
              <w:rPr>
                <w:rFonts w:ascii="Arial" w:cs="Arial" w:eastAsia="Arial" w:hAnsi="Arial"/>
                <w:sz w:val="22"/>
                <w:szCs w:val="22"/>
                <w:color w:val="auto"/>
                <w:vertAlign w:val="superscript"/>
              </w:rPr>
              <w:t>(12)</w:t>
            </w: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271,022</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680" w:type="dxa"/>
            <w:vAlign w:val="bottom"/>
            <w:tcBorders>
              <w:bottom w:val="single" w:sz="8" w:color="959595"/>
            </w:tcBorders>
          </w:tcPr>
          <w:p>
            <w:pPr>
              <w:spacing w:after="0"/>
              <w:rPr>
                <w:sz w:val="20"/>
                <w:szCs w:val="20"/>
                <w:color w:val="auto"/>
              </w:rPr>
            </w:pPr>
          </w:p>
        </w:tc>
        <w:tc>
          <w:tcPr>
            <w:tcW w:w="940" w:type="dxa"/>
            <w:vAlign w:val="bottom"/>
            <w:tcBorders>
              <w:bottom w:val="single" w:sz="8" w:color="959595"/>
            </w:tcBorders>
          </w:tcPr>
          <w:p>
            <w:pPr>
              <w:spacing w:after="0"/>
              <w:rPr>
                <w:sz w:val="20"/>
                <w:szCs w:val="20"/>
                <w:color w:val="auto"/>
              </w:rPr>
            </w:pPr>
          </w:p>
        </w:tc>
        <w:tc>
          <w:tcPr>
            <w:tcW w:w="1060" w:type="dxa"/>
            <w:vAlign w:val="bottom"/>
            <w:tcBorders>
              <w:bottom w:val="single" w:sz="8" w:color="959595"/>
            </w:tcBorders>
          </w:tcPr>
          <w:p>
            <w:pPr>
              <w:spacing w:after="0"/>
              <w:rPr>
                <w:sz w:val="20"/>
                <w:szCs w:val="20"/>
                <w:color w:val="auto"/>
              </w:rPr>
            </w:pPr>
          </w:p>
        </w:tc>
        <w:tc>
          <w:tcPr>
            <w:tcW w:w="700" w:type="dxa"/>
            <w:vAlign w:val="bottom"/>
            <w:tcBorders>
              <w:bottom w:val="single" w:sz="8" w:color="959595"/>
            </w:tcBorders>
          </w:tcPr>
          <w:p>
            <w:pPr>
              <w:spacing w:after="0"/>
              <w:rPr>
                <w:sz w:val="20"/>
                <w:szCs w:val="20"/>
                <w:color w:val="auto"/>
              </w:rPr>
            </w:pPr>
          </w:p>
        </w:tc>
        <w:tc>
          <w:tcPr>
            <w:tcW w:w="820" w:type="dxa"/>
            <w:vAlign w:val="bottom"/>
            <w:tcBorders>
              <w:bottom w:val="single" w:sz="8" w:color="959595"/>
            </w:tcBorders>
          </w:tcPr>
          <w:p>
            <w:pPr>
              <w:spacing w:after="0"/>
              <w:rPr>
                <w:sz w:val="20"/>
                <w:szCs w:val="20"/>
                <w:color w:val="auto"/>
              </w:rPr>
            </w:pPr>
          </w:p>
        </w:tc>
        <w:tc>
          <w:tcPr>
            <w:tcW w:w="860" w:type="dxa"/>
            <w:vAlign w:val="bottom"/>
            <w:tcBorders>
              <w:bottom w:val="single" w:sz="8" w:color="959595"/>
            </w:tcBorders>
            <w:vMerge w:val="continue"/>
          </w:tcPr>
          <w:p>
            <w:pPr>
              <w:spacing w:after="0"/>
              <w:rPr>
                <w:sz w:val="20"/>
                <w:szCs w:val="20"/>
                <w:color w:val="auto"/>
              </w:rPr>
            </w:pPr>
          </w:p>
        </w:tc>
        <w:tc>
          <w:tcPr>
            <w:tcW w:w="960" w:type="dxa"/>
            <w:vAlign w:val="bottom"/>
            <w:tcBorders>
              <w:bottom w:val="single" w:sz="8" w:color="959595"/>
            </w:tcBorders>
            <w:vMerge w:val="continue"/>
          </w:tcPr>
          <w:p>
            <w:pPr>
              <w:spacing w:after="0"/>
              <w:rPr>
                <w:sz w:val="20"/>
                <w:szCs w:val="20"/>
                <w:color w:val="auto"/>
              </w:rPr>
            </w:pPr>
          </w:p>
        </w:tc>
        <w:tc>
          <w:tcPr>
            <w:tcW w:w="1360" w:type="dxa"/>
            <w:vAlign w:val="bottom"/>
            <w:tcBorders>
              <w:bottom w:val="single" w:sz="8" w:color="959595"/>
            </w:tcBorders>
            <w:vMerge w:val="continue"/>
          </w:tcPr>
          <w:p>
            <w:pPr>
              <w:spacing w:after="0"/>
              <w:rPr>
                <w:sz w:val="20"/>
                <w:szCs w:val="20"/>
                <w:color w:val="auto"/>
              </w:rPr>
            </w:pPr>
          </w:p>
        </w:tc>
        <w:tc>
          <w:tcPr>
            <w:tcW w:w="1120" w:type="dxa"/>
            <w:vAlign w:val="bottom"/>
            <w:tcBorders>
              <w:bottom w:val="single" w:sz="8" w:color="959595"/>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2740" w:type="dxa"/>
            <w:vAlign w:val="bottom"/>
          </w:tcPr>
          <w:p>
            <w:pPr>
              <w:spacing w:after="0"/>
              <w:rPr>
                <w:sz w:val="24"/>
                <w:szCs w:val="24"/>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9/4/2019</w:t>
            </w: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right"/>
              <w:ind w:right="493"/>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ind w:right="113"/>
              <w:spacing w:after="0"/>
              <w:rPr>
                <w:sz w:val="20"/>
                <w:szCs w:val="20"/>
                <w:color w:val="auto"/>
              </w:rPr>
            </w:pPr>
            <w:r>
              <w:rPr>
                <w:rFonts w:ascii="Arial" w:cs="Arial" w:eastAsia="Arial" w:hAnsi="Arial"/>
                <w:sz w:val="13"/>
                <w:szCs w:val="13"/>
                <w:color w:val="auto"/>
              </w:rPr>
              <w:t>27,068</w:t>
            </w:r>
            <w:r>
              <w:rPr>
                <w:rFonts w:ascii="Arial" w:cs="Arial" w:eastAsia="Arial" w:hAnsi="Arial"/>
                <w:sz w:val="22"/>
                <w:szCs w:val="22"/>
                <w:color w:val="auto"/>
                <w:vertAlign w:val="superscript"/>
              </w:rPr>
              <w:t>(5)</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1,148,766</w:t>
            </w:r>
          </w:p>
        </w:tc>
        <w:tc>
          <w:tcPr>
            <w:tcW w:w="1360" w:type="dxa"/>
            <w:vAlign w:val="bottom"/>
            <w:tcBorders>
              <w:bottom w:val="single" w:sz="8" w:color="959595"/>
            </w:tcBorders>
          </w:tcPr>
          <w:p>
            <w:pPr>
              <w:jc w:val="right"/>
              <w:ind w:right="373"/>
              <w:spacing w:after="0"/>
              <w:rPr>
                <w:sz w:val="20"/>
                <w:szCs w:val="20"/>
                <w:color w:val="auto"/>
              </w:rPr>
            </w:pPr>
            <w:r>
              <w:rPr>
                <w:rFonts w:ascii="Arial" w:cs="Arial" w:eastAsia="Arial" w:hAnsi="Arial"/>
                <w:sz w:val="13"/>
                <w:szCs w:val="13"/>
                <w:color w:val="auto"/>
              </w:rPr>
              <w:t>13,533</w:t>
            </w:r>
            <w:r>
              <w:rPr>
                <w:rFonts w:ascii="Arial" w:cs="Arial" w:eastAsia="Arial" w:hAnsi="Arial"/>
                <w:sz w:val="22"/>
                <w:szCs w:val="22"/>
                <w:color w:val="auto"/>
                <w:vertAlign w:val="superscript"/>
              </w:rPr>
              <w:t>(6)</w:t>
            </w:r>
          </w:p>
        </w:tc>
        <w:tc>
          <w:tcPr>
            <w:tcW w:w="11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574,341</w:t>
            </w:r>
          </w:p>
        </w:tc>
        <w:tc>
          <w:tcPr>
            <w:tcW w:w="0" w:type="dxa"/>
            <w:vAlign w:val="bottom"/>
          </w:tcPr>
          <w:p>
            <w:pPr>
              <w:spacing w:after="0"/>
              <w:rPr>
                <w:sz w:val="1"/>
                <w:szCs w:val="1"/>
                <w:color w:val="auto"/>
              </w:rPr>
            </w:pPr>
          </w:p>
        </w:tc>
      </w:tr>
      <w:tr>
        <w:trPr>
          <w:trHeight w:val="178"/>
        </w:trPr>
        <w:tc>
          <w:tcPr>
            <w:tcW w:w="27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360" w:type="dxa"/>
            <w:vAlign w:val="bottom"/>
            <w:vMerge w:val="restart"/>
          </w:tcPr>
          <w:p>
            <w:pPr>
              <w:jc w:val="right"/>
              <w:ind w:right="373"/>
              <w:spacing w:after="0"/>
              <w:rPr>
                <w:sz w:val="20"/>
                <w:szCs w:val="20"/>
                <w:color w:val="auto"/>
              </w:rPr>
            </w:pPr>
            <w:r>
              <w:rPr>
                <w:rFonts w:ascii="Arial" w:cs="Arial" w:eastAsia="Arial" w:hAnsi="Arial"/>
                <w:sz w:val="13"/>
                <w:szCs w:val="13"/>
                <w:color w:val="auto"/>
              </w:rPr>
              <w:t>13,533</w:t>
            </w:r>
            <w:r>
              <w:rPr>
                <w:rFonts w:ascii="Arial" w:cs="Arial" w:eastAsia="Arial" w:hAnsi="Arial"/>
                <w:sz w:val="22"/>
                <w:szCs w:val="22"/>
                <w:color w:val="auto"/>
                <w:vertAlign w:val="superscript"/>
              </w:rPr>
              <w:t>(7)</w:t>
            </w: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574,341</w:t>
            </w:r>
          </w:p>
        </w:tc>
        <w:tc>
          <w:tcPr>
            <w:tcW w:w="0" w:type="dxa"/>
            <w:vAlign w:val="bottom"/>
          </w:tcPr>
          <w:p>
            <w:pPr>
              <w:spacing w:after="0"/>
              <w:rPr>
                <w:sz w:val="1"/>
                <w:szCs w:val="1"/>
                <w:color w:val="auto"/>
              </w:rPr>
            </w:pPr>
          </w:p>
        </w:tc>
      </w:tr>
      <w:tr>
        <w:trPr>
          <w:trHeight w:val="112"/>
        </w:trPr>
        <w:tc>
          <w:tcPr>
            <w:tcW w:w="2740" w:type="dxa"/>
            <w:vAlign w:val="bottom"/>
            <w:tcBorders>
              <w:bottom w:val="single" w:sz="8" w:color="959595"/>
            </w:tcBorders>
          </w:tcPr>
          <w:p>
            <w:pPr>
              <w:spacing w:after="0"/>
              <w:rPr>
                <w:sz w:val="9"/>
                <w:szCs w:val="9"/>
                <w:color w:val="auto"/>
              </w:rPr>
            </w:pPr>
          </w:p>
        </w:tc>
        <w:tc>
          <w:tcPr>
            <w:tcW w:w="680" w:type="dxa"/>
            <w:vAlign w:val="bottom"/>
            <w:tcBorders>
              <w:bottom w:val="single" w:sz="8" w:color="959595"/>
            </w:tcBorders>
          </w:tcPr>
          <w:p>
            <w:pPr>
              <w:spacing w:after="0"/>
              <w:rPr>
                <w:sz w:val="9"/>
                <w:szCs w:val="9"/>
                <w:color w:val="auto"/>
              </w:rPr>
            </w:pPr>
          </w:p>
        </w:tc>
        <w:tc>
          <w:tcPr>
            <w:tcW w:w="940" w:type="dxa"/>
            <w:vAlign w:val="bottom"/>
            <w:tcBorders>
              <w:bottom w:val="single" w:sz="8" w:color="959595"/>
            </w:tcBorders>
          </w:tcPr>
          <w:p>
            <w:pPr>
              <w:spacing w:after="0"/>
              <w:rPr>
                <w:sz w:val="9"/>
                <w:szCs w:val="9"/>
                <w:color w:val="auto"/>
              </w:rPr>
            </w:pPr>
          </w:p>
        </w:tc>
        <w:tc>
          <w:tcPr>
            <w:tcW w:w="1060" w:type="dxa"/>
            <w:vAlign w:val="bottom"/>
            <w:tcBorders>
              <w:bottom w:val="single" w:sz="8" w:color="959595"/>
            </w:tcBorders>
          </w:tcPr>
          <w:p>
            <w:pPr>
              <w:spacing w:after="0"/>
              <w:rPr>
                <w:sz w:val="9"/>
                <w:szCs w:val="9"/>
                <w:color w:val="auto"/>
              </w:rPr>
            </w:pPr>
          </w:p>
        </w:tc>
        <w:tc>
          <w:tcPr>
            <w:tcW w:w="700" w:type="dxa"/>
            <w:vAlign w:val="bottom"/>
            <w:tcBorders>
              <w:bottom w:val="single" w:sz="8" w:color="959595"/>
            </w:tcBorders>
          </w:tcPr>
          <w:p>
            <w:pPr>
              <w:spacing w:after="0"/>
              <w:rPr>
                <w:sz w:val="9"/>
                <w:szCs w:val="9"/>
                <w:color w:val="auto"/>
              </w:rPr>
            </w:pPr>
          </w:p>
        </w:tc>
        <w:tc>
          <w:tcPr>
            <w:tcW w:w="820" w:type="dxa"/>
            <w:vAlign w:val="bottom"/>
            <w:tcBorders>
              <w:bottom w:val="single" w:sz="8" w:color="959595"/>
            </w:tcBorders>
          </w:tcPr>
          <w:p>
            <w:pPr>
              <w:spacing w:after="0"/>
              <w:rPr>
                <w:sz w:val="9"/>
                <w:szCs w:val="9"/>
                <w:color w:val="auto"/>
              </w:rPr>
            </w:pPr>
          </w:p>
        </w:tc>
        <w:tc>
          <w:tcPr>
            <w:tcW w:w="860" w:type="dxa"/>
            <w:vAlign w:val="bottom"/>
            <w:tcBorders>
              <w:bottom w:val="single" w:sz="8" w:color="959595"/>
            </w:tcBorders>
          </w:tcPr>
          <w:p>
            <w:pPr>
              <w:spacing w:after="0"/>
              <w:rPr>
                <w:sz w:val="9"/>
                <w:szCs w:val="9"/>
                <w:color w:val="auto"/>
              </w:rPr>
            </w:pPr>
          </w:p>
        </w:tc>
        <w:tc>
          <w:tcPr>
            <w:tcW w:w="960" w:type="dxa"/>
            <w:vAlign w:val="bottom"/>
            <w:tcBorders>
              <w:bottom w:val="single" w:sz="8" w:color="959595"/>
            </w:tcBorders>
          </w:tcPr>
          <w:p>
            <w:pPr>
              <w:spacing w:after="0"/>
              <w:rPr>
                <w:sz w:val="9"/>
                <w:szCs w:val="9"/>
                <w:color w:val="auto"/>
              </w:rPr>
            </w:pPr>
          </w:p>
        </w:tc>
        <w:tc>
          <w:tcPr>
            <w:tcW w:w="1360" w:type="dxa"/>
            <w:vAlign w:val="bottom"/>
            <w:tcBorders>
              <w:bottom w:val="single" w:sz="8" w:color="959595"/>
            </w:tcBorders>
            <w:vMerge w:val="continue"/>
          </w:tcPr>
          <w:p>
            <w:pPr>
              <w:spacing w:after="0"/>
              <w:rPr>
                <w:sz w:val="9"/>
                <w:szCs w:val="9"/>
                <w:color w:val="auto"/>
              </w:rPr>
            </w:pPr>
          </w:p>
        </w:tc>
        <w:tc>
          <w:tcPr>
            <w:tcW w:w="1120" w:type="dxa"/>
            <w:vAlign w:val="bottom"/>
            <w:tcBorders>
              <w:bottom w:val="single" w:sz="8" w:color="959595"/>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0"/>
        </w:trPr>
        <w:tc>
          <w:tcPr>
            <w:tcW w:w="2740" w:type="dxa"/>
            <w:vAlign w:val="bottom"/>
          </w:tcPr>
          <w:p>
            <w:pPr>
              <w:ind w:left="40"/>
              <w:spacing w:after="0"/>
              <w:rPr>
                <w:sz w:val="20"/>
                <w:szCs w:val="20"/>
                <w:color w:val="auto"/>
              </w:rPr>
            </w:pPr>
            <w:r>
              <w:rPr>
                <w:rFonts w:ascii="Arial" w:cs="Arial" w:eastAsia="Arial" w:hAnsi="Arial"/>
                <w:sz w:val="13"/>
                <w:szCs w:val="13"/>
                <w:b w:val="1"/>
                <w:bCs w:val="1"/>
                <w:color w:val="23628F"/>
              </w:rPr>
              <w:t>Lori S. Sundberg</w:t>
            </w:r>
          </w:p>
        </w:tc>
        <w:tc>
          <w:tcPr>
            <w:tcW w:w="68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3/5/2018</w:t>
            </w:r>
          </w:p>
        </w:tc>
        <w:tc>
          <w:tcPr>
            <w:tcW w:w="94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959595"/>
            </w:tcBorders>
          </w:tcPr>
          <w:p>
            <w:pPr>
              <w:jc w:val="right"/>
              <w:ind w:right="493"/>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959595"/>
            </w:tcBorders>
          </w:tcPr>
          <w:p>
            <w:pPr>
              <w:jc w:val="right"/>
              <w:ind w:right="113"/>
              <w:spacing w:after="0"/>
              <w:rPr>
                <w:sz w:val="20"/>
                <w:szCs w:val="20"/>
                <w:color w:val="auto"/>
              </w:rPr>
            </w:pPr>
            <w:r>
              <w:rPr>
                <w:rFonts w:ascii="Arial" w:cs="Arial" w:eastAsia="Arial" w:hAnsi="Arial"/>
                <w:sz w:val="13"/>
                <w:szCs w:val="13"/>
                <w:color w:val="auto"/>
              </w:rPr>
              <w:t>11,185</w:t>
            </w:r>
            <w:r>
              <w:rPr>
                <w:rFonts w:ascii="Arial" w:cs="Arial" w:eastAsia="Arial" w:hAnsi="Arial"/>
                <w:sz w:val="22"/>
                <w:szCs w:val="22"/>
                <w:color w:val="auto"/>
                <w:vertAlign w:val="superscript"/>
              </w:rPr>
              <w:t>(5)</w:t>
            </w:r>
          </w:p>
        </w:tc>
        <w:tc>
          <w:tcPr>
            <w:tcW w:w="9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474,691</w:t>
            </w:r>
          </w:p>
        </w:tc>
        <w:tc>
          <w:tcPr>
            <w:tcW w:w="1360" w:type="dxa"/>
            <w:vAlign w:val="bottom"/>
            <w:tcBorders>
              <w:bottom w:val="single" w:sz="8" w:color="959595"/>
            </w:tcBorders>
          </w:tcPr>
          <w:p>
            <w:pPr>
              <w:jc w:val="right"/>
              <w:ind w:right="513"/>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0"/>
        </w:trPr>
        <w:tc>
          <w:tcPr>
            <w:tcW w:w="2740" w:type="dxa"/>
            <w:vAlign w:val="bottom"/>
          </w:tcPr>
          <w:p>
            <w:pPr>
              <w:spacing w:after="0"/>
              <w:rPr>
                <w:sz w:val="24"/>
                <w:szCs w:val="24"/>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8/30/2018</w:t>
            </w: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right"/>
              <w:ind w:right="493"/>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959595"/>
            </w:tcBorders>
          </w:tcPr>
          <w:p>
            <w:pPr>
              <w:jc w:val="right"/>
              <w:ind w:right="113"/>
              <w:spacing w:after="0"/>
              <w:rPr>
                <w:sz w:val="20"/>
                <w:szCs w:val="20"/>
                <w:color w:val="auto"/>
              </w:rPr>
            </w:pPr>
            <w:r>
              <w:rPr>
                <w:rFonts w:ascii="Arial" w:cs="Arial" w:eastAsia="Arial" w:hAnsi="Arial"/>
                <w:sz w:val="13"/>
                <w:szCs w:val="13"/>
                <w:color w:val="auto"/>
              </w:rPr>
              <w:t>11,103</w:t>
            </w:r>
            <w:r>
              <w:rPr>
                <w:rFonts w:ascii="Arial" w:cs="Arial" w:eastAsia="Arial" w:hAnsi="Arial"/>
                <w:sz w:val="22"/>
                <w:szCs w:val="22"/>
                <w:color w:val="auto"/>
                <w:vertAlign w:val="superscript"/>
              </w:rPr>
              <w:t>(5)</w:t>
            </w:r>
          </w:p>
        </w:tc>
        <w:tc>
          <w:tcPr>
            <w:tcW w:w="96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471,211</w:t>
            </w:r>
          </w:p>
        </w:tc>
        <w:tc>
          <w:tcPr>
            <w:tcW w:w="1360" w:type="dxa"/>
            <w:vAlign w:val="bottom"/>
            <w:tcBorders>
              <w:bottom w:val="single" w:sz="8" w:color="959595"/>
            </w:tcBorders>
          </w:tcPr>
          <w:p>
            <w:pPr>
              <w:jc w:val="right"/>
              <w:ind w:right="313"/>
              <w:spacing w:after="0"/>
              <w:rPr>
                <w:sz w:val="20"/>
                <w:szCs w:val="20"/>
                <w:color w:val="auto"/>
              </w:rPr>
            </w:pPr>
            <w:r>
              <w:rPr>
                <w:rFonts w:ascii="Arial" w:cs="Arial" w:eastAsia="Arial" w:hAnsi="Arial"/>
                <w:sz w:val="13"/>
                <w:szCs w:val="13"/>
                <w:color w:val="auto"/>
              </w:rPr>
              <w:t>1,850</w:t>
            </w:r>
            <w:r>
              <w:rPr>
                <w:rFonts w:ascii="Arial" w:cs="Arial" w:eastAsia="Arial" w:hAnsi="Arial"/>
                <w:sz w:val="22"/>
                <w:szCs w:val="22"/>
                <w:color w:val="auto"/>
                <w:vertAlign w:val="superscript"/>
              </w:rPr>
              <w:t>(10)</w:t>
            </w:r>
          </w:p>
        </w:tc>
        <w:tc>
          <w:tcPr>
            <w:tcW w:w="11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78,514</w:t>
            </w:r>
          </w:p>
        </w:tc>
        <w:tc>
          <w:tcPr>
            <w:tcW w:w="0" w:type="dxa"/>
            <w:vAlign w:val="bottom"/>
          </w:tcPr>
          <w:p>
            <w:pPr>
              <w:spacing w:after="0"/>
              <w:rPr>
                <w:sz w:val="1"/>
                <w:szCs w:val="1"/>
                <w:color w:val="auto"/>
              </w:rPr>
            </w:pPr>
          </w:p>
        </w:tc>
      </w:tr>
      <w:tr>
        <w:trPr>
          <w:trHeight w:val="61"/>
        </w:trPr>
        <w:tc>
          <w:tcPr>
            <w:tcW w:w="2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860" w:type="dxa"/>
            <w:vAlign w:val="bottom"/>
            <w:vMerge w:val="restart"/>
          </w:tcPr>
          <w:p>
            <w:pPr>
              <w:jc w:val="right"/>
              <w:ind w:right="53"/>
              <w:spacing w:after="0"/>
              <w:rPr>
                <w:sz w:val="20"/>
                <w:szCs w:val="20"/>
                <w:color w:val="auto"/>
              </w:rPr>
            </w:pPr>
            <w:r>
              <w:rPr>
                <w:rFonts w:ascii="Arial" w:cs="Arial" w:eastAsia="Arial" w:hAnsi="Arial"/>
                <w:sz w:val="13"/>
                <w:szCs w:val="13"/>
                <w:color w:val="auto"/>
              </w:rPr>
              <w:t>1,701</w:t>
            </w:r>
            <w:r>
              <w:rPr>
                <w:rFonts w:ascii="Arial" w:cs="Arial" w:eastAsia="Arial" w:hAnsi="Arial"/>
                <w:sz w:val="22"/>
                <w:szCs w:val="22"/>
                <w:color w:val="auto"/>
                <w:vertAlign w:val="superscript"/>
              </w:rPr>
              <w:t>(11)</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72,190</w:t>
            </w:r>
          </w:p>
        </w:tc>
        <w:tc>
          <w:tcPr>
            <w:tcW w:w="1360" w:type="dxa"/>
            <w:vAlign w:val="bottom"/>
            <w:vMerge w:val="restart"/>
          </w:tcPr>
          <w:p>
            <w:pPr>
              <w:jc w:val="right"/>
              <w:ind w:right="313"/>
              <w:spacing w:after="0"/>
              <w:rPr>
                <w:sz w:val="20"/>
                <w:szCs w:val="20"/>
                <w:color w:val="auto"/>
              </w:rPr>
            </w:pPr>
            <w:r>
              <w:rPr>
                <w:rFonts w:ascii="Arial" w:cs="Arial" w:eastAsia="Arial" w:hAnsi="Arial"/>
                <w:sz w:val="13"/>
                <w:szCs w:val="13"/>
                <w:color w:val="auto"/>
              </w:rPr>
              <w:t>5,552</w:t>
            </w:r>
            <w:r>
              <w:rPr>
                <w:rFonts w:ascii="Arial" w:cs="Arial" w:eastAsia="Arial" w:hAnsi="Arial"/>
                <w:sz w:val="22"/>
                <w:szCs w:val="22"/>
                <w:color w:val="auto"/>
                <w:vertAlign w:val="superscript"/>
              </w:rPr>
              <w:t>(12)</w:t>
            </w: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235,627</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680" w:type="dxa"/>
            <w:vAlign w:val="bottom"/>
            <w:tcBorders>
              <w:bottom w:val="single" w:sz="8" w:color="959595"/>
            </w:tcBorders>
          </w:tcPr>
          <w:p>
            <w:pPr>
              <w:spacing w:after="0"/>
              <w:rPr>
                <w:sz w:val="20"/>
                <w:szCs w:val="20"/>
                <w:color w:val="auto"/>
              </w:rPr>
            </w:pPr>
          </w:p>
        </w:tc>
        <w:tc>
          <w:tcPr>
            <w:tcW w:w="940" w:type="dxa"/>
            <w:vAlign w:val="bottom"/>
            <w:tcBorders>
              <w:bottom w:val="single" w:sz="8" w:color="959595"/>
            </w:tcBorders>
          </w:tcPr>
          <w:p>
            <w:pPr>
              <w:spacing w:after="0"/>
              <w:rPr>
                <w:sz w:val="20"/>
                <w:szCs w:val="20"/>
                <w:color w:val="auto"/>
              </w:rPr>
            </w:pPr>
          </w:p>
        </w:tc>
        <w:tc>
          <w:tcPr>
            <w:tcW w:w="1060" w:type="dxa"/>
            <w:vAlign w:val="bottom"/>
            <w:tcBorders>
              <w:bottom w:val="single" w:sz="8" w:color="959595"/>
            </w:tcBorders>
          </w:tcPr>
          <w:p>
            <w:pPr>
              <w:spacing w:after="0"/>
              <w:rPr>
                <w:sz w:val="20"/>
                <w:szCs w:val="20"/>
                <w:color w:val="auto"/>
              </w:rPr>
            </w:pPr>
          </w:p>
        </w:tc>
        <w:tc>
          <w:tcPr>
            <w:tcW w:w="700" w:type="dxa"/>
            <w:vAlign w:val="bottom"/>
            <w:tcBorders>
              <w:bottom w:val="single" w:sz="8" w:color="959595"/>
            </w:tcBorders>
          </w:tcPr>
          <w:p>
            <w:pPr>
              <w:spacing w:after="0"/>
              <w:rPr>
                <w:sz w:val="20"/>
                <w:szCs w:val="20"/>
                <w:color w:val="auto"/>
              </w:rPr>
            </w:pPr>
          </w:p>
        </w:tc>
        <w:tc>
          <w:tcPr>
            <w:tcW w:w="820" w:type="dxa"/>
            <w:vAlign w:val="bottom"/>
            <w:tcBorders>
              <w:bottom w:val="single" w:sz="8" w:color="959595"/>
            </w:tcBorders>
          </w:tcPr>
          <w:p>
            <w:pPr>
              <w:spacing w:after="0"/>
              <w:rPr>
                <w:sz w:val="20"/>
                <w:szCs w:val="20"/>
                <w:color w:val="auto"/>
              </w:rPr>
            </w:pPr>
          </w:p>
        </w:tc>
        <w:tc>
          <w:tcPr>
            <w:tcW w:w="860" w:type="dxa"/>
            <w:vAlign w:val="bottom"/>
            <w:tcBorders>
              <w:bottom w:val="single" w:sz="8" w:color="959595"/>
            </w:tcBorders>
            <w:vMerge w:val="continue"/>
          </w:tcPr>
          <w:p>
            <w:pPr>
              <w:spacing w:after="0"/>
              <w:rPr>
                <w:sz w:val="20"/>
                <w:szCs w:val="20"/>
                <w:color w:val="auto"/>
              </w:rPr>
            </w:pPr>
          </w:p>
        </w:tc>
        <w:tc>
          <w:tcPr>
            <w:tcW w:w="960" w:type="dxa"/>
            <w:vAlign w:val="bottom"/>
            <w:tcBorders>
              <w:bottom w:val="single" w:sz="8" w:color="959595"/>
            </w:tcBorders>
            <w:vMerge w:val="continue"/>
          </w:tcPr>
          <w:p>
            <w:pPr>
              <w:spacing w:after="0"/>
              <w:rPr>
                <w:sz w:val="20"/>
                <w:szCs w:val="20"/>
                <w:color w:val="auto"/>
              </w:rPr>
            </w:pPr>
          </w:p>
        </w:tc>
        <w:tc>
          <w:tcPr>
            <w:tcW w:w="1360" w:type="dxa"/>
            <w:vAlign w:val="bottom"/>
            <w:tcBorders>
              <w:bottom w:val="single" w:sz="8" w:color="959595"/>
            </w:tcBorders>
            <w:vMerge w:val="continue"/>
          </w:tcPr>
          <w:p>
            <w:pPr>
              <w:spacing w:after="0"/>
              <w:rPr>
                <w:sz w:val="20"/>
                <w:szCs w:val="20"/>
                <w:color w:val="auto"/>
              </w:rPr>
            </w:pPr>
          </w:p>
        </w:tc>
        <w:tc>
          <w:tcPr>
            <w:tcW w:w="1120" w:type="dxa"/>
            <w:vAlign w:val="bottom"/>
            <w:tcBorders>
              <w:bottom w:val="single" w:sz="8" w:color="959595"/>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2740" w:type="dxa"/>
            <w:vAlign w:val="bottom"/>
          </w:tcPr>
          <w:p>
            <w:pPr>
              <w:spacing w:after="0"/>
              <w:rPr>
                <w:sz w:val="24"/>
                <w:szCs w:val="24"/>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9/4/2019</w:t>
            </w: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60" w:type="dxa"/>
            <w:vAlign w:val="bottom"/>
            <w:vMerge w:val="restart"/>
          </w:tcPr>
          <w:p>
            <w:pPr>
              <w:jc w:val="right"/>
              <w:ind w:right="493"/>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60" w:type="dxa"/>
            <w:vAlign w:val="bottom"/>
            <w:vMerge w:val="restart"/>
          </w:tcPr>
          <w:p>
            <w:pPr>
              <w:jc w:val="right"/>
              <w:ind w:right="113"/>
              <w:spacing w:after="0"/>
              <w:rPr>
                <w:sz w:val="20"/>
                <w:szCs w:val="20"/>
                <w:color w:val="auto"/>
              </w:rPr>
            </w:pPr>
            <w:r>
              <w:rPr>
                <w:rFonts w:ascii="Arial" w:cs="Arial" w:eastAsia="Arial" w:hAnsi="Arial"/>
                <w:sz w:val="13"/>
                <w:szCs w:val="13"/>
                <w:color w:val="auto"/>
              </w:rPr>
              <w:t>19,489</w:t>
            </w:r>
            <w:r>
              <w:rPr>
                <w:rFonts w:ascii="Arial" w:cs="Arial" w:eastAsia="Arial" w:hAnsi="Arial"/>
                <w:sz w:val="22"/>
                <w:szCs w:val="22"/>
                <w:color w:val="auto"/>
                <w:vertAlign w:val="superscript"/>
              </w:rPr>
              <w:t>(5)</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827,113</w:t>
            </w:r>
          </w:p>
        </w:tc>
        <w:tc>
          <w:tcPr>
            <w:tcW w:w="1360" w:type="dxa"/>
            <w:vAlign w:val="bottom"/>
            <w:tcBorders>
              <w:bottom w:val="single" w:sz="8" w:color="959595"/>
            </w:tcBorders>
          </w:tcPr>
          <w:p>
            <w:pPr>
              <w:jc w:val="right"/>
              <w:ind w:right="373"/>
              <w:spacing w:after="0"/>
              <w:rPr>
                <w:sz w:val="20"/>
                <w:szCs w:val="20"/>
                <w:color w:val="auto"/>
              </w:rPr>
            </w:pPr>
            <w:r>
              <w:rPr>
                <w:rFonts w:ascii="Arial" w:cs="Arial" w:eastAsia="Arial" w:hAnsi="Arial"/>
                <w:sz w:val="13"/>
                <w:szCs w:val="13"/>
                <w:color w:val="auto"/>
              </w:rPr>
              <w:t>9,744</w:t>
            </w:r>
            <w:r>
              <w:rPr>
                <w:rFonts w:ascii="Arial" w:cs="Arial" w:eastAsia="Arial" w:hAnsi="Arial"/>
                <w:sz w:val="22"/>
                <w:szCs w:val="22"/>
                <w:color w:val="auto"/>
                <w:vertAlign w:val="superscript"/>
              </w:rPr>
              <w:t>(6)</w:t>
            </w:r>
          </w:p>
        </w:tc>
        <w:tc>
          <w:tcPr>
            <w:tcW w:w="1120" w:type="dxa"/>
            <w:vAlign w:val="bottom"/>
            <w:tcBorders>
              <w:bottom w:val="single" w:sz="8" w:color="959595"/>
            </w:tcBorders>
          </w:tcPr>
          <w:p>
            <w:pPr>
              <w:jc w:val="right"/>
              <w:spacing w:after="0"/>
              <w:rPr>
                <w:sz w:val="20"/>
                <w:szCs w:val="20"/>
                <w:color w:val="auto"/>
              </w:rPr>
            </w:pPr>
            <w:r>
              <w:rPr>
                <w:rFonts w:ascii="Arial" w:cs="Arial" w:eastAsia="Arial" w:hAnsi="Arial"/>
                <w:sz w:val="13"/>
                <w:szCs w:val="13"/>
                <w:color w:val="auto"/>
              </w:rPr>
              <w:t>413,535</w:t>
            </w:r>
          </w:p>
        </w:tc>
        <w:tc>
          <w:tcPr>
            <w:tcW w:w="0" w:type="dxa"/>
            <w:vAlign w:val="bottom"/>
          </w:tcPr>
          <w:p>
            <w:pPr>
              <w:spacing w:after="0"/>
              <w:rPr>
                <w:sz w:val="1"/>
                <w:szCs w:val="1"/>
                <w:color w:val="auto"/>
              </w:rPr>
            </w:pPr>
          </w:p>
        </w:tc>
      </w:tr>
      <w:tr>
        <w:trPr>
          <w:trHeight w:val="178"/>
        </w:trPr>
        <w:tc>
          <w:tcPr>
            <w:tcW w:w="27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360" w:type="dxa"/>
            <w:vAlign w:val="bottom"/>
            <w:vMerge w:val="restart"/>
          </w:tcPr>
          <w:p>
            <w:pPr>
              <w:jc w:val="right"/>
              <w:ind w:right="373"/>
              <w:spacing w:after="0"/>
              <w:rPr>
                <w:sz w:val="20"/>
                <w:szCs w:val="20"/>
                <w:color w:val="auto"/>
              </w:rPr>
            </w:pPr>
            <w:r>
              <w:rPr>
                <w:rFonts w:ascii="Arial" w:cs="Arial" w:eastAsia="Arial" w:hAnsi="Arial"/>
                <w:sz w:val="13"/>
                <w:szCs w:val="13"/>
                <w:color w:val="auto"/>
              </w:rPr>
              <w:t>9,744</w:t>
            </w:r>
            <w:r>
              <w:rPr>
                <w:rFonts w:ascii="Arial" w:cs="Arial" w:eastAsia="Arial" w:hAnsi="Arial"/>
                <w:sz w:val="22"/>
                <w:szCs w:val="22"/>
                <w:color w:val="auto"/>
                <w:vertAlign w:val="superscript"/>
              </w:rPr>
              <w:t>(7)</w:t>
            </w: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413,535</w:t>
            </w:r>
          </w:p>
        </w:tc>
        <w:tc>
          <w:tcPr>
            <w:tcW w:w="0" w:type="dxa"/>
            <w:vAlign w:val="bottom"/>
          </w:tcPr>
          <w:p>
            <w:pPr>
              <w:spacing w:after="0"/>
              <w:rPr>
                <w:sz w:val="1"/>
                <w:szCs w:val="1"/>
                <w:color w:val="auto"/>
              </w:rPr>
            </w:pPr>
          </w:p>
        </w:tc>
      </w:tr>
      <w:tr>
        <w:trPr>
          <w:trHeight w:val="112"/>
        </w:trPr>
        <w:tc>
          <w:tcPr>
            <w:tcW w:w="2740" w:type="dxa"/>
            <w:vAlign w:val="bottom"/>
            <w:tcBorders>
              <w:bottom w:val="single" w:sz="8" w:color="959595"/>
            </w:tcBorders>
          </w:tcPr>
          <w:p>
            <w:pPr>
              <w:spacing w:after="0"/>
              <w:rPr>
                <w:sz w:val="9"/>
                <w:szCs w:val="9"/>
                <w:color w:val="auto"/>
              </w:rPr>
            </w:pPr>
          </w:p>
        </w:tc>
        <w:tc>
          <w:tcPr>
            <w:tcW w:w="680" w:type="dxa"/>
            <w:vAlign w:val="bottom"/>
            <w:tcBorders>
              <w:bottom w:val="single" w:sz="8" w:color="959595"/>
            </w:tcBorders>
          </w:tcPr>
          <w:p>
            <w:pPr>
              <w:spacing w:after="0"/>
              <w:rPr>
                <w:sz w:val="9"/>
                <w:szCs w:val="9"/>
                <w:color w:val="auto"/>
              </w:rPr>
            </w:pPr>
          </w:p>
        </w:tc>
        <w:tc>
          <w:tcPr>
            <w:tcW w:w="940" w:type="dxa"/>
            <w:vAlign w:val="bottom"/>
            <w:tcBorders>
              <w:bottom w:val="single" w:sz="8" w:color="959595"/>
            </w:tcBorders>
          </w:tcPr>
          <w:p>
            <w:pPr>
              <w:spacing w:after="0"/>
              <w:rPr>
                <w:sz w:val="9"/>
                <w:szCs w:val="9"/>
                <w:color w:val="auto"/>
              </w:rPr>
            </w:pPr>
          </w:p>
        </w:tc>
        <w:tc>
          <w:tcPr>
            <w:tcW w:w="1060" w:type="dxa"/>
            <w:vAlign w:val="bottom"/>
            <w:tcBorders>
              <w:bottom w:val="single" w:sz="8" w:color="959595"/>
            </w:tcBorders>
          </w:tcPr>
          <w:p>
            <w:pPr>
              <w:spacing w:after="0"/>
              <w:rPr>
                <w:sz w:val="9"/>
                <w:szCs w:val="9"/>
                <w:color w:val="auto"/>
              </w:rPr>
            </w:pPr>
          </w:p>
        </w:tc>
        <w:tc>
          <w:tcPr>
            <w:tcW w:w="700" w:type="dxa"/>
            <w:vAlign w:val="bottom"/>
            <w:tcBorders>
              <w:bottom w:val="single" w:sz="8" w:color="959595"/>
            </w:tcBorders>
          </w:tcPr>
          <w:p>
            <w:pPr>
              <w:spacing w:after="0"/>
              <w:rPr>
                <w:sz w:val="9"/>
                <w:szCs w:val="9"/>
                <w:color w:val="auto"/>
              </w:rPr>
            </w:pPr>
          </w:p>
        </w:tc>
        <w:tc>
          <w:tcPr>
            <w:tcW w:w="820" w:type="dxa"/>
            <w:vAlign w:val="bottom"/>
            <w:tcBorders>
              <w:bottom w:val="single" w:sz="8" w:color="959595"/>
            </w:tcBorders>
          </w:tcPr>
          <w:p>
            <w:pPr>
              <w:spacing w:after="0"/>
              <w:rPr>
                <w:sz w:val="9"/>
                <w:szCs w:val="9"/>
                <w:color w:val="auto"/>
              </w:rPr>
            </w:pPr>
          </w:p>
        </w:tc>
        <w:tc>
          <w:tcPr>
            <w:tcW w:w="860" w:type="dxa"/>
            <w:vAlign w:val="bottom"/>
            <w:tcBorders>
              <w:bottom w:val="single" w:sz="8" w:color="959595"/>
            </w:tcBorders>
          </w:tcPr>
          <w:p>
            <w:pPr>
              <w:spacing w:after="0"/>
              <w:rPr>
                <w:sz w:val="9"/>
                <w:szCs w:val="9"/>
                <w:color w:val="auto"/>
              </w:rPr>
            </w:pPr>
          </w:p>
        </w:tc>
        <w:tc>
          <w:tcPr>
            <w:tcW w:w="960" w:type="dxa"/>
            <w:vAlign w:val="bottom"/>
            <w:tcBorders>
              <w:bottom w:val="single" w:sz="8" w:color="959595"/>
            </w:tcBorders>
          </w:tcPr>
          <w:p>
            <w:pPr>
              <w:spacing w:after="0"/>
              <w:rPr>
                <w:sz w:val="9"/>
                <w:szCs w:val="9"/>
                <w:color w:val="auto"/>
              </w:rPr>
            </w:pPr>
          </w:p>
        </w:tc>
        <w:tc>
          <w:tcPr>
            <w:tcW w:w="1360" w:type="dxa"/>
            <w:vAlign w:val="bottom"/>
            <w:tcBorders>
              <w:bottom w:val="single" w:sz="8" w:color="959595"/>
            </w:tcBorders>
            <w:vMerge w:val="continue"/>
          </w:tcPr>
          <w:p>
            <w:pPr>
              <w:spacing w:after="0"/>
              <w:rPr>
                <w:sz w:val="9"/>
                <w:szCs w:val="9"/>
                <w:color w:val="auto"/>
              </w:rPr>
            </w:pPr>
          </w:p>
        </w:tc>
        <w:tc>
          <w:tcPr>
            <w:tcW w:w="1120" w:type="dxa"/>
            <w:vAlign w:val="bottom"/>
            <w:tcBorders>
              <w:bottom w:val="single" w:sz="8" w:color="959595"/>
            </w:tcBorders>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440" w:hanging="432"/>
        <w:spacing w:after="0"/>
        <w:tabs>
          <w:tab w:leader="none" w:pos="440" w:val="left"/>
        </w:tabs>
        <w:numPr>
          <w:ilvl w:val="0"/>
          <w:numId w:val="202"/>
        </w:numPr>
        <w:rPr>
          <w:rFonts w:ascii="Arial" w:cs="Arial" w:eastAsia="Arial" w:hAnsi="Arial"/>
          <w:sz w:val="18"/>
          <w:szCs w:val="18"/>
          <w:b w:val="1"/>
          <w:bCs w:val="1"/>
          <w:color w:val="23628F"/>
        </w:rPr>
      </w:pPr>
      <w:r>
        <w:rPr>
          <w:rFonts w:ascii="Arial" w:cs="Arial" w:eastAsia="Arial" w:hAnsi="Arial"/>
          <w:sz w:val="13"/>
          <w:szCs w:val="13"/>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153275" cy="215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540" w:type="dxa"/>
            <w:vAlign w:val="bottom"/>
            <w:gridSpan w:val="3"/>
          </w:tcPr>
          <w:p>
            <w:pPr>
              <w:jc w:val="right"/>
              <w:spacing w:after="0"/>
              <w:rPr>
                <w:sz w:val="20"/>
                <w:szCs w:val="20"/>
                <w:color w:val="auto"/>
              </w:rPr>
            </w:pPr>
            <w:r>
              <w:rPr>
                <w:rFonts w:ascii="Arial" w:cs="Arial" w:eastAsia="Arial" w:hAnsi="Arial"/>
                <w:sz w:val="13"/>
                <w:szCs w:val="13"/>
                <w:color w:val="23628F"/>
              </w:rPr>
              <w:t>COMPENSATION DISCUSSION AND ANALYSIS</w:t>
            </w:r>
          </w:p>
        </w:tc>
        <w:tc>
          <w:tcPr>
            <w:tcW w:w="0" w:type="dxa"/>
            <w:vAlign w:val="bottom"/>
          </w:tcPr>
          <w:p>
            <w:pPr>
              <w:spacing w:after="0"/>
              <w:rPr>
                <w:sz w:val="1"/>
                <w:szCs w:val="1"/>
                <w:color w:val="auto"/>
              </w:rPr>
            </w:pPr>
          </w:p>
        </w:tc>
      </w:tr>
      <w:tr>
        <w:trPr>
          <w:trHeight w:val="203"/>
        </w:trPr>
        <w:tc>
          <w:tcPr>
            <w:tcW w:w="2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2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Option Awards</w:t>
            </w: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380" w:type="dxa"/>
            <w:vAlign w:val="bottom"/>
            <w:gridSpan w:val="2"/>
            <w:vMerge w:val="restart"/>
          </w:tcPr>
          <w:p>
            <w:pPr>
              <w:jc w:val="right"/>
              <w:ind w:right="533"/>
              <w:spacing w:after="0"/>
              <w:rPr>
                <w:sz w:val="20"/>
                <w:szCs w:val="20"/>
                <w:color w:val="auto"/>
              </w:rPr>
            </w:pPr>
            <w:r>
              <w:rPr>
                <w:rFonts w:ascii="Arial" w:cs="Arial" w:eastAsia="Arial" w:hAnsi="Arial"/>
                <w:sz w:val="13"/>
                <w:szCs w:val="13"/>
                <w:b w:val="1"/>
                <w:bCs w:val="1"/>
                <w:color w:val="auto"/>
              </w:rPr>
              <w:t>Stock Awards</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1820" w:type="dxa"/>
            <w:vAlign w:val="bottom"/>
            <w:gridSpan w:val="2"/>
            <w:vMerge w:val="continue"/>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2380" w:type="dxa"/>
            <w:vAlign w:val="bottom"/>
            <w:gridSpan w:val="2"/>
            <w:vMerge w:val="continue"/>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2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60" w:type="dxa"/>
            <w:vAlign w:val="bottom"/>
            <w:tcBorders>
              <w:right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46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Equity</w:t>
            </w:r>
          </w:p>
        </w:tc>
        <w:tc>
          <w:tcPr>
            <w:tcW w:w="1160" w:type="dxa"/>
            <w:vAlign w:val="bottom"/>
          </w:tcPr>
          <w:p>
            <w:pPr>
              <w:jc w:val="right"/>
              <w:ind w:right="13"/>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48"/>
        </w:trPr>
        <w:tc>
          <w:tcPr>
            <w:tcW w:w="24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Incentive</w:t>
            </w:r>
          </w:p>
        </w:tc>
        <w:tc>
          <w:tcPr>
            <w:tcW w:w="1160" w:type="dxa"/>
            <w:vAlign w:val="bottom"/>
          </w:tcPr>
          <w:p>
            <w:pPr>
              <w:jc w:val="right"/>
              <w:ind w:right="13"/>
              <w:spacing w:after="0"/>
              <w:rPr>
                <w:sz w:val="20"/>
                <w:szCs w:val="20"/>
                <w:color w:val="auto"/>
              </w:rPr>
            </w:pPr>
            <w:r>
              <w:rPr>
                <w:rFonts w:ascii="Arial" w:cs="Arial" w:eastAsia="Arial" w:hAnsi="Arial"/>
                <w:sz w:val="13"/>
                <w:szCs w:val="13"/>
                <w:b w:val="1"/>
                <w:bCs w:val="1"/>
                <w:color w:val="auto"/>
              </w:rPr>
              <w:t>Incentive Plan</w:t>
            </w:r>
          </w:p>
        </w:tc>
        <w:tc>
          <w:tcPr>
            <w:tcW w:w="0" w:type="dxa"/>
            <w:vAlign w:val="bottom"/>
          </w:tcPr>
          <w:p>
            <w:pPr>
              <w:spacing w:after="0"/>
              <w:rPr>
                <w:sz w:val="1"/>
                <w:szCs w:val="1"/>
                <w:color w:val="auto"/>
              </w:rPr>
            </w:pPr>
          </w:p>
        </w:tc>
      </w:tr>
      <w:tr>
        <w:trPr>
          <w:trHeight w:val="148"/>
        </w:trPr>
        <w:tc>
          <w:tcPr>
            <w:tcW w:w="24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Plan Awards:</w:t>
            </w:r>
          </w:p>
        </w:tc>
        <w:tc>
          <w:tcPr>
            <w:tcW w:w="1160" w:type="dxa"/>
            <w:vAlign w:val="bottom"/>
          </w:tcPr>
          <w:p>
            <w:pPr>
              <w:jc w:val="right"/>
              <w:ind w:right="13"/>
              <w:spacing w:after="0"/>
              <w:rPr>
                <w:sz w:val="20"/>
                <w:szCs w:val="20"/>
                <w:color w:val="auto"/>
              </w:rPr>
            </w:pPr>
            <w:r>
              <w:rPr>
                <w:rFonts w:ascii="Arial" w:cs="Arial" w:eastAsia="Arial" w:hAnsi="Arial"/>
                <w:sz w:val="13"/>
                <w:szCs w:val="13"/>
                <w:b w:val="1"/>
                <w:bCs w:val="1"/>
                <w:color w:val="auto"/>
              </w:rPr>
              <w:t>Awards: Market</w:t>
            </w:r>
          </w:p>
        </w:tc>
        <w:tc>
          <w:tcPr>
            <w:tcW w:w="0" w:type="dxa"/>
            <w:vAlign w:val="bottom"/>
          </w:tcPr>
          <w:p>
            <w:pPr>
              <w:spacing w:after="0"/>
              <w:rPr>
                <w:sz w:val="1"/>
                <w:szCs w:val="1"/>
                <w:color w:val="auto"/>
              </w:rPr>
            </w:pPr>
          </w:p>
        </w:tc>
      </w:tr>
      <w:tr>
        <w:trPr>
          <w:trHeight w:val="148"/>
        </w:trPr>
        <w:tc>
          <w:tcPr>
            <w:tcW w:w="24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Number of</w:t>
            </w:r>
          </w:p>
        </w:tc>
        <w:tc>
          <w:tcPr>
            <w:tcW w:w="110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Number of</w:t>
            </w:r>
          </w:p>
        </w:tc>
        <w:tc>
          <w:tcPr>
            <w:tcW w:w="7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Number of</w:t>
            </w:r>
          </w:p>
        </w:tc>
        <w:tc>
          <w:tcPr>
            <w:tcW w:w="100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Market Value</w:t>
            </w:r>
          </w:p>
        </w:tc>
        <w:tc>
          <w:tcPr>
            <w:tcW w:w="13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Number of</w:t>
            </w:r>
          </w:p>
        </w:tc>
        <w:tc>
          <w:tcPr>
            <w:tcW w:w="1160" w:type="dxa"/>
            <w:vAlign w:val="bottom"/>
          </w:tcPr>
          <w:p>
            <w:pPr>
              <w:jc w:val="right"/>
              <w:ind w:right="13"/>
              <w:spacing w:after="0"/>
              <w:rPr>
                <w:sz w:val="20"/>
                <w:szCs w:val="20"/>
                <w:color w:val="auto"/>
              </w:rPr>
            </w:pPr>
            <w:r>
              <w:rPr>
                <w:rFonts w:ascii="Arial" w:cs="Arial" w:eastAsia="Arial" w:hAnsi="Arial"/>
                <w:sz w:val="13"/>
                <w:szCs w:val="13"/>
                <w:b w:val="1"/>
                <w:bCs w:val="1"/>
                <w:color w:val="auto"/>
              </w:rPr>
              <w:t>or Payout Value</w:t>
            </w:r>
          </w:p>
        </w:tc>
        <w:tc>
          <w:tcPr>
            <w:tcW w:w="0" w:type="dxa"/>
            <w:vAlign w:val="bottom"/>
          </w:tcPr>
          <w:p>
            <w:pPr>
              <w:spacing w:after="0"/>
              <w:rPr>
                <w:sz w:val="1"/>
                <w:szCs w:val="1"/>
                <w:color w:val="auto"/>
              </w:rPr>
            </w:pPr>
          </w:p>
        </w:tc>
      </w:tr>
      <w:tr>
        <w:trPr>
          <w:trHeight w:val="149"/>
        </w:trPr>
        <w:tc>
          <w:tcPr>
            <w:tcW w:w="24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Securities</w:t>
            </w:r>
          </w:p>
        </w:tc>
        <w:tc>
          <w:tcPr>
            <w:tcW w:w="110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Securities</w:t>
            </w:r>
          </w:p>
        </w:tc>
        <w:tc>
          <w:tcPr>
            <w:tcW w:w="7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Shares or</w:t>
            </w:r>
          </w:p>
        </w:tc>
        <w:tc>
          <w:tcPr>
            <w:tcW w:w="100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of Shares</w:t>
            </w:r>
          </w:p>
        </w:tc>
        <w:tc>
          <w:tcPr>
            <w:tcW w:w="13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Unearned</w:t>
            </w:r>
          </w:p>
        </w:tc>
        <w:tc>
          <w:tcPr>
            <w:tcW w:w="1160" w:type="dxa"/>
            <w:vAlign w:val="bottom"/>
          </w:tcPr>
          <w:p>
            <w:pPr>
              <w:jc w:val="right"/>
              <w:ind w:right="13"/>
              <w:spacing w:after="0"/>
              <w:rPr>
                <w:sz w:val="20"/>
                <w:szCs w:val="20"/>
                <w:color w:val="auto"/>
              </w:rPr>
            </w:pPr>
            <w:r>
              <w:rPr>
                <w:rFonts w:ascii="Arial" w:cs="Arial" w:eastAsia="Arial" w:hAnsi="Arial"/>
                <w:sz w:val="13"/>
                <w:szCs w:val="13"/>
                <w:b w:val="1"/>
                <w:bCs w:val="1"/>
                <w:color w:val="auto"/>
              </w:rPr>
              <w:t>of Unearned</w:t>
            </w:r>
          </w:p>
        </w:tc>
        <w:tc>
          <w:tcPr>
            <w:tcW w:w="0" w:type="dxa"/>
            <w:vAlign w:val="bottom"/>
          </w:tcPr>
          <w:p>
            <w:pPr>
              <w:spacing w:after="0"/>
              <w:rPr>
                <w:sz w:val="1"/>
                <w:szCs w:val="1"/>
                <w:color w:val="auto"/>
              </w:rPr>
            </w:pPr>
          </w:p>
        </w:tc>
      </w:tr>
      <w:tr>
        <w:trPr>
          <w:trHeight w:val="148"/>
        </w:trPr>
        <w:tc>
          <w:tcPr>
            <w:tcW w:w="24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Underlying</w:t>
            </w:r>
          </w:p>
        </w:tc>
        <w:tc>
          <w:tcPr>
            <w:tcW w:w="110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Underlying</w:t>
            </w:r>
          </w:p>
        </w:tc>
        <w:tc>
          <w:tcPr>
            <w:tcW w:w="7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Units of</w:t>
            </w:r>
          </w:p>
        </w:tc>
        <w:tc>
          <w:tcPr>
            <w:tcW w:w="100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or Units of</w:t>
            </w:r>
          </w:p>
        </w:tc>
        <w:tc>
          <w:tcPr>
            <w:tcW w:w="13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Shares, Units</w:t>
            </w:r>
          </w:p>
        </w:tc>
        <w:tc>
          <w:tcPr>
            <w:tcW w:w="1160" w:type="dxa"/>
            <w:vAlign w:val="bottom"/>
          </w:tcPr>
          <w:p>
            <w:pPr>
              <w:jc w:val="right"/>
              <w:ind w:right="13"/>
              <w:spacing w:after="0"/>
              <w:rPr>
                <w:sz w:val="20"/>
                <w:szCs w:val="20"/>
                <w:color w:val="auto"/>
              </w:rPr>
            </w:pPr>
            <w:r>
              <w:rPr>
                <w:rFonts w:ascii="Arial" w:cs="Arial" w:eastAsia="Arial" w:hAnsi="Arial"/>
                <w:sz w:val="13"/>
                <w:szCs w:val="13"/>
                <w:b w:val="1"/>
                <w:bCs w:val="1"/>
                <w:color w:val="auto"/>
              </w:rPr>
              <w:t>Shares, Units</w:t>
            </w:r>
          </w:p>
        </w:tc>
        <w:tc>
          <w:tcPr>
            <w:tcW w:w="0" w:type="dxa"/>
            <w:vAlign w:val="bottom"/>
          </w:tcPr>
          <w:p>
            <w:pPr>
              <w:spacing w:after="0"/>
              <w:rPr>
                <w:sz w:val="1"/>
                <w:szCs w:val="1"/>
                <w:color w:val="auto"/>
              </w:rPr>
            </w:pPr>
          </w:p>
        </w:tc>
      </w:tr>
      <w:tr>
        <w:trPr>
          <w:trHeight w:val="148"/>
        </w:trPr>
        <w:tc>
          <w:tcPr>
            <w:tcW w:w="24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Unexercised</w:t>
            </w:r>
          </w:p>
        </w:tc>
        <w:tc>
          <w:tcPr>
            <w:tcW w:w="110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Unexercised</w:t>
            </w:r>
          </w:p>
        </w:tc>
        <w:tc>
          <w:tcPr>
            <w:tcW w:w="72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Option</w:t>
            </w:r>
          </w:p>
        </w:tc>
        <w:tc>
          <w:tcPr>
            <w:tcW w:w="82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Option</w:t>
            </w:r>
          </w:p>
        </w:tc>
        <w:tc>
          <w:tcPr>
            <w:tcW w:w="8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Stock That</w:t>
            </w:r>
          </w:p>
        </w:tc>
        <w:tc>
          <w:tcPr>
            <w:tcW w:w="100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Stock That</w:t>
            </w:r>
          </w:p>
        </w:tc>
        <w:tc>
          <w:tcPr>
            <w:tcW w:w="13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or Other Rights</w:t>
            </w:r>
          </w:p>
        </w:tc>
        <w:tc>
          <w:tcPr>
            <w:tcW w:w="1160" w:type="dxa"/>
            <w:vAlign w:val="bottom"/>
          </w:tcPr>
          <w:p>
            <w:pPr>
              <w:jc w:val="right"/>
              <w:ind w:right="13"/>
              <w:spacing w:after="0"/>
              <w:rPr>
                <w:sz w:val="20"/>
                <w:szCs w:val="20"/>
                <w:color w:val="auto"/>
              </w:rPr>
            </w:pPr>
            <w:r>
              <w:rPr>
                <w:rFonts w:ascii="Arial" w:cs="Arial" w:eastAsia="Arial" w:hAnsi="Arial"/>
                <w:sz w:val="13"/>
                <w:szCs w:val="13"/>
                <w:b w:val="1"/>
                <w:bCs w:val="1"/>
                <w:color w:val="auto"/>
              </w:rPr>
              <w:t>or Other Rights</w:t>
            </w:r>
          </w:p>
        </w:tc>
        <w:tc>
          <w:tcPr>
            <w:tcW w:w="0" w:type="dxa"/>
            <w:vAlign w:val="bottom"/>
          </w:tcPr>
          <w:p>
            <w:pPr>
              <w:spacing w:after="0"/>
              <w:rPr>
                <w:sz w:val="1"/>
                <w:szCs w:val="1"/>
                <w:color w:val="auto"/>
              </w:rPr>
            </w:pPr>
          </w:p>
        </w:tc>
      </w:tr>
      <w:tr>
        <w:trPr>
          <w:trHeight w:val="148"/>
        </w:trPr>
        <w:tc>
          <w:tcPr>
            <w:tcW w:w="24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Grant</w:t>
            </w:r>
          </w:p>
        </w:tc>
        <w:tc>
          <w:tcPr>
            <w:tcW w:w="96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Options (#)</w:t>
            </w:r>
          </w:p>
        </w:tc>
        <w:tc>
          <w:tcPr>
            <w:tcW w:w="110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Options (#)</w:t>
            </w:r>
          </w:p>
        </w:tc>
        <w:tc>
          <w:tcPr>
            <w:tcW w:w="72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Exercise</w:t>
            </w:r>
          </w:p>
        </w:tc>
        <w:tc>
          <w:tcPr>
            <w:tcW w:w="82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Expiration</w:t>
            </w:r>
          </w:p>
        </w:tc>
        <w:tc>
          <w:tcPr>
            <w:tcW w:w="8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Have Not</w:t>
            </w:r>
          </w:p>
        </w:tc>
        <w:tc>
          <w:tcPr>
            <w:tcW w:w="100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Have Not</w:t>
            </w:r>
          </w:p>
        </w:tc>
        <w:tc>
          <w:tcPr>
            <w:tcW w:w="13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That Have Not</w:t>
            </w:r>
          </w:p>
        </w:tc>
        <w:tc>
          <w:tcPr>
            <w:tcW w:w="1160" w:type="dxa"/>
            <w:vAlign w:val="bottom"/>
          </w:tcPr>
          <w:p>
            <w:pPr>
              <w:jc w:val="right"/>
              <w:ind w:right="13"/>
              <w:spacing w:after="0"/>
              <w:rPr>
                <w:sz w:val="20"/>
                <w:szCs w:val="20"/>
                <w:color w:val="auto"/>
              </w:rPr>
            </w:pPr>
            <w:r>
              <w:rPr>
                <w:rFonts w:ascii="Arial" w:cs="Arial" w:eastAsia="Arial" w:hAnsi="Arial"/>
                <w:sz w:val="13"/>
                <w:szCs w:val="13"/>
                <w:b w:val="1"/>
                <w:bCs w:val="1"/>
                <w:color w:val="auto"/>
              </w:rPr>
              <w:t>That Have Not</w:t>
            </w:r>
          </w:p>
        </w:tc>
        <w:tc>
          <w:tcPr>
            <w:tcW w:w="0" w:type="dxa"/>
            <w:vAlign w:val="bottom"/>
          </w:tcPr>
          <w:p>
            <w:pPr>
              <w:spacing w:after="0"/>
              <w:rPr>
                <w:sz w:val="1"/>
                <w:szCs w:val="1"/>
                <w:color w:val="auto"/>
              </w:rPr>
            </w:pPr>
          </w:p>
        </w:tc>
      </w:tr>
      <w:tr>
        <w:trPr>
          <w:trHeight w:val="203"/>
        </w:trPr>
        <w:tc>
          <w:tcPr>
            <w:tcW w:w="24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rPr>
              <w:t>Name</w:t>
            </w:r>
          </w:p>
        </w:tc>
        <w:tc>
          <w:tcPr>
            <w:tcW w:w="760" w:type="dxa"/>
            <w:vAlign w:val="bottom"/>
            <w:tcBorders>
              <w:bottom w:val="single" w:sz="8" w:color="auto"/>
              <w:right w:val="single" w:sz="8" w:color="auto"/>
            </w:tcBorders>
          </w:tcPr>
          <w:p>
            <w:pPr>
              <w:jc w:val="right"/>
              <w:ind w:right="33"/>
              <w:spacing w:after="0" w:line="203" w:lineRule="exact"/>
              <w:rPr>
                <w:sz w:val="20"/>
                <w:szCs w:val="20"/>
                <w:color w:val="auto"/>
              </w:rPr>
            </w:pPr>
            <w:r>
              <w:rPr>
                <w:rFonts w:ascii="Arial" w:cs="Arial" w:eastAsia="Arial" w:hAnsi="Arial"/>
                <w:sz w:val="13"/>
                <w:szCs w:val="13"/>
                <w:b w:val="1"/>
                <w:bCs w:val="1"/>
                <w:color w:val="auto"/>
              </w:rPr>
              <w:t>Date</w:t>
            </w:r>
            <w:r>
              <w:rPr>
                <w:rFonts w:ascii="Arial" w:cs="Arial" w:eastAsia="Arial" w:hAnsi="Arial"/>
                <w:sz w:val="22"/>
                <w:szCs w:val="22"/>
                <w:b w:val="1"/>
                <w:bCs w:val="1"/>
                <w:color w:val="auto"/>
                <w:vertAlign w:val="superscript"/>
              </w:rPr>
              <w:t>(1)</w:t>
            </w:r>
          </w:p>
        </w:tc>
        <w:tc>
          <w:tcPr>
            <w:tcW w:w="96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Exercisable</w:t>
            </w:r>
          </w:p>
        </w:tc>
        <w:tc>
          <w:tcPr>
            <w:tcW w:w="110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Unexercisable</w:t>
            </w:r>
          </w:p>
        </w:tc>
        <w:tc>
          <w:tcPr>
            <w:tcW w:w="72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Price ($)</w:t>
            </w:r>
          </w:p>
        </w:tc>
        <w:tc>
          <w:tcPr>
            <w:tcW w:w="82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Date</w:t>
            </w:r>
          </w:p>
        </w:tc>
        <w:tc>
          <w:tcPr>
            <w:tcW w:w="88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Vested (#)</w:t>
            </w:r>
          </w:p>
        </w:tc>
        <w:tc>
          <w:tcPr>
            <w:tcW w:w="1000" w:type="dxa"/>
            <w:vAlign w:val="bottom"/>
            <w:tcBorders>
              <w:bottom w:val="single" w:sz="8" w:color="auto"/>
              <w:right w:val="single" w:sz="8" w:color="auto"/>
            </w:tcBorders>
          </w:tcPr>
          <w:p>
            <w:pPr>
              <w:jc w:val="right"/>
              <w:ind w:right="33"/>
              <w:spacing w:after="0" w:line="203" w:lineRule="exact"/>
              <w:rPr>
                <w:sz w:val="20"/>
                <w:szCs w:val="20"/>
                <w:color w:val="auto"/>
              </w:rPr>
            </w:pPr>
            <w:r>
              <w:rPr>
                <w:rFonts w:ascii="Arial" w:cs="Arial" w:eastAsia="Arial" w:hAnsi="Arial"/>
                <w:sz w:val="13"/>
                <w:szCs w:val="13"/>
                <w:b w:val="1"/>
                <w:bCs w:val="1"/>
                <w:color w:val="auto"/>
              </w:rPr>
              <w:t>Vested ($)</w:t>
            </w:r>
            <w:r>
              <w:rPr>
                <w:rFonts w:ascii="Arial" w:cs="Arial" w:eastAsia="Arial" w:hAnsi="Arial"/>
                <w:sz w:val="22"/>
                <w:szCs w:val="22"/>
                <w:b w:val="1"/>
                <w:bCs w:val="1"/>
                <w:color w:val="auto"/>
                <w:vertAlign w:val="superscript"/>
              </w:rPr>
              <w:t>(2)</w:t>
            </w:r>
          </w:p>
        </w:tc>
        <w:tc>
          <w:tcPr>
            <w:tcW w:w="138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Vested (#)</w:t>
            </w:r>
          </w:p>
        </w:tc>
        <w:tc>
          <w:tcPr>
            <w:tcW w:w="1160" w:type="dxa"/>
            <w:vAlign w:val="bottom"/>
            <w:tcBorders>
              <w:bottom w:val="single" w:sz="8" w:color="auto"/>
            </w:tcBorders>
          </w:tcPr>
          <w:p>
            <w:pPr>
              <w:jc w:val="right"/>
              <w:ind w:right="13"/>
              <w:spacing w:after="0" w:line="203" w:lineRule="exact"/>
              <w:rPr>
                <w:sz w:val="20"/>
                <w:szCs w:val="20"/>
                <w:color w:val="auto"/>
              </w:rPr>
            </w:pPr>
            <w:r>
              <w:rPr>
                <w:rFonts w:ascii="Arial" w:cs="Arial" w:eastAsia="Arial" w:hAnsi="Arial"/>
                <w:sz w:val="13"/>
                <w:szCs w:val="13"/>
                <w:b w:val="1"/>
                <w:bCs w:val="1"/>
                <w:color w:val="auto"/>
              </w:rPr>
              <w:t>Vested ($)</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196"/>
        </w:trPr>
        <w:tc>
          <w:tcPr>
            <w:tcW w:w="2460" w:type="dxa"/>
            <w:vAlign w:val="bottom"/>
          </w:tcPr>
          <w:p>
            <w:pPr>
              <w:ind w:left="80"/>
              <w:spacing w:after="0"/>
              <w:rPr>
                <w:sz w:val="20"/>
                <w:szCs w:val="20"/>
                <w:color w:val="auto"/>
              </w:rPr>
            </w:pPr>
            <w:r>
              <w:rPr>
                <w:rFonts w:ascii="Arial" w:cs="Arial" w:eastAsia="Arial" w:hAnsi="Arial"/>
                <w:sz w:val="13"/>
                <w:szCs w:val="13"/>
                <w:b w:val="1"/>
                <w:bCs w:val="1"/>
                <w:color w:val="23628F"/>
              </w:rPr>
              <w:t>Stephen D. Milligan</w:t>
            </w:r>
          </w:p>
        </w:tc>
        <w:tc>
          <w:tcPr>
            <w:tcW w:w="760" w:type="dxa"/>
            <w:vAlign w:val="bottom"/>
          </w:tcPr>
          <w:p>
            <w:pPr>
              <w:jc w:val="right"/>
              <w:ind w:right="33"/>
              <w:spacing w:after="0"/>
              <w:rPr>
                <w:sz w:val="20"/>
                <w:szCs w:val="20"/>
                <w:color w:val="auto"/>
              </w:rPr>
            </w:pPr>
            <w:r>
              <w:rPr>
                <w:rFonts w:ascii="Arial" w:cs="Arial" w:eastAsia="Arial" w:hAnsi="Arial"/>
                <w:sz w:val="13"/>
                <w:szCs w:val="13"/>
                <w:color w:val="auto"/>
              </w:rPr>
              <w:t>8/14/2013</w:t>
            </w:r>
          </w:p>
        </w:tc>
        <w:tc>
          <w:tcPr>
            <w:tcW w:w="960" w:type="dxa"/>
            <w:vAlign w:val="bottom"/>
          </w:tcPr>
          <w:p>
            <w:pPr>
              <w:jc w:val="right"/>
              <w:ind w:right="13"/>
              <w:spacing w:after="0"/>
              <w:rPr>
                <w:sz w:val="20"/>
                <w:szCs w:val="20"/>
                <w:color w:val="auto"/>
              </w:rPr>
            </w:pPr>
            <w:r>
              <w:rPr>
                <w:rFonts w:ascii="Arial" w:cs="Arial" w:eastAsia="Arial" w:hAnsi="Arial"/>
                <w:sz w:val="13"/>
                <w:szCs w:val="13"/>
                <w:color w:val="auto"/>
              </w:rPr>
              <w:t>5,664</w:t>
            </w:r>
          </w:p>
        </w:tc>
        <w:tc>
          <w:tcPr>
            <w:tcW w:w="110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3"/>
              <w:spacing w:after="0"/>
              <w:rPr>
                <w:sz w:val="20"/>
                <w:szCs w:val="20"/>
                <w:color w:val="auto"/>
              </w:rPr>
            </w:pPr>
            <w:r>
              <w:rPr>
                <w:rFonts w:ascii="Arial" w:cs="Arial" w:eastAsia="Arial" w:hAnsi="Arial"/>
                <w:sz w:val="13"/>
                <w:szCs w:val="13"/>
                <w:color w:val="auto"/>
              </w:rPr>
              <w:t>68.49</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8/14/2020</w:t>
            </w:r>
          </w:p>
        </w:tc>
        <w:tc>
          <w:tcPr>
            <w:tcW w:w="88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513"/>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1"/>
        </w:trPr>
        <w:tc>
          <w:tcPr>
            <w:tcW w:w="2460" w:type="dxa"/>
            <w:vAlign w:val="bottom"/>
          </w:tcPr>
          <w:p>
            <w:pPr>
              <w:spacing w:after="0"/>
              <w:rPr>
                <w:sz w:val="3"/>
                <w:szCs w:val="3"/>
                <w:color w:val="auto"/>
              </w:rPr>
            </w:pPr>
          </w:p>
        </w:tc>
        <w:tc>
          <w:tcPr>
            <w:tcW w:w="760" w:type="dxa"/>
            <w:vAlign w:val="bottom"/>
            <w:tcBorders>
              <w:bottom w:val="single" w:sz="8" w:color="959595"/>
            </w:tcBorders>
          </w:tcPr>
          <w:p>
            <w:pPr>
              <w:spacing w:after="0"/>
              <w:rPr>
                <w:sz w:val="3"/>
                <w:szCs w:val="3"/>
                <w:color w:val="auto"/>
              </w:rPr>
            </w:pPr>
          </w:p>
        </w:tc>
        <w:tc>
          <w:tcPr>
            <w:tcW w:w="960" w:type="dxa"/>
            <w:vAlign w:val="bottom"/>
            <w:tcBorders>
              <w:bottom w:val="single" w:sz="8" w:color="959595"/>
            </w:tcBorders>
          </w:tcPr>
          <w:p>
            <w:pPr>
              <w:spacing w:after="0"/>
              <w:rPr>
                <w:sz w:val="3"/>
                <w:szCs w:val="3"/>
                <w:color w:val="auto"/>
              </w:rPr>
            </w:pPr>
          </w:p>
        </w:tc>
        <w:tc>
          <w:tcPr>
            <w:tcW w:w="1100" w:type="dxa"/>
            <w:vAlign w:val="bottom"/>
            <w:tcBorders>
              <w:bottom w:val="single" w:sz="8" w:color="959595"/>
            </w:tcBorders>
          </w:tcPr>
          <w:p>
            <w:pPr>
              <w:spacing w:after="0"/>
              <w:rPr>
                <w:sz w:val="3"/>
                <w:szCs w:val="3"/>
                <w:color w:val="auto"/>
              </w:rPr>
            </w:pPr>
          </w:p>
        </w:tc>
        <w:tc>
          <w:tcPr>
            <w:tcW w:w="720" w:type="dxa"/>
            <w:vAlign w:val="bottom"/>
            <w:tcBorders>
              <w:bottom w:val="single" w:sz="8" w:color="959595"/>
            </w:tcBorders>
          </w:tcPr>
          <w:p>
            <w:pPr>
              <w:spacing w:after="0"/>
              <w:rPr>
                <w:sz w:val="3"/>
                <w:szCs w:val="3"/>
                <w:color w:val="auto"/>
              </w:rPr>
            </w:pPr>
          </w:p>
        </w:tc>
        <w:tc>
          <w:tcPr>
            <w:tcW w:w="820" w:type="dxa"/>
            <w:vAlign w:val="bottom"/>
            <w:tcBorders>
              <w:bottom w:val="single" w:sz="8" w:color="959595"/>
            </w:tcBorders>
          </w:tcPr>
          <w:p>
            <w:pPr>
              <w:spacing w:after="0"/>
              <w:rPr>
                <w:sz w:val="3"/>
                <w:szCs w:val="3"/>
                <w:color w:val="auto"/>
              </w:rPr>
            </w:pPr>
          </w:p>
        </w:tc>
        <w:tc>
          <w:tcPr>
            <w:tcW w:w="880" w:type="dxa"/>
            <w:vAlign w:val="bottom"/>
            <w:tcBorders>
              <w:bottom w:val="single" w:sz="8" w:color="959595"/>
            </w:tcBorders>
          </w:tcPr>
          <w:p>
            <w:pPr>
              <w:spacing w:after="0"/>
              <w:rPr>
                <w:sz w:val="3"/>
                <w:szCs w:val="3"/>
                <w:color w:val="auto"/>
              </w:rPr>
            </w:pPr>
          </w:p>
        </w:tc>
        <w:tc>
          <w:tcPr>
            <w:tcW w:w="1000" w:type="dxa"/>
            <w:vAlign w:val="bottom"/>
            <w:tcBorders>
              <w:bottom w:val="single" w:sz="8" w:color="959595"/>
            </w:tcBorders>
          </w:tcPr>
          <w:p>
            <w:pPr>
              <w:spacing w:after="0"/>
              <w:rPr>
                <w:sz w:val="3"/>
                <w:szCs w:val="3"/>
                <w:color w:val="auto"/>
              </w:rPr>
            </w:pPr>
          </w:p>
        </w:tc>
        <w:tc>
          <w:tcPr>
            <w:tcW w:w="1380" w:type="dxa"/>
            <w:vAlign w:val="bottom"/>
            <w:tcBorders>
              <w:bottom w:val="single" w:sz="8" w:color="959595"/>
            </w:tcBorders>
          </w:tcPr>
          <w:p>
            <w:pPr>
              <w:spacing w:after="0"/>
              <w:rPr>
                <w:sz w:val="3"/>
                <w:szCs w:val="3"/>
                <w:color w:val="auto"/>
              </w:rPr>
            </w:pPr>
          </w:p>
        </w:tc>
        <w:tc>
          <w:tcPr>
            <w:tcW w:w="116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2460" w:type="dxa"/>
            <w:vAlign w:val="bottom"/>
          </w:tcPr>
          <w:p>
            <w:pPr>
              <w:spacing w:after="0"/>
              <w:rPr>
                <w:sz w:val="17"/>
                <w:szCs w:val="17"/>
                <w:color w:val="auto"/>
              </w:rPr>
            </w:pPr>
          </w:p>
        </w:tc>
        <w:tc>
          <w:tcPr>
            <w:tcW w:w="760" w:type="dxa"/>
            <w:vAlign w:val="bottom"/>
          </w:tcPr>
          <w:p>
            <w:pPr>
              <w:jc w:val="right"/>
              <w:ind w:right="33"/>
              <w:spacing w:after="0"/>
              <w:rPr>
                <w:sz w:val="20"/>
                <w:szCs w:val="20"/>
                <w:color w:val="auto"/>
              </w:rPr>
            </w:pPr>
            <w:r>
              <w:rPr>
                <w:rFonts w:ascii="Arial" w:cs="Arial" w:eastAsia="Arial" w:hAnsi="Arial"/>
                <w:sz w:val="13"/>
                <w:szCs w:val="13"/>
                <w:color w:val="auto"/>
              </w:rPr>
              <w:t>9/11/2014</w:t>
            </w:r>
          </w:p>
        </w:tc>
        <w:tc>
          <w:tcPr>
            <w:tcW w:w="960" w:type="dxa"/>
            <w:vAlign w:val="bottom"/>
          </w:tcPr>
          <w:p>
            <w:pPr>
              <w:jc w:val="right"/>
              <w:ind w:right="13"/>
              <w:spacing w:after="0"/>
              <w:rPr>
                <w:sz w:val="20"/>
                <w:szCs w:val="20"/>
                <w:color w:val="auto"/>
              </w:rPr>
            </w:pPr>
            <w:r>
              <w:rPr>
                <w:rFonts w:ascii="Arial" w:cs="Arial" w:eastAsia="Arial" w:hAnsi="Arial"/>
                <w:sz w:val="13"/>
                <w:szCs w:val="13"/>
                <w:color w:val="auto"/>
              </w:rPr>
              <w:t>74,094</w:t>
            </w:r>
          </w:p>
        </w:tc>
        <w:tc>
          <w:tcPr>
            <w:tcW w:w="110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3"/>
              <w:spacing w:after="0"/>
              <w:rPr>
                <w:sz w:val="20"/>
                <w:szCs w:val="20"/>
                <w:color w:val="auto"/>
              </w:rPr>
            </w:pPr>
            <w:r>
              <w:rPr>
                <w:rFonts w:ascii="Arial" w:cs="Arial" w:eastAsia="Arial" w:hAnsi="Arial"/>
                <w:sz w:val="13"/>
                <w:szCs w:val="13"/>
                <w:color w:val="auto"/>
              </w:rPr>
              <w:t>100.06</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9/11/2021</w:t>
            </w:r>
          </w:p>
        </w:tc>
        <w:tc>
          <w:tcPr>
            <w:tcW w:w="88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513"/>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1"/>
        </w:trPr>
        <w:tc>
          <w:tcPr>
            <w:tcW w:w="2460" w:type="dxa"/>
            <w:vAlign w:val="bottom"/>
          </w:tcPr>
          <w:p>
            <w:pPr>
              <w:spacing w:after="0"/>
              <w:rPr>
                <w:sz w:val="3"/>
                <w:szCs w:val="3"/>
                <w:color w:val="auto"/>
              </w:rPr>
            </w:pPr>
          </w:p>
        </w:tc>
        <w:tc>
          <w:tcPr>
            <w:tcW w:w="760" w:type="dxa"/>
            <w:vAlign w:val="bottom"/>
            <w:tcBorders>
              <w:bottom w:val="single" w:sz="8" w:color="959595"/>
            </w:tcBorders>
          </w:tcPr>
          <w:p>
            <w:pPr>
              <w:spacing w:after="0"/>
              <w:rPr>
                <w:sz w:val="3"/>
                <w:szCs w:val="3"/>
                <w:color w:val="auto"/>
              </w:rPr>
            </w:pPr>
          </w:p>
        </w:tc>
        <w:tc>
          <w:tcPr>
            <w:tcW w:w="960" w:type="dxa"/>
            <w:vAlign w:val="bottom"/>
            <w:tcBorders>
              <w:bottom w:val="single" w:sz="8" w:color="959595"/>
            </w:tcBorders>
          </w:tcPr>
          <w:p>
            <w:pPr>
              <w:spacing w:after="0"/>
              <w:rPr>
                <w:sz w:val="3"/>
                <w:szCs w:val="3"/>
                <w:color w:val="auto"/>
              </w:rPr>
            </w:pPr>
          </w:p>
        </w:tc>
        <w:tc>
          <w:tcPr>
            <w:tcW w:w="1100" w:type="dxa"/>
            <w:vAlign w:val="bottom"/>
            <w:tcBorders>
              <w:bottom w:val="single" w:sz="8" w:color="959595"/>
            </w:tcBorders>
          </w:tcPr>
          <w:p>
            <w:pPr>
              <w:spacing w:after="0"/>
              <w:rPr>
                <w:sz w:val="3"/>
                <w:szCs w:val="3"/>
                <w:color w:val="auto"/>
              </w:rPr>
            </w:pPr>
          </w:p>
        </w:tc>
        <w:tc>
          <w:tcPr>
            <w:tcW w:w="720" w:type="dxa"/>
            <w:vAlign w:val="bottom"/>
            <w:tcBorders>
              <w:bottom w:val="single" w:sz="8" w:color="959595"/>
            </w:tcBorders>
          </w:tcPr>
          <w:p>
            <w:pPr>
              <w:spacing w:after="0"/>
              <w:rPr>
                <w:sz w:val="3"/>
                <w:szCs w:val="3"/>
                <w:color w:val="auto"/>
              </w:rPr>
            </w:pPr>
          </w:p>
        </w:tc>
        <w:tc>
          <w:tcPr>
            <w:tcW w:w="820" w:type="dxa"/>
            <w:vAlign w:val="bottom"/>
            <w:tcBorders>
              <w:bottom w:val="single" w:sz="8" w:color="959595"/>
            </w:tcBorders>
          </w:tcPr>
          <w:p>
            <w:pPr>
              <w:spacing w:after="0"/>
              <w:rPr>
                <w:sz w:val="3"/>
                <w:szCs w:val="3"/>
                <w:color w:val="auto"/>
              </w:rPr>
            </w:pPr>
          </w:p>
        </w:tc>
        <w:tc>
          <w:tcPr>
            <w:tcW w:w="880" w:type="dxa"/>
            <w:vAlign w:val="bottom"/>
            <w:tcBorders>
              <w:bottom w:val="single" w:sz="8" w:color="959595"/>
            </w:tcBorders>
          </w:tcPr>
          <w:p>
            <w:pPr>
              <w:spacing w:after="0"/>
              <w:rPr>
                <w:sz w:val="3"/>
                <w:szCs w:val="3"/>
                <w:color w:val="auto"/>
              </w:rPr>
            </w:pPr>
          </w:p>
        </w:tc>
        <w:tc>
          <w:tcPr>
            <w:tcW w:w="1000" w:type="dxa"/>
            <w:vAlign w:val="bottom"/>
            <w:tcBorders>
              <w:bottom w:val="single" w:sz="8" w:color="959595"/>
            </w:tcBorders>
          </w:tcPr>
          <w:p>
            <w:pPr>
              <w:spacing w:after="0"/>
              <w:rPr>
                <w:sz w:val="3"/>
                <w:szCs w:val="3"/>
                <w:color w:val="auto"/>
              </w:rPr>
            </w:pPr>
          </w:p>
        </w:tc>
        <w:tc>
          <w:tcPr>
            <w:tcW w:w="1380" w:type="dxa"/>
            <w:vAlign w:val="bottom"/>
            <w:tcBorders>
              <w:bottom w:val="single" w:sz="8" w:color="959595"/>
            </w:tcBorders>
          </w:tcPr>
          <w:p>
            <w:pPr>
              <w:spacing w:after="0"/>
              <w:rPr>
                <w:sz w:val="3"/>
                <w:szCs w:val="3"/>
                <w:color w:val="auto"/>
              </w:rPr>
            </w:pPr>
          </w:p>
        </w:tc>
        <w:tc>
          <w:tcPr>
            <w:tcW w:w="116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2460" w:type="dxa"/>
            <w:vAlign w:val="bottom"/>
          </w:tcPr>
          <w:p>
            <w:pPr>
              <w:spacing w:after="0"/>
              <w:rPr>
                <w:sz w:val="17"/>
                <w:szCs w:val="17"/>
                <w:color w:val="auto"/>
              </w:rPr>
            </w:pPr>
          </w:p>
        </w:tc>
        <w:tc>
          <w:tcPr>
            <w:tcW w:w="760" w:type="dxa"/>
            <w:vAlign w:val="bottom"/>
          </w:tcPr>
          <w:p>
            <w:pPr>
              <w:jc w:val="right"/>
              <w:ind w:right="33"/>
              <w:spacing w:after="0"/>
              <w:rPr>
                <w:sz w:val="20"/>
                <w:szCs w:val="20"/>
                <w:color w:val="auto"/>
              </w:rPr>
            </w:pPr>
            <w:r>
              <w:rPr>
                <w:rFonts w:ascii="Arial" w:cs="Arial" w:eastAsia="Arial" w:hAnsi="Arial"/>
                <w:sz w:val="13"/>
                <w:szCs w:val="13"/>
                <w:color w:val="auto"/>
              </w:rPr>
              <w:t>8/5/2015</w:t>
            </w:r>
          </w:p>
        </w:tc>
        <w:tc>
          <w:tcPr>
            <w:tcW w:w="960" w:type="dxa"/>
            <w:vAlign w:val="bottom"/>
          </w:tcPr>
          <w:p>
            <w:pPr>
              <w:jc w:val="right"/>
              <w:ind w:right="13"/>
              <w:spacing w:after="0"/>
              <w:rPr>
                <w:sz w:val="20"/>
                <w:szCs w:val="20"/>
                <w:color w:val="auto"/>
              </w:rPr>
            </w:pPr>
            <w:r>
              <w:rPr>
                <w:rFonts w:ascii="Arial" w:cs="Arial" w:eastAsia="Arial" w:hAnsi="Arial"/>
                <w:sz w:val="13"/>
                <w:szCs w:val="13"/>
                <w:color w:val="auto"/>
              </w:rPr>
              <w:t>104,539</w:t>
            </w:r>
          </w:p>
        </w:tc>
        <w:tc>
          <w:tcPr>
            <w:tcW w:w="110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3"/>
              <w:spacing w:after="0"/>
              <w:rPr>
                <w:sz w:val="20"/>
                <w:szCs w:val="20"/>
                <w:color w:val="auto"/>
              </w:rPr>
            </w:pPr>
            <w:r>
              <w:rPr>
                <w:rFonts w:ascii="Arial" w:cs="Arial" w:eastAsia="Arial" w:hAnsi="Arial"/>
                <w:sz w:val="13"/>
                <w:szCs w:val="13"/>
                <w:color w:val="auto"/>
              </w:rPr>
              <w:t>84.69</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8/5/2022</w:t>
            </w:r>
          </w:p>
        </w:tc>
        <w:tc>
          <w:tcPr>
            <w:tcW w:w="88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513"/>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1"/>
        </w:trPr>
        <w:tc>
          <w:tcPr>
            <w:tcW w:w="2460" w:type="dxa"/>
            <w:vAlign w:val="bottom"/>
          </w:tcPr>
          <w:p>
            <w:pPr>
              <w:spacing w:after="0"/>
              <w:rPr>
                <w:sz w:val="3"/>
                <w:szCs w:val="3"/>
                <w:color w:val="auto"/>
              </w:rPr>
            </w:pPr>
          </w:p>
        </w:tc>
        <w:tc>
          <w:tcPr>
            <w:tcW w:w="760" w:type="dxa"/>
            <w:vAlign w:val="bottom"/>
            <w:tcBorders>
              <w:bottom w:val="single" w:sz="8" w:color="959595"/>
            </w:tcBorders>
          </w:tcPr>
          <w:p>
            <w:pPr>
              <w:spacing w:after="0"/>
              <w:rPr>
                <w:sz w:val="3"/>
                <w:szCs w:val="3"/>
                <w:color w:val="auto"/>
              </w:rPr>
            </w:pPr>
          </w:p>
        </w:tc>
        <w:tc>
          <w:tcPr>
            <w:tcW w:w="960" w:type="dxa"/>
            <w:vAlign w:val="bottom"/>
            <w:tcBorders>
              <w:bottom w:val="single" w:sz="8" w:color="959595"/>
            </w:tcBorders>
          </w:tcPr>
          <w:p>
            <w:pPr>
              <w:spacing w:after="0"/>
              <w:rPr>
                <w:sz w:val="3"/>
                <w:szCs w:val="3"/>
                <w:color w:val="auto"/>
              </w:rPr>
            </w:pPr>
          </w:p>
        </w:tc>
        <w:tc>
          <w:tcPr>
            <w:tcW w:w="1100" w:type="dxa"/>
            <w:vAlign w:val="bottom"/>
            <w:tcBorders>
              <w:bottom w:val="single" w:sz="8" w:color="959595"/>
            </w:tcBorders>
          </w:tcPr>
          <w:p>
            <w:pPr>
              <w:spacing w:after="0"/>
              <w:rPr>
                <w:sz w:val="3"/>
                <w:szCs w:val="3"/>
                <w:color w:val="auto"/>
              </w:rPr>
            </w:pPr>
          </w:p>
        </w:tc>
        <w:tc>
          <w:tcPr>
            <w:tcW w:w="720" w:type="dxa"/>
            <w:vAlign w:val="bottom"/>
            <w:tcBorders>
              <w:bottom w:val="single" w:sz="8" w:color="959595"/>
            </w:tcBorders>
          </w:tcPr>
          <w:p>
            <w:pPr>
              <w:spacing w:after="0"/>
              <w:rPr>
                <w:sz w:val="3"/>
                <w:szCs w:val="3"/>
                <w:color w:val="auto"/>
              </w:rPr>
            </w:pPr>
          </w:p>
        </w:tc>
        <w:tc>
          <w:tcPr>
            <w:tcW w:w="820" w:type="dxa"/>
            <w:vAlign w:val="bottom"/>
            <w:tcBorders>
              <w:bottom w:val="single" w:sz="8" w:color="959595"/>
            </w:tcBorders>
          </w:tcPr>
          <w:p>
            <w:pPr>
              <w:spacing w:after="0"/>
              <w:rPr>
                <w:sz w:val="3"/>
                <w:szCs w:val="3"/>
                <w:color w:val="auto"/>
              </w:rPr>
            </w:pPr>
          </w:p>
        </w:tc>
        <w:tc>
          <w:tcPr>
            <w:tcW w:w="880" w:type="dxa"/>
            <w:vAlign w:val="bottom"/>
            <w:tcBorders>
              <w:bottom w:val="single" w:sz="8" w:color="959595"/>
            </w:tcBorders>
          </w:tcPr>
          <w:p>
            <w:pPr>
              <w:spacing w:after="0"/>
              <w:rPr>
                <w:sz w:val="3"/>
                <w:szCs w:val="3"/>
                <w:color w:val="auto"/>
              </w:rPr>
            </w:pPr>
          </w:p>
        </w:tc>
        <w:tc>
          <w:tcPr>
            <w:tcW w:w="1000" w:type="dxa"/>
            <w:vAlign w:val="bottom"/>
            <w:tcBorders>
              <w:bottom w:val="single" w:sz="8" w:color="959595"/>
            </w:tcBorders>
          </w:tcPr>
          <w:p>
            <w:pPr>
              <w:spacing w:after="0"/>
              <w:rPr>
                <w:sz w:val="3"/>
                <w:szCs w:val="3"/>
                <w:color w:val="auto"/>
              </w:rPr>
            </w:pPr>
          </w:p>
        </w:tc>
        <w:tc>
          <w:tcPr>
            <w:tcW w:w="1380" w:type="dxa"/>
            <w:vAlign w:val="bottom"/>
            <w:tcBorders>
              <w:bottom w:val="single" w:sz="8" w:color="959595"/>
            </w:tcBorders>
          </w:tcPr>
          <w:p>
            <w:pPr>
              <w:spacing w:after="0"/>
              <w:rPr>
                <w:sz w:val="3"/>
                <w:szCs w:val="3"/>
                <w:color w:val="auto"/>
              </w:rPr>
            </w:pPr>
          </w:p>
        </w:tc>
        <w:tc>
          <w:tcPr>
            <w:tcW w:w="116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460" w:type="dxa"/>
            <w:vAlign w:val="bottom"/>
          </w:tcPr>
          <w:p>
            <w:pPr>
              <w:spacing w:after="0"/>
              <w:rPr>
                <w:sz w:val="22"/>
                <w:szCs w:val="22"/>
                <w:color w:val="auto"/>
              </w:rPr>
            </w:pPr>
          </w:p>
        </w:tc>
        <w:tc>
          <w:tcPr>
            <w:tcW w:w="76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8/3/2016</w:t>
            </w:r>
          </w:p>
        </w:tc>
        <w:tc>
          <w:tcPr>
            <w:tcW w:w="9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132,084</w:t>
            </w:r>
          </w:p>
        </w:tc>
        <w:tc>
          <w:tcPr>
            <w:tcW w:w="1100" w:type="dxa"/>
            <w:vAlign w:val="bottom"/>
            <w:tcBorders>
              <w:bottom w:val="single" w:sz="8" w:color="959595"/>
            </w:tcBorders>
          </w:tcPr>
          <w:p>
            <w:pPr>
              <w:jc w:val="right"/>
              <w:ind w:right="53"/>
              <w:spacing w:after="0"/>
              <w:rPr>
                <w:sz w:val="20"/>
                <w:szCs w:val="20"/>
                <w:color w:val="auto"/>
              </w:rPr>
            </w:pPr>
            <w:r>
              <w:rPr>
                <w:rFonts w:ascii="Arial" w:cs="Arial" w:eastAsia="Arial" w:hAnsi="Arial"/>
                <w:sz w:val="13"/>
                <w:szCs w:val="13"/>
                <w:color w:val="auto"/>
              </w:rPr>
              <w:t>16,511</w:t>
            </w:r>
            <w:r>
              <w:rPr>
                <w:rFonts w:ascii="Arial" w:cs="Arial" w:eastAsia="Arial" w:hAnsi="Arial"/>
                <w:sz w:val="22"/>
                <w:szCs w:val="22"/>
                <w:color w:val="auto"/>
                <w:vertAlign w:val="superscript"/>
              </w:rPr>
              <w:t>(8)</w:t>
            </w:r>
          </w:p>
        </w:tc>
        <w:tc>
          <w:tcPr>
            <w:tcW w:w="72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44.78</w:t>
            </w:r>
          </w:p>
        </w:tc>
        <w:tc>
          <w:tcPr>
            <w:tcW w:w="82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8/3/2023</w:t>
            </w:r>
          </w:p>
        </w:tc>
        <w:tc>
          <w:tcPr>
            <w:tcW w:w="880" w:type="dxa"/>
            <w:vAlign w:val="bottom"/>
            <w:tcBorders>
              <w:bottom w:val="single" w:sz="8" w:color="959595"/>
            </w:tcBorders>
          </w:tcPr>
          <w:p>
            <w:pPr>
              <w:jc w:val="right"/>
              <w:ind w:right="233"/>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959595"/>
            </w:tcBorders>
          </w:tcPr>
          <w:p>
            <w:pPr>
              <w:jc w:val="right"/>
              <w:ind w:right="513"/>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3"/>
        </w:trPr>
        <w:tc>
          <w:tcPr>
            <w:tcW w:w="2460" w:type="dxa"/>
            <w:vAlign w:val="bottom"/>
          </w:tcPr>
          <w:p>
            <w:pPr>
              <w:spacing w:after="0"/>
              <w:rPr>
                <w:sz w:val="22"/>
                <w:szCs w:val="22"/>
                <w:color w:val="auto"/>
              </w:rPr>
            </w:pPr>
          </w:p>
        </w:tc>
        <w:tc>
          <w:tcPr>
            <w:tcW w:w="76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8/2/2017</w:t>
            </w:r>
          </w:p>
        </w:tc>
        <w:tc>
          <w:tcPr>
            <w:tcW w:w="9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959595"/>
            </w:tcBorders>
          </w:tcPr>
          <w:p>
            <w:pPr>
              <w:jc w:val="right"/>
              <w:ind w:right="173"/>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959595"/>
            </w:tcBorders>
          </w:tcPr>
          <w:p>
            <w:pPr>
              <w:jc w:val="right"/>
              <w:ind w:right="93"/>
              <w:spacing w:after="0"/>
              <w:rPr>
                <w:sz w:val="20"/>
                <w:szCs w:val="20"/>
                <w:color w:val="auto"/>
              </w:rPr>
            </w:pPr>
            <w:r>
              <w:rPr>
                <w:rFonts w:ascii="Arial" w:cs="Arial" w:eastAsia="Arial" w:hAnsi="Arial"/>
                <w:sz w:val="13"/>
                <w:szCs w:val="13"/>
                <w:color w:val="auto"/>
              </w:rPr>
              <w:t>30,390</w:t>
            </w:r>
            <w:r>
              <w:rPr>
                <w:rFonts w:ascii="Arial" w:cs="Arial" w:eastAsia="Arial" w:hAnsi="Arial"/>
                <w:sz w:val="22"/>
                <w:szCs w:val="22"/>
                <w:color w:val="auto"/>
                <w:vertAlign w:val="superscript"/>
              </w:rPr>
              <w:t>(5)</w:t>
            </w:r>
          </w:p>
        </w:tc>
        <w:tc>
          <w:tcPr>
            <w:tcW w:w="100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1,289,752</w:t>
            </w:r>
          </w:p>
        </w:tc>
        <w:tc>
          <w:tcPr>
            <w:tcW w:w="1380" w:type="dxa"/>
            <w:vAlign w:val="bottom"/>
            <w:tcBorders>
              <w:bottom w:val="single" w:sz="8" w:color="959595"/>
            </w:tcBorders>
          </w:tcPr>
          <w:p>
            <w:pPr>
              <w:jc w:val="right"/>
              <w:ind w:right="513"/>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3"/>
        </w:trPr>
        <w:tc>
          <w:tcPr>
            <w:tcW w:w="2460" w:type="dxa"/>
            <w:vAlign w:val="bottom"/>
          </w:tcPr>
          <w:p>
            <w:pPr>
              <w:spacing w:after="0"/>
              <w:rPr>
                <w:sz w:val="22"/>
                <w:szCs w:val="22"/>
                <w:color w:val="auto"/>
              </w:rPr>
            </w:pPr>
          </w:p>
        </w:tc>
        <w:tc>
          <w:tcPr>
            <w:tcW w:w="760" w:type="dxa"/>
            <w:vAlign w:val="bottom"/>
            <w:vMerge w:val="restart"/>
          </w:tcPr>
          <w:p>
            <w:pPr>
              <w:jc w:val="right"/>
              <w:ind w:right="33"/>
              <w:spacing w:after="0"/>
              <w:rPr>
                <w:sz w:val="20"/>
                <w:szCs w:val="20"/>
                <w:color w:val="auto"/>
              </w:rPr>
            </w:pPr>
            <w:r>
              <w:rPr>
                <w:rFonts w:ascii="Arial" w:cs="Arial" w:eastAsia="Arial" w:hAnsi="Arial"/>
                <w:sz w:val="13"/>
                <w:szCs w:val="13"/>
                <w:color w:val="auto"/>
              </w:rPr>
              <w:t>8/30/2018</w:t>
            </w:r>
          </w:p>
        </w:tc>
        <w:tc>
          <w:tcPr>
            <w:tcW w:w="96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1100" w:type="dxa"/>
            <w:vAlign w:val="bottom"/>
            <w:vMerge w:val="restart"/>
          </w:tcPr>
          <w:p>
            <w:pPr>
              <w:jc w:val="right"/>
              <w:ind w:right="173"/>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ind w:right="33"/>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959595"/>
            </w:tcBorders>
          </w:tcPr>
          <w:p>
            <w:pPr>
              <w:jc w:val="right"/>
              <w:ind w:right="93"/>
              <w:spacing w:after="0"/>
              <w:rPr>
                <w:sz w:val="20"/>
                <w:szCs w:val="20"/>
                <w:color w:val="auto"/>
              </w:rPr>
            </w:pPr>
            <w:r>
              <w:rPr>
                <w:rFonts w:ascii="Arial" w:cs="Arial" w:eastAsia="Arial" w:hAnsi="Arial"/>
                <w:sz w:val="13"/>
                <w:szCs w:val="13"/>
                <w:color w:val="auto"/>
              </w:rPr>
              <w:t>60,912</w:t>
            </w:r>
            <w:r>
              <w:rPr>
                <w:rFonts w:ascii="Arial" w:cs="Arial" w:eastAsia="Arial" w:hAnsi="Arial"/>
                <w:sz w:val="22"/>
                <w:szCs w:val="22"/>
                <w:color w:val="auto"/>
                <w:vertAlign w:val="superscript"/>
              </w:rPr>
              <w:t>(5)</w:t>
            </w:r>
          </w:p>
        </w:tc>
        <w:tc>
          <w:tcPr>
            <w:tcW w:w="100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2,585,105</w:t>
            </w:r>
          </w:p>
        </w:tc>
        <w:tc>
          <w:tcPr>
            <w:tcW w:w="1380" w:type="dxa"/>
            <w:vAlign w:val="bottom"/>
            <w:tcBorders>
              <w:bottom w:val="single" w:sz="8" w:color="959595"/>
            </w:tcBorders>
          </w:tcPr>
          <w:p>
            <w:pPr>
              <w:jc w:val="right"/>
              <w:ind w:right="313"/>
              <w:spacing w:after="0"/>
              <w:rPr>
                <w:sz w:val="20"/>
                <w:szCs w:val="20"/>
                <w:color w:val="auto"/>
              </w:rPr>
            </w:pPr>
            <w:r>
              <w:rPr>
                <w:rFonts w:ascii="Arial" w:cs="Arial" w:eastAsia="Arial" w:hAnsi="Arial"/>
                <w:sz w:val="13"/>
                <w:szCs w:val="13"/>
                <w:color w:val="auto"/>
              </w:rPr>
              <w:t>15,228</w:t>
            </w:r>
            <w:r>
              <w:rPr>
                <w:rFonts w:ascii="Arial" w:cs="Arial" w:eastAsia="Arial" w:hAnsi="Arial"/>
                <w:sz w:val="22"/>
                <w:szCs w:val="22"/>
                <w:color w:val="auto"/>
                <w:vertAlign w:val="superscript"/>
              </w:rPr>
              <w:t>(10)</w:t>
            </w:r>
          </w:p>
        </w:tc>
        <w:tc>
          <w:tcPr>
            <w:tcW w:w="11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646,276</w:t>
            </w:r>
          </w:p>
        </w:tc>
        <w:tc>
          <w:tcPr>
            <w:tcW w:w="0" w:type="dxa"/>
            <w:vAlign w:val="bottom"/>
          </w:tcPr>
          <w:p>
            <w:pPr>
              <w:spacing w:after="0"/>
              <w:rPr>
                <w:sz w:val="1"/>
                <w:szCs w:val="1"/>
                <w:color w:val="auto"/>
              </w:rPr>
            </w:pPr>
          </w:p>
        </w:tc>
      </w:tr>
      <w:tr>
        <w:trPr>
          <w:trHeight w:val="61"/>
        </w:trPr>
        <w:tc>
          <w:tcPr>
            <w:tcW w:w="24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880" w:type="dxa"/>
            <w:vAlign w:val="bottom"/>
            <w:vMerge w:val="restart"/>
          </w:tcPr>
          <w:p>
            <w:pPr>
              <w:jc w:val="right"/>
              <w:ind w:right="33"/>
              <w:spacing w:after="0"/>
              <w:rPr>
                <w:sz w:val="20"/>
                <w:szCs w:val="20"/>
                <w:color w:val="auto"/>
              </w:rPr>
            </w:pPr>
            <w:r>
              <w:rPr>
                <w:rFonts w:ascii="Arial" w:cs="Arial" w:eastAsia="Arial" w:hAnsi="Arial"/>
                <w:sz w:val="13"/>
                <w:szCs w:val="13"/>
                <w:color w:val="auto"/>
              </w:rPr>
              <w:t>14,009</w:t>
            </w:r>
            <w:r>
              <w:rPr>
                <w:rFonts w:ascii="Arial" w:cs="Arial" w:eastAsia="Arial" w:hAnsi="Arial"/>
                <w:sz w:val="22"/>
                <w:szCs w:val="22"/>
                <w:color w:val="auto"/>
                <w:vertAlign w:val="superscript"/>
              </w:rPr>
              <w:t>(11)</w:t>
            </w:r>
          </w:p>
        </w:tc>
        <w:tc>
          <w:tcPr>
            <w:tcW w:w="1000" w:type="dxa"/>
            <w:vAlign w:val="bottom"/>
            <w:vMerge w:val="restart"/>
          </w:tcPr>
          <w:p>
            <w:pPr>
              <w:jc w:val="right"/>
              <w:ind w:right="33"/>
              <w:spacing w:after="0"/>
              <w:rPr>
                <w:sz w:val="20"/>
                <w:szCs w:val="20"/>
                <w:color w:val="auto"/>
              </w:rPr>
            </w:pPr>
            <w:r>
              <w:rPr>
                <w:rFonts w:ascii="Arial" w:cs="Arial" w:eastAsia="Arial" w:hAnsi="Arial"/>
                <w:sz w:val="13"/>
                <w:szCs w:val="13"/>
                <w:color w:val="auto"/>
              </w:rPr>
              <w:t>594,542</w:t>
            </w:r>
          </w:p>
        </w:tc>
        <w:tc>
          <w:tcPr>
            <w:tcW w:w="1380" w:type="dxa"/>
            <w:vAlign w:val="bottom"/>
            <w:vMerge w:val="restart"/>
          </w:tcPr>
          <w:p>
            <w:pPr>
              <w:jc w:val="right"/>
              <w:ind w:right="313"/>
              <w:spacing w:after="0"/>
              <w:rPr>
                <w:sz w:val="20"/>
                <w:szCs w:val="20"/>
                <w:color w:val="auto"/>
              </w:rPr>
            </w:pPr>
            <w:r>
              <w:rPr>
                <w:rFonts w:ascii="Arial" w:cs="Arial" w:eastAsia="Arial" w:hAnsi="Arial"/>
                <w:sz w:val="13"/>
                <w:szCs w:val="13"/>
                <w:color w:val="auto"/>
              </w:rPr>
              <w:t>45,686</w:t>
            </w:r>
            <w:r>
              <w:rPr>
                <w:rFonts w:ascii="Arial" w:cs="Arial" w:eastAsia="Arial" w:hAnsi="Arial"/>
                <w:sz w:val="22"/>
                <w:szCs w:val="22"/>
                <w:color w:val="auto"/>
                <w:vertAlign w:val="superscript"/>
              </w:rPr>
              <w:t>(12)</w:t>
            </w:r>
          </w:p>
        </w:tc>
        <w:tc>
          <w:tcPr>
            <w:tcW w:w="1160" w:type="dxa"/>
            <w:vAlign w:val="bottom"/>
            <w:vMerge w:val="restart"/>
          </w:tcPr>
          <w:p>
            <w:pPr>
              <w:jc w:val="right"/>
              <w:ind w:right="13"/>
              <w:spacing w:after="0"/>
              <w:rPr>
                <w:sz w:val="20"/>
                <w:szCs w:val="20"/>
                <w:color w:val="auto"/>
              </w:rPr>
            </w:pPr>
            <w:r>
              <w:rPr>
                <w:rFonts w:ascii="Arial" w:cs="Arial" w:eastAsia="Arial" w:hAnsi="Arial"/>
                <w:sz w:val="13"/>
                <w:szCs w:val="13"/>
                <w:color w:val="auto"/>
              </w:rPr>
              <w:t>1,938,914</w:t>
            </w:r>
          </w:p>
        </w:tc>
        <w:tc>
          <w:tcPr>
            <w:tcW w:w="0" w:type="dxa"/>
            <w:vAlign w:val="bottom"/>
          </w:tcPr>
          <w:p>
            <w:pPr>
              <w:spacing w:after="0"/>
              <w:rPr>
                <w:sz w:val="1"/>
                <w:szCs w:val="1"/>
                <w:color w:val="auto"/>
              </w:rPr>
            </w:pPr>
          </w:p>
        </w:tc>
      </w:tr>
      <w:tr>
        <w:trPr>
          <w:trHeight w:val="203"/>
        </w:trPr>
        <w:tc>
          <w:tcPr>
            <w:tcW w:w="2460" w:type="dxa"/>
            <w:vAlign w:val="bottom"/>
          </w:tcPr>
          <w:p>
            <w:pPr>
              <w:spacing w:after="0"/>
              <w:rPr>
                <w:sz w:val="17"/>
                <w:szCs w:val="17"/>
                <w:color w:val="auto"/>
              </w:rPr>
            </w:pPr>
          </w:p>
        </w:tc>
        <w:tc>
          <w:tcPr>
            <w:tcW w:w="760" w:type="dxa"/>
            <w:vAlign w:val="bottom"/>
            <w:tcBorders>
              <w:bottom w:val="single" w:sz="8" w:color="959595"/>
            </w:tcBorders>
          </w:tcPr>
          <w:p>
            <w:pPr>
              <w:spacing w:after="0"/>
              <w:rPr>
                <w:sz w:val="17"/>
                <w:szCs w:val="17"/>
                <w:color w:val="auto"/>
              </w:rPr>
            </w:pPr>
          </w:p>
        </w:tc>
        <w:tc>
          <w:tcPr>
            <w:tcW w:w="960" w:type="dxa"/>
            <w:vAlign w:val="bottom"/>
            <w:tcBorders>
              <w:bottom w:val="single" w:sz="8" w:color="959595"/>
            </w:tcBorders>
          </w:tcPr>
          <w:p>
            <w:pPr>
              <w:spacing w:after="0"/>
              <w:rPr>
                <w:sz w:val="17"/>
                <w:szCs w:val="17"/>
                <w:color w:val="auto"/>
              </w:rPr>
            </w:pPr>
          </w:p>
        </w:tc>
        <w:tc>
          <w:tcPr>
            <w:tcW w:w="1100" w:type="dxa"/>
            <w:vAlign w:val="bottom"/>
            <w:tcBorders>
              <w:bottom w:val="single" w:sz="8" w:color="959595"/>
            </w:tcBorders>
          </w:tcPr>
          <w:p>
            <w:pPr>
              <w:spacing w:after="0"/>
              <w:rPr>
                <w:sz w:val="17"/>
                <w:szCs w:val="17"/>
                <w:color w:val="auto"/>
              </w:rPr>
            </w:pPr>
          </w:p>
        </w:tc>
        <w:tc>
          <w:tcPr>
            <w:tcW w:w="720" w:type="dxa"/>
            <w:vAlign w:val="bottom"/>
            <w:tcBorders>
              <w:bottom w:val="single" w:sz="8" w:color="959595"/>
            </w:tcBorders>
          </w:tcPr>
          <w:p>
            <w:pPr>
              <w:spacing w:after="0"/>
              <w:rPr>
                <w:sz w:val="17"/>
                <w:szCs w:val="17"/>
                <w:color w:val="auto"/>
              </w:rPr>
            </w:pPr>
          </w:p>
        </w:tc>
        <w:tc>
          <w:tcPr>
            <w:tcW w:w="820" w:type="dxa"/>
            <w:vAlign w:val="bottom"/>
            <w:tcBorders>
              <w:bottom w:val="single" w:sz="8" w:color="959595"/>
            </w:tcBorders>
          </w:tcPr>
          <w:p>
            <w:pPr>
              <w:spacing w:after="0"/>
              <w:rPr>
                <w:sz w:val="17"/>
                <w:szCs w:val="17"/>
                <w:color w:val="auto"/>
              </w:rPr>
            </w:pPr>
          </w:p>
        </w:tc>
        <w:tc>
          <w:tcPr>
            <w:tcW w:w="880" w:type="dxa"/>
            <w:vAlign w:val="bottom"/>
            <w:tcBorders>
              <w:bottom w:val="single" w:sz="8" w:color="959595"/>
            </w:tcBorders>
            <w:vMerge w:val="continue"/>
          </w:tcPr>
          <w:p>
            <w:pPr>
              <w:spacing w:after="0"/>
              <w:rPr>
                <w:sz w:val="17"/>
                <w:szCs w:val="17"/>
                <w:color w:val="auto"/>
              </w:rPr>
            </w:pPr>
          </w:p>
        </w:tc>
        <w:tc>
          <w:tcPr>
            <w:tcW w:w="1000" w:type="dxa"/>
            <w:vAlign w:val="bottom"/>
            <w:tcBorders>
              <w:bottom w:val="single" w:sz="8" w:color="959595"/>
            </w:tcBorders>
            <w:vMerge w:val="continue"/>
          </w:tcPr>
          <w:p>
            <w:pPr>
              <w:spacing w:after="0"/>
              <w:rPr>
                <w:sz w:val="17"/>
                <w:szCs w:val="17"/>
                <w:color w:val="auto"/>
              </w:rPr>
            </w:pPr>
          </w:p>
        </w:tc>
        <w:tc>
          <w:tcPr>
            <w:tcW w:w="1380" w:type="dxa"/>
            <w:vAlign w:val="bottom"/>
            <w:tcBorders>
              <w:bottom w:val="single" w:sz="8" w:color="959595"/>
            </w:tcBorders>
            <w:vMerge w:val="continue"/>
          </w:tcPr>
          <w:p>
            <w:pPr>
              <w:spacing w:after="0"/>
              <w:rPr>
                <w:sz w:val="17"/>
                <w:szCs w:val="17"/>
                <w:color w:val="auto"/>
              </w:rPr>
            </w:pPr>
          </w:p>
        </w:tc>
        <w:tc>
          <w:tcPr>
            <w:tcW w:w="1160" w:type="dxa"/>
            <w:vAlign w:val="bottom"/>
            <w:tcBorders>
              <w:bottom w:val="single" w:sz="8" w:color="959595"/>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460" w:type="dxa"/>
            <w:vAlign w:val="bottom"/>
          </w:tcPr>
          <w:p>
            <w:pPr>
              <w:spacing w:after="0"/>
              <w:rPr>
                <w:sz w:val="22"/>
                <w:szCs w:val="22"/>
                <w:color w:val="auto"/>
              </w:rPr>
            </w:pPr>
          </w:p>
        </w:tc>
        <w:tc>
          <w:tcPr>
            <w:tcW w:w="760" w:type="dxa"/>
            <w:vAlign w:val="bottom"/>
            <w:vMerge w:val="restart"/>
          </w:tcPr>
          <w:p>
            <w:pPr>
              <w:jc w:val="right"/>
              <w:ind w:right="33"/>
              <w:spacing w:after="0"/>
              <w:rPr>
                <w:sz w:val="20"/>
                <w:szCs w:val="20"/>
                <w:color w:val="auto"/>
              </w:rPr>
            </w:pPr>
            <w:r>
              <w:rPr>
                <w:rFonts w:ascii="Arial" w:cs="Arial" w:eastAsia="Arial" w:hAnsi="Arial"/>
                <w:sz w:val="13"/>
                <w:szCs w:val="13"/>
                <w:color w:val="auto"/>
              </w:rPr>
              <w:t>9/4/2019</w:t>
            </w:r>
          </w:p>
        </w:tc>
        <w:tc>
          <w:tcPr>
            <w:tcW w:w="96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1100" w:type="dxa"/>
            <w:vAlign w:val="bottom"/>
            <w:vMerge w:val="restart"/>
          </w:tcPr>
          <w:p>
            <w:pPr>
              <w:jc w:val="right"/>
              <w:ind w:right="173"/>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ind w:right="33"/>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ind w:right="93"/>
              <w:spacing w:after="0"/>
              <w:rPr>
                <w:sz w:val="20"/>
                <w:szCs w:val="20"/>
                <w:color w:val="auto"/>
              </w:rPr>
            </w:pPr>
            <w:r>
              <w:rPr>
                <w:rFonts w:ascii="Arial" w:cs="Arial" w:eastAsia="Arial" w:hAnsi="Arial"/>
                <w:sz w:val="13"/>
                <w:szCs w:val="13"/>
                <w:color w:val="auto"/>
              </w:rPr>
              <w:t>83,154</w:t>
            </w:r>
            <w:r>
              <w:rPr>
                <w:rFonts w:ascii="Arial" w:cs="Arial" w:eastAsia="Arial" w:hAnsi="Arial"/>
                <w:sz w:val="11"/>
                <w:szCs w:val="11"/>
                <w:color w:val="auto"/>
              </w:rPr>
              <w:t>(5)</w:t>
            </w:r>
          </w:p>
        </w:tc>
        <w:tc>
          <w:tcPr>
            <w:tcW w:w="1000" w:type="dxa"/>
            <w:vAlign w:val="bottom"/>
            <w:vMerge w:val="restart"/>
          </w:tcPr>
          <w:p>
            <w:pPr>
              <w:jc w:val="right"/>
              <w:ind w:right="33"/>
              <w:spacing w:after="0"/>
              <w:rPr>
                <w:sz w:val="20"/>
                <w:szCs w:val="20"/>
                <w:color w:val="auto"/>
              </w:rPr>
            </w:pPr>
            <w:r>
              <w:rPr>
                <w:rFonts w:ascii="Arial" w:cs="Arial" w:eastAsia="Arial" w:hAnsi="Arial"/>
                <w:sz w:val="13"/>
                <w:szCs w:val="13"/>
                <w:color w:val="auto"/>
              </w:rPr>
              <w:t>3,529,056</w:t>
            </w:r>
          </w:p>
        </w:tc>
        <w:tc>
          <w:tcPr>
            <w:tcW w:w="1380" w:type="dxa"/>
            <w:vAlign w:val="bottom"/>
            <w:tcBorders>
              <w:bottom w:val="single" w:sz="8" w:color="959595"/>
            </w:tcBorders>
          </w:tcPr>
          <w:p>
            <w:pPr>
              <w:jc w:val="right"/>
              <w:ind w:right="373"/>
              <w:spacing w:after="0"/>
              <w:rPr>
                <w:sz w:val="20"/>
                <w:szCs w:val="20"/>
                <w:color w:val="auto"/>
              </w:rPr>
            </w:pPr>
            <w:r>
              <w:rPr>
                <w:rFonts w:ascii="Arial" w:cs="Arial" w:eastAsia="Arial" w:hAnsi="Arial"/>
                <w:sz w:val="13"/>
                <w:szCs w:val="13"/>
                <w:color w:val="auto"/>
              </w:rPr>
              <w:t>62,365</w:t>
            </w:r>
            <w:r>
              <w:rPr>
                <w:rFonts w:ascii="Arial" w:cs="Arial" w:eastAsia="Arial" w:hAnsi="Arial"/>
                <w:sz w:val="22"/>
                <w:szCs w:val="22"/>
                <w:color w:val="auto"/>
                <w:vertAlign w:val="superscript"/>
              </w:rPr>
              <w:t>(6)</w:t>
            </w:r>
          </w:p>
        </w:tc>
        <w:tc>
          <w:tcPr>
            <w:tcW w:w="11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2,646,771</w:t>
            </w:r>
          </w:p>
        </w:tc>
        <w:tc>
          <w:tcPr>
            <w:tcW w:w="0" w:type="dxa"/>
            <w:vAlign w:val="bottom"/>
          </w:tcPr>
          <w:p>
            <w:pPr>
              <w:spacing w:after="0"/>
              <w:rPr>
                <w:sz w:val="1"/>
                <w:szCs w:val="1"/>
                <w:color w:val="auto"/>
              </w:rPr>
            </w:pPr>
          </w:p>
        </w:tc>
      </w:tr>
      <w:tr>
        <w:trPr>
          <w:trHeight w:val="61"/>
        </w:trPr>
        <w:tc>
          <w:tcPr>
            <w:tcW w:w="24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380" w:type="dxa"/>
            <w:vAlign w:val="bottom"/>
            <w:vMerge w:val="restart"/>
          </w:tcPr>
          <w:p>
            <w:pPr>
              <w:jc w:val="right"/>
              <w:ind w:right="373"/>
              <w:spacing w:after="0"/>
              <w:rPr>
                <w:sz w:val="20"/>
                <w:szCs w:val="20"/>
                <w:color w:val="auto"/>
              </w:rPr>
            </w:pPr>
            <w:r>
              <w:rPr>
                <w:rFonts w:ascii="Arial" w:cs="Arial" w:eastAsia="Arial" w:hAnsi="Arial"/>
                <w:sz w:val="13"/>
                <w:szCs w:val="13"/>
                <w:color w:val="auto"/>
              </w:rPr>
              <w:t>62,365</w:t>
            </w:r>
            <w:r>
              <w:rPr>
                <w:rFonts w:ascii="Arial" w:cs="Arial" w:eastAsia="Arial" w:hAnsi="Arial"/>
                <w:sz w:val="22"/>
                <w:szCs w:val="22"/>
                <w:color w:val="auto"/>
                <w:vertAlign w:val="superscript"/>
              </w:rPr>
              <w:t>(7)</w:t>
            </w:r>
          </w:p>
        </w:tc>
        <w:tc>
          <w:tcPr>
            <w:tcW w:w="1160" w:type="dxa"/>
            <w:vAlign w:val="bottom"/>
            <w:vMerge w:val="restart"/>
          </w:tcPr>
          <w:p>
            <w:pPr>
              <w:jc w:val="right"/>
              <w:ind w:right="13"/>
              <w:spacing w:after="0"/>
              <w:rPr>
                <w:sz w:val="20"/>
                <w:szCs w:val="20"/>
                <w:color w:val="auto"/>
              </w:rPr>
            </w:pPr>
            <w:r>
              <w:rPr>
                <w:rFonts w:ascii="Arial" w:cs="Arial" w:eastAsia="Arial" w:hAnsi="Arial"/>
                <w:sz w:val="13"/>
                <w:szCs w:val="13"/>
                <w:color w:val="auto"/>
              </w:rPr>
              <w:t>2,646,771</w:t>
            </w:r>
          </w:p>
        </w:tc>
        <w:tc>
          <w:tcPr>
            <w:tcW w:w="0" w:type="dxa"/>
            <w:vAlign w:val="bottom"/>
          </w:tcPr>
          <w:p>
            <w:pPr>
              <w:spacing w:after="0"/>
              <w:rPr>
                <w:sz w:val="1"/>
                <w:szCs w:val="1"/>
                <w:color w:val="auto"/>
              </w:rPr>
            </w:pPr>
          </w:p>
        </w:tc>
      </w:tr>
      <w:tr>
        <w:trPr>
          <w:trHeight w:val="203"/>
        </w:trPr>
        <w:tc>
          <w:tcPr>
            <w:tcW w:w="2460" w:type="dxa"/>
            <w:vAlign w:val="bottom"/>
            <w:tcBorders>
              <w:bottom w:val="single" w:sz="8" w:color="959595"/>
            </w:tcBorders>
          </w:tcPr>
          <w:p>
            <w:pPr>
              <w:spacing w:after="0"/>
              <w:rPr>
                <w:sz w:val="17"/>
                <w:szCs w:val="17"/>
                <w:color w:val="auto"/>
              </w:rPr>
            </w:pPr>
          </w:p>
        </w:tc>
        <w:tc>
          <w:tcPr>
            <w:tcW w:w="760" w:type="dxa"/>
            <w:vAlign w:val="bottom"/>
            <w:tcBorders>
              <w:bottom w:val="single" w:sz="8" w:color="959595"/>
            </w:tcBorders>
          </w:tcPr>
          <w:p>
            <w:pPr>
              <w:spacing w:after="0"/>
              <w:rPr>
                <w:sz w:val="17"/>
                <w:szCs w:val="17"/>
                <w:color w:val="auto"/>
              </w:rPr>
            </w:pPr>
          </w:p>
        </w:tc>
        <w:tc>
          <w:tcPr>
            <w:tcW w:w="960" w:type="dxa"/>
            <w:vAlign w:val="bottom"/>
            <w:tcBorders>
              <w:bottom w:val="single" w:sz="8" w:color="959595"/>
            </w:tcBorders>
          </w:tcPr>
          <w:p>
            <w:pPr>
              <w:spacing w:after="0"/>
              <w:rPr>
                <w:sz w:val="17"/>
                <w:szCs w:val="17"/>
                <w:color w:val="auto"/>
              </w:rPr>
            </w:pPr>
          </w:p>
        </w:tc>
        <w:tc>
          <w:tcPr>
            <w:tcW w:w="1100" w:type="dxa"/>
            <w:vAlign w:val="bottom"/>
            <w:tcBorders>
              <w:bottom w:val="single" w:sz="8" w:color="959595"/>
            </w:tcBorders>
          </w:tcPr>
          <w:p>
            <w:pPr>
              <w:spacing w:after="0"/>
              <w:rPr>
                <w:sz w:val="17"/>
                <w:szCs w:val="17"/>
                <w:color w:val="auto"/>
              </w:rPr>
            </w:pPr>
          </w:p>
        </w:tc>
        <w:tc>
          <w:tcPr>
            <w:tcW w:w="720" w:type="dxa"/>
            <w:vAlign w:val="bottom"/>
            <w:tcBorders>
              <w:bottom w:val="single" w:sz="8" w:color="959595"/>
            </w:tcBorders>
          </w:tcPr>
          <w:p>
            <w:pPr>
              <w:spacing w:after="0"/>
              <w:rPr>
                <w:sz w:val="17"/>
                <w:szCs w:val="17"/>
                <w:color w:val="auto"/>
              </w:rPr>
            </w:pPr>
          </w:p>
        </w:tc>
        <w:tc>
          <w:tcPr>
            <w:tcW w:w="820" w:type="dxa"/>
            <w:vAlign w:val="bottom"/>
            <w:tcBorders>
              <w:bottom w:val="single" w:sz="8" w:color="959595"/>
            </w:tcBorders>
          </w:tcPr>
          <w:p>
            <w:pPr>
              <w:spacing w:after="0"/>
              <w:rPr>
                <w:sz w:val="17"/>
                <w:szCs w:val="17"/>
                <w:color w:val="auto"/>
              </w:rPr>
            </w:pPr>
          </w:p>
        </w:tc>
        <w:tc>
          <w:tcPr>
            <w:tcW w:w="880" w:type="dxa"/>
            <w:vAlign w:val="bottom"/>
            <w:tcBorders>
              <w:bottom w:val="single" w:sz="8" w:color="959595"/>
            </w:tcBorders>
          </w:tcPr>
          <w:p>
            <w:pPr>
              <w:spacing w:after="0"/>
              <w:rPr>
                <w:sz w:val="17"/>
                <w:szCs w:val="17"/>
                <w:color w:val="auto"/>
              </w:rPr>
            </w:pPr>
          </w:p>
        </w:tc>
        <w:tc>
          <w:tcPr>
            <w:tcW w:w="1000" w:type="dxa"/>
            <w:vAlign w:val="bottom"/>
            <w:tcBorders>
              <w:bottom w:val="single" w:sz="8" w:color="959595"/>
            </w:tcBorders>
          </w:tcPr>
          <w:p>
            <w:pPr>
              <w:spacing w:after="0"/>
              <w:rPr>
                <w:sz w:val="17"/>
                <w:szCs w:val="17"/>
                <w:color w:val="auto"/>
              </w:rPr>
            </w:pPr>
          </w:p>
        </w:tc>
        <w:tc>
          <w:tcPr>
            <w:tcW w:w="1380" w:type="dxa"/>
            <w:vAlign w:val="bottom"/>
            <w:tcBorders>
              <w:bottom w:val="single" w:sz="8" w:color="959595"/>
            </w:tcBorders>
            <w:vMerge w:val="continue"/>
          </w:tcPr>
          <w:p>
            <w:pPr>
              <w:spacing w:after="0"/>
              <w:rPr>
                <w:sz w:val="17"/>
                <w:szCs w:val="17"/>
                <w:color w:val="auto"/>
              </w:rPr>
            </w:pPr>
          </w:p>
        </w:tc>
        <w:tc>
          <w:tcPr>
            <w:tcW w:w="1160" w:type="dxa"/>
            <w:vAlign w:val="bottom"/>
            <w:tcBorders>
              <w:bottom w:val="single" w:sz="8" w:color="959595"/>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60" w:type="dxa"/>
            <w:vAlign w:val="bottom"/>
          </w:tcPr>
          <w:p>
            <w:pPr>
              <w:ind w:left="80"/>
              <w:spacing w:after="0"/>
              <w:rPr>
                <w:sz w:val="20"/>
                <w:szCs w:val="20"/>
                <w:color w:val="auto"/>
              </w:rPr>
            </w:pPr>
            <w:r>
              <w:rPr>
                <w:rFonts w:ascii="Arial" w:cs="Arial" w:eastAsia="Arial" w:hAnsi="Arial"/>
                <w:sz w:val="13"/>
                <w:szCs w:val="13"/>
                <w:b w:val="1"/>
                <w:bCs w:val="1"/>
                <w:color w:val="23628F"/>
              </w:rPr>
              <w:t>Michael</w:t>
            </w:r>
          </w:p>
        </w:tc>
        <w:tc>
          <w:tcPr>
            <w:tcW w:w="760" w:type="dxa"/>
            <w:vAlign w:val="bottom"/>
          </w:tcPr>
          <w:p>
            <w:pPr>
              <w:jc w:val="right"/>
              <w:ind w:right="33"/>
              <w:spacing w:after="0"/>
              <w:rPr>
                <w:sz w:val="20"/>
                <w:szCs w:val="20"/>
                <w:color w:val="auto"/>
              </w:rPr>
            </w:pPr>
            <w:r>
              <w:rPr>
                <w:rFonts w:ascii="Arial" w:cs="Arial" w:eastAsia="Arial" w:hAnsi="Arial"/>
                <w:sz w:val="13"/>
                <w:szCs w:val="13"/>
                <w:color w:val="auto"/>
              </w:rPr>
              <w:t>9/11/2014</w:t>
            </w:r>
          </w:p>
        </w:tc>
        <w:tc>
          <w:tcPr>
            <w:tcW w:w="960" w:type="dxa"/>
            <w:vAlign w:val="bottom"/>
          </w:tcPr>
          <w:p>
            <w:pPr>
              <w:jc w:val="right"/>
              <w:ind w:right="13"/>
              <w:spacing w:after="0"/>
              <w:rPr>
                <w:sz w:val="20"/>
                <w:szCs w:val="20"/>
                <w:color w:val="auto"/>
              </w:rPr>
            </w:pPr>
            <w:r>
              <w:rPr>
                <w:rFonts w:ascii="Arial" w:cs="Arial" w:eastAsia="Arial" w:hAnsi="Arial"/>
                <w:sz w:val="13"/>
                <w:szCs w:val="13"/>
                <w:color w:val="auto"/>
              </w:rPr>
              <w:t>57,629</w:t>
            </w:r>
          </w:p>
        </w:tc>
        <w:tc>
          <w:tcPr>
            <w:tcW w:w="110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3"/>
              <w:spacing w:after="0"/>
              <w:rPr>
                <w:sz w:val="20"/>
                <w:szCs w:val="20"/>
                <w:color w:val="auto"/>
              </w:rPr>
            </w:pPr>
            <w:r>
              <w:rPr>
                <w:rFonts w:ascii="Arial" w:cs="Arial" w:eastAsia="Arial" w:hAnsi="Arial"/>
                <w:sz w:val="13"/>
                <w:szCs w:val="13"/>
                <w:color w:val="auto"/>
              </w:rPr>
              <w:t>100.06</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9/11/2021</w:t>
            </w:r>
          </w:p>
        </w:tc>
        <w:tc>
          <w:tcPr>
            <w:tcW w:w="88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513"/>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1"/>
        </w:trPr>
        <w:tc>
          <w:tcPr>
            <w:tcW w:w="2460" w:type="dxa"/>
            <w:vAlign w:val="bottom"/>
            <w:vMerge w:val="restart"/>
          </w:tcPr>
          <w:p>
            <w:pPr>
              <w:ind w:left="80"/>
              <w:spacing w:after="0"/>
              <w:rPr>
                <w:sz w:val="20"/>
                <w:szCs w:val="20"/>
                <w:color w:val="auto"/>
              </w:rPr>
            </w:pPr>
            <w:r>
              <w:rPr>
                <w:rFonts w:ascii="Arial" w:cs="Arial" w:eastAsia="Arial" w:hAnsi="Arial"/>
                <w:sz w:val="13"/>
                <w:szCs w:val="13"/>
                <w:b w:val="1"/>
                <w:bCs w:val="1"/>
                <w:color w:val="23628F"/>
              </w:rPr>
              <w:t>D. Cordano</w:t>
            </w:r>
          </w:p>
        </w:tc>
        <w:tc>
          <w:tcPr>
            <w:tcW w:w="760" w:type="dxa"/>
            <w:vAlign w:val="bottom"/>
            <w:tcBorders>
              <w:bottom w:val="single" w:sz="8" w:color="959595"/>
            </w:tcBorders>
          </w:tcPr>
          <w:p>
            <w:pPr>
              <w:spacing w:after="0"/>
              <w:rPr>
                <w:sz w:val="3"/>
                <w:szCs w:val="3"/>
                <w:color w:val="auto"/>
              </w:rPr>
            </w:pPr>
          </w:p>
        </w:tc>
        <w:tc>
          <w:tcPr>
            <w:tcW w:w="960" w:type="dxa"/>
            <w:vAlign w:val="bottom"/>
            <w:tcBorders>
              <w:bottom w:val="single" w:sz="8" w:color="959595"/>
            </w:tcBorders>
          </w:tcPr>
          <w:p>
            <w:pPr>
              <w:spacing w:after="0"/>
              <w:rPr>
                <w:sz w:val="3"/>
                <w:szCs w:val="3"/>
                <w:color w:val="auto"/>
              </w:rPr>
            </w:pPr>
          </w:p>
        </w:tc>
        <w:tc>
          <w:tcPr>
            <w:tcW w:w="1100" w:type="dxa"/>
            <w:vAlign w:val="bottom"/>
            <w:tcBorders>
              <w:bottom w:val="single" w:sz="8" w:color="959595"/>
            </w:tcBorders>
          </w:tcPr>
          <w:p>
            <w:pPr>
              <w:spacing w:after="0"/>
              <w:rPr>
                <w:sz w:val="3"/>
                <w:szCs w:val="3"/>
                <w:color w:val="auto"/>
              </w:rPr>
            </w:pPr>
          </w:p>
        </w:tc>
        <w:tc>
          <w:tcPr>
            <w:tcW w:w="720" w:type="dxa"/>
            <w:vAlign w:val="bottom"/>
            <w:tcBorders>
              <w:bottom w:val="single" w:sz="8" w:color="959595"/>
            </w:tcBorders>
          </w:tcPr>
          <w:p>
            <w:pPr>
              <w:spacing w:after="0"/>
              <w:rPr>
                <w:sz w:val="3"/>
                <w:szCs w:val="3"/>
                <w:color w:val="auto"/>
              </w:rPr>
            </w:pPr>
          </w:p>
        </w:tc>
        <w:tc>
          <w:tcPr>
            <w:tcW w:w="820" w:type="dxa"/>
            <w:vAlign w:val="bottom"/>
            <w:tcBorders>
              <w:bottom w:val="single" w:sz="8" w:color="959595"/>
            </w:tcBorders>
          </w:tcPr>
          <w:p>
            <w:pPr>
              <w:spacing w:after="0"/>
              <w:rPr>
                <w:sz w:val="3"/>
                <w:szCs w:val="3"/>
                <w:color w:val="auto"/>
              </w:rPr>
            </w:pPr>
          </w:p>
        </w:tc>
        <w:tc>
          <w:tcPr>
            <w:tcW w:w="880" w:type="dxa"/>
            <w:vAlign w:val="bottom"/>
            <w:tcBorders>
              <w:bottom w:val="single" w:sz="8" w:color="959595"/>
            </w:tcBorders>
          </w:tcPr>
          <w:p>
            <w:pPr>
              <w:spacing w:after="0"/>
              <w:rPr>
                <w:sz w:val="3"/>
                <w:szCs w:val="3"/>
                <w:color w:val="auto"/>
              </w:rPr>
            </w:pPr>
          </w:p>
        </w:tc>
        <w:tc>
          <w:tcPr>
            <w:tcW w:w="1000" w:type="dxa"/>
            <w:vAlign w:val="bottom"/>
            <w:tcBorders>
              <w:bottom w:val="single" w:sz="8" w:color="959595"/>
            </w:tcBorders>
          </w:tcPr>
          <w:p>
            <w:pPr>
              <w:spacing w:after="0"/>
              <w:rPr>
                <w:sz w:val="3"/>
                <w:szCs w:val="3"/>
                <w:color w:val="auto"/>
              </w:rPr>
            </w:pPr>
          </w:p>
        </w:tc>
        <w:tc>
          <w:tcPr>
            <w:tcW w:w="1380" w:type="dxa"/>
            <w:vAlign w:val="bottom"/>
            <w:tcBorders>
              <w:bottom w:val="single" w:sz="8" w:color="959595"/>
            </w:tcBorders>
          </w:tcPr>
          <w:p>
            <w:pPr>
              <w:spacing w:after="0"/>
              <w:rPr>
                <w:sz w:val="3"/>
                <w:szCs w:val="3"/>
                <w:color w:val="auto"/>
              </w:rPr>
            </w:pPr>
          </w:p>
        </w:tc>
        <w:tc>
          <w:tcPr>
            <w:tcW w:w="116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460" w:type="dxa"/>
            <w:vAlign w:val="bottom"/>
            <w:vMerge w:val="continue"/>
          </w:tcPr>
          <w:p>
            <w:pPr>
              <w:spacing w:after="0"/>
              <w:rPr>
                <w:sz w:val="17"/>
                <w:szCs w:val="17"/>
                <w:color w:val="auto"/>
              </w:rPr>
            </w:pPr>
          </w:p>
        </w:tc>
        <w:tc>
          <w:tcPr>
            <w:tcW w:w="760" w:type="dxa"/>
            <w:vAlign w:val="bottom"/>
          </w:tcPr>
          <w:p>
            <w:pPr>
              <w:jc w:val="right"/>
              <w:ind w:right="33"/>
              <w:spacing w:after="0"/>
              <w:rPr>
                <w:sz w:val="20"/>
                <w:szCs w:val="20"/>
                <w:color w:val="auto"/>
              </w:rPr>
            </w:pPr>
            <w:r>
              <w:rPr>
                <w:rFonts w:ascii="Arial" w:cs="Arial" w:eastAsia="Arial" w:hAnsi="Arial"/>
                <w:sz w:val="13"/>
                <w:szCs w:val="13"/>
                <w:color w:val="auto"/>
              </w:rPr>
              <w:t>8/4/2015</w:t>
            </w:r>
          </w:p>
        </w:tc>
        <w:tc>
          <w:tcPr>
            <w:tcW w:w="960" w:type="dxa"/>
            <w:vAlign w:val="bottom"/>
          </w:tcPr>
          <w:p>
            <w:pPr>
              <w:jc w:val="right"/>
              <w:ind w:right="13"/>
              <w:spacing w:after="0"/>
              <w:rPr>
                <w:sz w:val="20"/>
                <w:szCs w:val="20"/>
                <w:color w:val="auto"/>
              </w:rPr>
            </w:pPr>
            <w:r>
              <w:rPr>
                <w:rFonts w:ascii="Arial" w:cs="Arial" w:eastAsia="Arial" w:hAnsi="Arial"/>
                <w:sz w:val="13"/>
                <w:szCs w:val="13"/>
                <w:color w:val="auto"/>
              </w:rPr>
              <w:t>44,731</w:t>
            </w:r>
          </w:p>
        </w:tc>
        <w:tc>
          <w:tcPr>
            <w:tcW w:w="110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3"/>
              <w:spacing w:after="0"/>
              <w:rPr>
                <w:sz w:val="20"/>
                <w:szCs w:val="20"/>
                <w:color w:val="auto"/>
              </w:rPr>
            </w:pPr>
            <w:r>
              <w:rPr>
                <w:rFonts w:ascii="Arial" w:cs="Arial" w:eastAsia="Arial" w:hAnsi="Arial"/>
                <w:sz w:val="13"/>
                <w:szCs w:val="13"/>
                <w:color w:val="auto"/>
              </w:rPr>
              <w:t>84.39</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8/4/2022</w:t>
            </w:r>
          </w:p>
        </w:tc>
        <w:tc>
          <w:tcPr>
            <w:tcW w:w="88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513"/>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1"/>
        </w:trPr>
        <w:tc>
          <w:tcPr>
            <w:tcW w:w="2460" w:type="dxa"/>
            <w:vAlign w:val="bottom"/>
          </w:tcPr>
          <w:p>
            <w:pPr>
              <w:spacing w:after="0"/>
              <w:rPr>
                <w:sz w:val="3"/>
                <w:szCs w:val="3"/>
                <w:color w:val="auto"/>
              </w:rPr>
            </w:pPr>
          </w:p>
        </w:tc>
        <w:tc>
          <w:tcPr>
            <w:tcW w:w="760" w:type="dxa"/>
            <w:vAlign w:val="bottom"/>
            <w:tcBorders>
              <w:bottom w:val="single" w:sz="8" w:color="959595"/>
            </w:tcBorders>
          </w:tcPr>
          <w:p>
            <w:pPr>
              <w:spacing w:after="0"/>
              <w:rPr>
                <w:sz w:val="3"/>
                <w:szCs w:val="3"/>
                <w:color w:val="auto"/>
              </w:rPr>
            </w:pPr>
          </w:p>
        </w:tc>
        <w:tc>
          <w:tcPr>
            <w:tcW w:w="960" w:type="dxa"/>
            <w:vAlign w:val="bottom"/>
            <w:tcBorders>
              <w:bottom w:val="single" w:sz="8" w:color="959595"/>
            </w:tcBorders>
          </w:tcPr>
          <w:p>
            <w:pPr>
              <w:spacing w:after="0"/>
              <w:rPr>
                <w:sz w:val="3"/>
                <w:szCs w:val="3"/>
                <w:color w:val="auto"/>
              </w:rPr>
            </w:pPr>
          </w:p>
        </w:tc>
        <w:tc>
          <w:tcPr>
            <w:tcW w:w="1100" w:type="dxa"/>
            <w:vAlign w:val="bottom"/>
            <w:tcBorders>
              <w:bottom w:val="single" w:sz="8" w:color="959595"/>
            </w:tcBorders>
          </w:tcPr>
          <w:p>
            <w:pPr>
              <w:spacing w:after="0"/>
              <w:rPr>
                <w:sz w:val="3"/>
                <w:szCs w:val="3"/>
                <w:color w:val="auto"/>
              </w:rPr>
            </w:pPr>
          </w:p>
        </w:tc>
        <w:tc>
          <w:tcPr>
            <w:tcW w:w="720" w:type="dxa"/>
            <w:vAlign w:val="bottom"/>
            <w:tcBorders>
              <w:bottom w:val="single" w:sz="8" w:color="959595"/>
            </w:tcBorders>
          </w:tcPr>
          <w:p>
            <w:pPr>
              <w:spacing w:after="0"/>
              <w:rPr>
                <w:sz w:val="3"/>
                <w:szCs w:val="3"/>
                <w:color w:val="auto"/>
              </w:rPr>
            </w:pPr>
          </w:p>
        </w:tc>
        <w:tc>
          <w:tcPr>
            <w:tcW w:w="820" w:type="dxa"/>
            <w:vAlign w:val="bottom"/>
            <w:tcBorders>
              <w:bottom w:val="single" w:sz="8" w:color="959595"/>
            </w:tcBorders>
          </w:tcPr>
          <w:p>
            <w:pPr>
              <w:spacing w:after="0"/>
              <w:rPr>
                <w:sz w:val="3"/>
                <w:szCs w:val="3"/>
                <w:color w:val="auto"/>
              </w:rPr>
            </w:pPr>
          </w:p>
        </w:tc>
        <w:tc>
          <w:tcPr>
            <w:tcW w:w="880" w:type="dxa"/>
            <w:vAlign w:val="bottom"/>
            <w:tcBorders>
              <w:bottom w:val="single" w:sz="8" w:color="959595"/>
            </w:tcBorders>
          </w:tcPr>
          <w:p>
            <w:pPr>
              <w:spacing w:after="0"/>
              <w:rPr>
                <w:sz w:val="3"/>
                <w:szCs w:val="3"/>
                <w:color w:val="auto"/>
              </w:rPr>
            </w:pPr>
          </w:p>
        </w:tc>
        <w:tc>
          <w:tcPr>
            <w:tcW w:w="1000" w:type="dxa"/>
            <w:vAlign w:val="bottom"/>
            <w:tcBorders>
              <w:bottom w:val="single" w:sz="8" w:color="959595"/>
            </w:tcBorders>
          </w:tcPr>
          <w:p>
            <w:pPr>
              <w:spacing w:after="0"/>
              <w:rPr>
                <w:sz w:val="3"/>
                <w:szCs w:val="3"/>
                <w:color w:val="auto"/>
              </w:rPr>
            </w:pPr>
          </w:p>
        </w:tc>
        <w:tc>
          <w:tcPr>
            <w:tcW w:w="1380" w:type="dxa"/>
            <w:vAlign w:val="bottom"/>
            <w:tcBorders>
              <w:bottom w:val="single" w:sz="8" w:color="959595"/>
            </w:tcBorders>
          </w:tcPr>
          <w:p>
            <w:pPr>
              <w:spacing w:after="0"/>
              <w:rPr>
                <w:sz w:val="3"/>
                <w:szCs w:val="3"/>
                <w:color w:val="auto"/>
              </w:rPr>
            </w:pPr>
          </w:p>
        </w:tc>
        <w:tc>
          <w:tcPr>
            <w:tcW w:w="116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460" w:type="dxa"/>
            <w:vAlign w:val="bottom"/>
          </w:tcPr>
          <w:p>
            <w:pPr>
              <w:spacing w:after="0"/>
              <w:rPr>
                <w:sz w:val="17"/>
                <w:szCs w:val="17"/>
                <w:color w:val="auto"/>
              </w:rPr>
            </w:pPr>
          </w:p>
        </w:tc>
        <w:tc>
          <w:tcPr>
            <w:tcW w:w="760" w:type="dxa"/>
            <w:vAlign w:val="bottom"/>
          </w:tcPr>
          <w:p>
            <w:pPr>
              <w:jc w:val="right"/>
              <w:ind w:right="33"/>
              <w:spacing w:after="0"/>
              <w:rPr>
                <w:sz w:val="20"/>
                <w:szCs w:val="20"/>
                <w:color w:val="auto"/>
              </w:rPr>
            </w:pPr>
            <w:r>
              <w:rPr>
                <w:rFonts w:ascii="Arial" w:cs="Arial" w:eastAsia="Arial" w:hAnsi="Arial"/>
                <w:sz w:val="13"/>
                <w:szCs w:val="13"/>
                <w:color w:val="auto"/>
              </w:rPr>
              <w:t>11/3/2015</w:t>
            </w:r>
          </w:p>
        </w:tc>
        <w:tc>
          <w:tcPr>
            <w:tcW w:w="960" w:type="dxa"/>
            <w:vAlign w:val="bottom"/>
          </w:tcPr>
          <w:p>
            <w:pPr>
              <w:jc w:val="right"/>
              <w:ind w:right="13"/>
              <w:spacing w:after="0"/>
              <w:rPr>
                <w:sz w:val="20"/>
                <w:szCs w:val="20"/>
                <w:color w:val="auto"/>
              </w:rPr>
            </w:pPr>
            <w:r>
              <w:rPr>
                <w:rFonts w:ascii="Arial" w:cs="Arial" w:eastAsia="Arial" w:hAnsi="Arial"/>
                <w:sz w:val="13"/>
                <w:szCs w:val="13"/>
                <w:color w:val="auto"/>
              </w:rPr>
              <w:t>11,210</w:t>
            </w:r>
          </w:p>
        </w:tc>
        <w:tc>
          <w:tcPr>
            <w:tcW w:w="110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3"/>
              <w:spacing w:after="0"/>
              <w:rPr>
                <w:sz w:val="20"/>
                <w:szCs w:val="20"/>
                <w:color w:val="auto"/>
              </w:rPr>
            </w:pPr>
            <w:r>
              <w:rPr>
                <w:rFonts w:ascii="Arial" w:cs="Arial" w:eastAsia="Arial" w:hAnsi="Arial"/>
                <w:sz w:val="13"/>
                <w:szCs w:val="13"/>
                <w:color w:val="auto"/>
              </w:rPr>
              <w:t>68.53</w:t>
            </w: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11/3/2022</w:t>
            </w:r>
          </w:p>
        </w:tc>
        <w:tc>
          <w:tcPr>
            <w:tcW w:w="88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513"/>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1"/>
        </w:trPr>
        <w:tc>
          <w:tcPr>
            <w:tcW w:w="2460" w:type="dxa"/>
            <w:vAlign w:val="bottom"/>
          </w:tcPr>
          <w:p>
            <w:pPr>
              <w:spacing w:after="0"/>
              <w:rPr>
                <w:sz w:val="3"/>
                <w:szCs w:val="3"/>
                <w:color w:val="auto"/>
              </w:rPr>
            </w:pPr>
          </w:p>
        </w:tc>
        <w:tc>
          <w:tcPr>
            <w:tcW w:w="760" w:type="dxa"/>
            <w:vAlign w:val="bottom"/>
            <w:tcBorders>
              <w:bottom w:val="single" w:sz="8" w:color="959595"/>
            </w:tcBorders>
          </w:tcPr>
          <w:p>
            <w:pPr>
              <w:spacing w:after="0"/>
              <w:rPr>
                <w:sz w:val="3"/>
                <w:szCs w:val="3"/>
                <w:color w:val="auto"/>
              </w:rPr>
            </w:pPr>
          </w:p>
        </w:tc>
        <w:tc>
          <w:tcPr>
            <w:tcW w:w="960" w:type="dxa"/>
            <w:vAlign w:val="bottom"/>
            <w:tcBorders>
              <w:bottom w:val="single" w:sz="8" w:color="959595"/>
            </w:tcBorders>
          </w:tcPr>
          <w:p>
            <w:pPr>
              <w:spacing w:after="0"/>
              <w:rPr>
                <w:sz w:val="3"/>
                <w:szCs w:val="3"/>
                <w:color w:val="auto"/>
              </w:rPr>
            </w:pPr>
          </w:p>
        </w:tc>
        <w:tc>
          <w:tcPr>
            <w:tcW w:w="1100" w:type="dxa"/>
            <w:vAlign w:val="bottom"/>
            <w:tcBorders>
              <w:bottom w:val="single" w:sz="8" w:color="959595"/>
            </w:tcBorders>
          </w:tcPr>
          <w:p>
            <w:pPr>
              <w:spacing w:after="0"/>
              <w:rPr>
                <w:sz w:val="3"/>
                <w:szCs w:val="3"/>
                <w:color w:val="auto"/>
              </w:rPr>
            </w:pPr>
          </w:p>
        </w:tc>
        <w:tc>
          <w:tcPr>
            <w:tcW w:w="720" w:type="dxa"/>
            <w:vAlign w:val="bottom"/>
            <w:tcBorders>
              <w:bottom w:val="single" w:sz="8" w:color="959595"/>
            </w:tcBorders>
          </w:tcPr>
          <w:p>
            <w:pPr>
              <w:spacing w:after="0"/>
              <w:rPr>
                <w:sz w:val="3"/>
                <w:szCs w:val="3"/>
                <w:color w:val="auto"/>
              </w:rPr>
            </w:pPr>
          </w:p>
        </w:tc>
        <w:tc>
          <w:tcPr>
            <w:tcW w:w="820" w:type="dxa"/>
            <w:vAlign w:val="bottom"/>
            <w:tcBorders>
              <w:bottom w:val="single" w:sz="8" w:color="959595"/>
            </w:tcBorders>
          </w:tcPr>
          <w:p>
            <w:pPr>
              <w:spacing w:after="0"/>
              <w:rPr>
                <w:sz w:val="3"/>
                <w:szCs w:val="3"/>
                <w:color w:val="auto"/>
              </w:rPr>
            </w:pPr>
          </w:p>
        </w:tc>
        <w:tc>
          <w:tcPr>
            <w:tcW w:w="880" w:type="dxa"/>
            <w:vAlign w:val="bottom"/>
            <w:tcBorders>
              <w:bottom w:val="single" w:sz="8" w:color="959595"/>
            </w:tcBorders>
          </w:tcPr>
          <w:p>
            <w:pPr>
              <w:spacing w:after="0"/>
              <w:rPr>
                <w:sz w:val="3"/>
                <w:szCs w:val="3"/>
                <w:color w:val="auto"/>
              </w:rPr>
            </w:pPr>
          </w:p>
        </w:tc>
        <w:tc>
          <w:tcPr>
            <w:tcW w:w="1000" w:type="dxa"/>
            <w:vAlign w:val="bottom"/>
            <w:tcBorders>
              <w:bottom w:val="single" w:sz="8" w:color="959595"/>
            </w:tcBorders>
          </w:tcPr>
          <w:p>
            <w:pPr>
              <w:spacing w:after="0"/>
              <w:rPr>
                <w:sz w:val="3"/>
                <w:szCs w:val="3"/>
                <w:color w:val="auto"/>
              </w:rPr>
            </w:pPr>
          </w:p>
        </w:tc>
        <w:tc>
          <w:tcPr>
            <w:tcW w:w="1380" w:type="dxa"/>
            <w:vAlign w:val="bottom"/>
            <w:tcBorders>
              <w:bottom w:val="single" w:sz="8" w:color="959595"/>
            </w:tcBorders>
          </w:tcPr>
          <w:p>
            <w:pPr>
              <w:spacing w:after="0"/>
              <w:rPr>
                <w:sz w:val="3"/>
                <w:szCs w:val="3"/>
                <w:color w:val="auto"/>
              </w:rPr>
            </w:pPr>
          </w:p>
        </w:tc>
        <w:tc>
          <w:tcPr>
            <w:tcW w:w="116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460" w:type="dxa"/>
            <w:vAlign w:val="bottom"/>
          </w:tcPr>
          <w:p>
            <w:pPr>
              <w:spacing w:after="0"/>
              <w:rPr>
                <w:sz w:val="22"/>
                <w:szCs w:val="22"/>
                <w:color w:val="auto"/>
              </w:rPr>
            </w:pPr>
          </w:p>
        </w:tc>
        <w:tc>
          <w:tcPr>
            <w:tcW w:w="76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8/3/2016</w:t>
            </w:r>
          </w:p>
        </w:tc>
        <w:tc>
          <w:tcPr>
            <w:tcW w:w="9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133,999</w:t>
            </w:r>
          </w:p>
        </w:tc>
        <w:tc>
          <w:tcPr>
            <w:tcW w:w="1100" w:type="dxa"/>
            <w:vAlign w:val="bottom"/>
            <w:tcBorders>
              <w:bottom w:val="single" w:sz="8" w:color="959595"/>
            </w:tcBorders>
          </w:tcPr>
          <w:p>
            <w:pPr>
              <w:jc w:val="right"/>
              <w:ind w:right="53"/>
              <w:spacing w:after="0"/>
              <w:rPr>
                <w:sz w:val="20"/>
                <w:szCs w:val="20"/>
                <w:color w:val="auto"/>
              </w:rPr>
            </w:pPr>
            <w:r>
              <w:rPr>
                <w:rFonts w:ascii="Arial" w:cs="Arial" w:eastAsia="Arial" w:hAnsi="Arial"/>
                <w:sz w:val="13"/>
                <w:szCs w:val="13"/>
                <w:color w:val="auto"/>
              </w:rPr>
              <w:t>8,933</w:t>
            </w:r>
            <w:r>
              <w:rPr>
                <w:rFonts w:ascii="Arial" w:cs="Arial" w:eastAsia="Arial" w:hAnsi="Arial"/>
                <w:sz w:val="22"/>
                <w:szCs w:val="22"/>
                <w:color w:val="auto"/>
                <w:vertAlign w:val="superscript"/>
              </w:rPr>
              <w:t>(8)</w:t>
            </w:r>
          </w:p>
        </w:tc>
        <w:tc>
          <w:tcPr>
            <w:tcW w:w="72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44.78</w:t>
            </w:r>
          </w:p>
        </w:tc>
        <w:tc>
          <w:tcPr>
            <w:tcW w:w="82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8/3/2023</w:t>
            </w:r>
          </w:p>
        </w:tc>
        <w:tc>
          <w:tcPr>
            <w:tcW w:w="880" w:type="dxa"/>
            <w:vAlign w:val="bottom"/>
            <w:tcBorders>
              <w:bottom w:val="single" w:sz="8" w:color="959595"/>
            </w:tcBorders>
          </w:tcPr>
          <w:p>
            <w:pPr>
              <w:jc w:val="right"/>
              <w:ind w:right="93"/>
              <w:spacing w:after="0"/>
              <w:rPr>
                <w:sz w:val="20"/>
                <w:szCs w:val="20"/>
                <w:color w:val="auto"/>
              </w:rPr>
            </w:pPr>
            <w:r>
              <w:rPr>
                <w:rFonts w:ascii="Arial" w:cs="Arial" w:eastAsia="Arial" w:hAnsi="Arial"/>
                <w:sz w:val="13"/>
                <w:szCs w:val="13"/>
                <w:color w:val="auto"/>
              </w:rPr>
              <w:t>8,754</w:t>
            </w:r>
            <w:r>
              <w:rPr>
                <w:rFonts w:ascii="Arial" w:cs="Arial" w:eastAsia="Arial" w:hAnsi="Arial"/>
                <w:sz w:val="22"/>
                <w:szCs w:val="22"/>
                <w:color w:val="auto"/>
                <w:vertAlign w:val="superscript"/>
              </w:rPr>
              <w:t>(5)</w:t>
            </w:r>
          </w:p>
        </w:tc>
        <w:tc>
          <w:tcPr>
            <w:tcW w:w="100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371,520</w:t>
            </w:r>
          </w:p>
        </w:tc>
        <w:tc>
          <w:tcPr>
            <w:tcW w:w="1380" w:type="dxa"/>
            <w:vAlign w:val="bottom"/>
            <w:tcBorders>
              <w:bottom w:val="single" w:sz="8" w:color="959595"/>
            </w:tcBorders>
          </w:tcPr>
          <w:p>
            <w:pPr>
              <w:jc w:val="right"/>
              <w:ind w:right="513"/>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3"/>
        </w:trPr>
        <w:tc>
          <w:tcPr>
            <w:tcW w:w="2460" w:type="dxa"/>
            <w:vAlign w:val="bottom"/>
          </w:tcPr>
          <w:p>
            <w:pPr>
              <w:spacing w:after="0"/>
              <w:rPr>
                <w:sz w:val="22"/>
                <w:szCs w:val="22"/>
                <w:color w:val="auto"/>
              </w:rPr>
            </w:pPr>
          </w:p>
        </w:tc>
        <w:tc>
          <w:tcPr>
            <w:tcW w:w="76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8/2/2017</w:t>
            </w:r>
          </w:p>
        </w:tc>
        <w:tc>
          <w:tcPr>
            <w:tcW w:w="9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959595"/>
            </w:tcBorders>
          </w:tcPr>
          <w:p>
            <w:pPr>
              <w:jc w:val="right"/>
              <w:ind w:right="173"/>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959595"/>
            </w:tcBorders>
          </w:tcPr>
          <w:p>
            <w:pPr>
              <w:jc w:val="right"/>
              <w:ind w:right="93"/>
              <w:spacing w:after="0"/>
              <w:rPr>
                <w:sz w:val="20"/>
                <w:szCs w:val="20"/>
                <w:color w:val="auto"/>
              </w:rPr>
            </w:pPr>
            <w:r>
              <w:rPr>
                <w:rFonts w:ascii="Arial" w:cs="Arial" w:eastAsia="Arial" w:hAnsi="Arial"/>
                <w:sz w:val="13"/>
                <w:szCs w:val="13"/>
                <w:color w:val="auto"/>
              </w:rPr>
              <w:t>17,275</w:t>
            </w:r>
            <w:r>
              <w:rPr>
                <w:rFonts w:ascii="Arial" w:cs="Arial" w:eastAsia="Arial" w:hAnsi="Arial"/>
                <w:sz w:val="22"/>
                <w:szCs w:val="22"/>
                <w:color w:val="auto"/>
                <w:vertAlign w:val="superscript"/>
              </w:rPr>
              <w:t>(5)</w:t>
            </w:r>
          </w:p>
        </w:tc>
        <w:tc>
          <w:tcPr>
            <w:tcW w:w="100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733,151</w:t>
            </w:r>
          </w:p>
        </w:tc>
        <w:tc>
          <w:tcPr>
            <w:tcW w:w="1380" w:type="dxa"/>
            <w:vAlign w:val="bottom"/>
            <w:tcBorders>
              <w:bottom w:val="single" w:sz="8" w:color="959595"/>
            </w:tcBorders>
          </w:tcPr>
          <w:p>
            <w:pPr>
              <w:jc w:val="right"/>
              <w:ind w:right="513"/>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4"/>
        </w:trPr>
        <w:tc>
          <w:tcPr>
            <w:tcW w:w="2460" w:type="dxa"/>
            <w:vAlign w:val="bottom"/>
          </w:tcPr>
          <w:p>
            <w:pPr>
              <w:spacing w:after="0"/>
              <w:rPr>
                <w:sz w:val="22"/>
                <w:szCs w:val="22"/>
                <w:color w:val="auto"/>
              </w:rPr>
            </w:pPr>
          </w:p>
        </w:tc>
        <w:tc>
          <w:tcPr>
            <w:tcW w:w="760" w:type="dxa"/>
            <w:vAlign w:val="bottom"/>
            <w:vMerge w:val="restart"/>
          </w:tcPr>
          <w:p>
            <w:pPr>
              <w:jc w:val="right"/>
              <w:ind w:right="33"/>
              <w:spacing w:after="0"/>
              <w:rPr>
                <w:sz w:val="20"/>
                <w:szCs w:val="20"/>
                <w:color w:val="auto"/>
              </w:rPr>
            </w:pPr>
            <w:r>
              <w:rPr>
                <w:rFonts w:ascii="Arial" w:cs="Arial" w:eastAsia="Arial" w:hAnsi="Arial"/>
                <w:sz w:val="13"/>
                <w:szCs w:val="13"/>
                <w:color w:val="auto"/>
              </w:rPr>
              <w:t>8/30/2018</w:t>
            </w:r>
          </w:p>
        </w:tc>
        <w:tc>
          <w:tcPr>
            <w:tcW w:w="96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1100" w:type="dxa"/>
            <w:vAlign w:val="bottom"/>
            <w:vMerge w:val="restart"/>
          </w:tcPr>
          <w:p>
            <w:pPr>
              <w:jc w:val="right"/>
              <w:ind w:right="173"/>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ind w:right="33"/>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959595"/>
            </w:tcBorders>
          </w:tcPr>
          <w:p>
            <w:pPr>
              <w:jc w:val="right"/>
              <w:ind w:right="93"/>
              <w:spacing w:after="0"/>
              <w:rPr>
                <w:sz w:val="20"/>
                <w:szCs w:val="20"/>
                <w:color w:val="auto"/>
              </w:rPr>
            </w:pPr>
            <w:r>
              <w:rPr>
                <w:rFonts w:ascii="Arial" w:cs="Arial" w:eastAsia="Arial" w:hAnsi="Arial"/>
                <w:sz w:val="13"/>
                <w:szCs w:val="13"/>
                <w:color w:val="auto"/>
              </w:rPr>
              <w:t>30,456</w:t>
            </w:r>
            <w:r>
              <w:rPr>
                <w:rFonts w:ascii="Arial" w:cs="Arial" w:eastAsia="Arial" w:hAnsi="Arial"/>
                <w:sz w:val="22"/>
                <w:szCs w:val="22"/>
                <w:color w:val="auto"/>
                <w:vertAlign w:val="superscript"/>
              </w:rPr>
              <w:t>(5)</w:t>
            </w:r>
          </w:p>
        </w:tc>
        <w:tc>
          <w:tcPr>
            <w:tcW w:w="100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1,292,553</w:t>
            </w:r>
          </w:p>
        </w:tc>
        <w:tc>
          <w:tcPr>
            <w:tcW w:w="1380" w:type="dxa"/>
            <w:vAlign w:val="bottom"/>
            <w:tcBorders>
              <w:bottom w:val="single" w:sz="8" w:color="959595"/>
            </w:tcBorders>
          </w:tcPr>
          <w:p>
            <w:pPr>
              <w:jc w:val="right"/>
              <w:ind w:right="313"/>
              <w:spacing w:after="0"/>
              <w:rPr>
                <w:sz w:val="20"/>
                <w:szCs w:val="20"/>
                <w:color w:val="auto"/>
              </w:rPr>
            </w:pPr>
            <w:r>
              <w:rPr>
                <w:rFonts w:ascii="Arial" w:cs="Arial" w:eastAsia="Arial" w:hAnsi="Arial"/>
                <w:sz w:val="13"/>
                <w:szCs w:val="13"/>
                <w:color w:val="auto"/>
              </w:rPr>
              <w:t>5,076</w:t>
            </w:r>
            <w:r>
              <w:rPr>
                <w:rFonts w:ascii="Arial" w:cs="Arial" w:eastAsia="Arial" w:hAnsi="Arial"/>
                <w:sz w:val="22"/>
                <w:szCs w:val="22"/>
                <w:color w:val="auto"/>
                <w:vertAlign w:val="superscript"/>
              </w:rPr>
              <w:t>(10)</w:t>
            </w:r>
          </w:p>
        </w:tc>
        <w:tc>
          <w:tcPr>
            <w:tcW w:w="11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215,425</w:t>
            </w:r>
          </w:p>
        </w:tc>
        <w:tc>
          <w:tcPr>
            <w:tcW w:w="0" w:type="dxa"/>
            <w:vAlign w:val="bottom"/>
          </w:tcPr>
          <w:p>
            <w:pPr>
              <w:spacing w:after="0"/>
              <w:rPr>
                <w:sz w:val="1"/>
                <w:szCs w:val="1"/>
                <w:color w:val="auto"/>
              </w:rPr>
            </w:pPr>
          </w:p>
        </w:tc>
      </w:tr>
      <w:tr>
        <w:trPr>
          <w:trHeight w:val="60"/>
        </w:trPr>
        <w:tc>
          <w:tcPr>
            <w:tcW w:w="24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880" w:type="dxa"/>
            <w:vAlign w:val="bottom"/>
            <w:vMerge w:val="restart"/>
          </w:tcPr>
          <w:p>
            <w:pPr>
              <w:jc w:val="right"/>
              <w:ind w:right="33"/>
              <w:spacing w:after="0"/>
              <w:rPr>
                <w:sz w:val="20"/>
                <w:szCs w:val="20"/>
                <w:color w:val="auto"/>
              </w:rPr>
            </w:pPr>
            <w:r>
              <w:rPr>
                <w:rFonts w:ascii="Arial" w:cs="Arial" w:eastAsia="Arial" w:hAnsi="Arial"/>
                <w:sz w:val="13"/>
                <w:szCs w:val="13"/>
                <w:color w:val="auto"/>
              </w:rPr>
              <w:t>4,668</w:t>
            </w:r>
            <w:r>
              <w:rPr>
                <w:rFonts w:ascii="Arial" w:cs="Arial" w:eastAsia="Arial" w:hAnsi="Arial"/>
                <w:sz w:val="22"/>
                <w:szCs w:val="22"/>
                <w:color w:val="auto"/>
                <w:vertAlign w:val="superscript"/>
              </w:rPr>
              <w:t>(11)</w:t>
            </w:r>
          </w:p>
        </w:tc>
        <w:tc>
          <w:tcPr>
            <w:tcW w:w="1000" w:type="dxa"/>
            <w:vAlign w:val="bottom"/>
            <w:vMerge w:val="restart"/>
          </w:tcPr>
          <w:p>
            <w:pPr>
              <w:jc w:val="right"/>
              <w:ind w:right="33"/>
              <w:spacing w:after="0"/>
              <w:rPr>
                <w:sz w:val="20"/>
                <w:szCs w:val="20"/>
                <w:color w:val="auto"/>
              </w:rPr>
            </w:pPr>
            <w:r>
              <w:rPr>
                <w:rFonts w:ascii="Arial" w:cs="Arial" w:eastAsia="Arial" w:hAnsi="Arial"/>
                <w:sz w:val="13"/>
                <w:szCs w:val="13"/>
                <w:color w:val="auto"/>
              </w:rPr>
              <w:t>198,110</w:t>
            </w:r>
          </w:p>
        </w:tc>
        <w:tc>
          <w:tcPr>
            <w:tcW w:w="1380" w:type="dxa"/>
            <w:vAlign w:val="bottom"/>
            <w:vMerge w:val="restart"/>
          </w:tcPr>
          <w:p>
            <w:pPr>
              <w:jc w:val="right"/>
              <w:ind w:right="313"/>
              <w:spacing w:after="0"/>
              <w:rPr>
                <w:sz w:val="20"/>
                <w:szCs w:val="20"/>
                <w:color w:val="auto"/>
              </w:rPr>
            </w:pPr>
            <w:r>
              <w:rPr>
                <w:rFonts w:ascii="Arial" w:cs="Arial" w:eastAsia="Arial" w:hAnsi="Arial"/>
                <w:sz w:val="13"/>
                <w:szCs w:val="13"/>
                <w:color w:val="auto"/>
              </w:rPr>
              <w:t>15,229</w:t>
            </w:r>
            <w:r>
              <w:rPr>
                <w:rFonts w:ascii="Arial" w:cs="Arial" w:eastAsia="Arial" w:hAnsi="Arial"/>
                <w:sz w:val="22"/>
                <w:szCs w:val="22"/>
                <w:color w:val="auto"/>
                <w:vertAlign w:val="superscript"/>
              </w:rPr>
              <w:t>(12)</w:t>
            </w:r>
          </w:p>
        </w:tc>
        <w:tc>
          <w:tcPr>
            <w:tcW w:w="1160" w:type="dxa"/>
            <w:vAlign w:val="bottom"/>
            <w:vMerge w:val="restart"/>
          </w:tcPr>
          <w:p>
            <w:pPr>
              <w:jc w:val="right"/>
              <w:ind w:right="13"/>
              <w:spacing w:after="0"/>
              <w:rPr>
                <w:sz w:val="20"/>
                <w:szCs w:val="20"/>
                <w:color w:val="auto"/>
              </w:rPr>
            </w:pPr>
            <w:r>
              <w:rPr>
                <w:rFonts w:ascii="Arial" w:cs="Arial" w:eastAsia="Arial" w:hAnsi="Arial"/>
                <w:sz w:val="13"/>
                <w:szCs w:val="13"/>
                <w:color w:val="auto"/>
              </w:rPr>
              <w:t>646,319</w:t>
            </w:r>
          </w:p>
        </w:tc>
        <w:tc>
          <w:tcPr>
            <w:tcW w:w="0" w:type="dxa"/>
            <w:vAlign w:val="bottom"/>
          </w:tcPr>
          <w:p>
            <w:pPr>
              <w:spacing w:after="0"/>
              <w:rPr>
                <w:sz w:val="1"/>
                <w:szCs w:val="1"/>
                <w:color w:val="auto"/>
              </w:rPr>
            </w:pPr>
          </w:p>
        </w:tc>
      </w:tr>
      <w:tr>
        <w:trPr>
          <w:trHeight w:val="203"/>
        </w:trPr>
        <w:tc>
          <w:tcPr>
            <w:tcW w:w="2460" w:type="dxa"/>
            <w:vAlign w:val="bottom"/>
          </w:tcPr>
          <w:p>
            <w:pPr>
              <w:spacing w:after="0"/>
              <w:rPr>
                <w:sz w:val="17"/>
                <w:szCs w:val="17"/>
                <w:color w:val="auto"/>
              </w:rPr>
            </w:pPr>
          </w:p>
        </w:tc>
        <w:tc>
          <w:tcPr>
            <w:tcW w:w="760" w:type="dxa"/>
            <w:vAlign w:val="bottom"/>
            <w:tcBorders>
              <w:bottom w:val="single" w:sz="8" w:color="959595"/>
            </w:tcBorders>
          </w:tcPr>
          <w:p>
            <w:pPr>
              <w:spacing w:after="0"/>
              <w:rPr>
                <w:sz w:val="17"/>
                <w:szCs w:val="17"/>
                <w:color w:val="auto"/>
              </w:rPr>
            </w:pPr>
          </w:p>
        </w:tc>
        <w:tc>
          <w:tcPr>
            <w:tcW w:w="960" w:type="dxa"/>
            <w:vAlign w:val="bottom"/>
            <w:tcBorders>
              <w:bottom w:val="single" w:sz="8" w:color="959595"/>
            </w:tcBorders>
          </w:tcPr>
          <w:p>
            <w:pPr>
              <w:spacing w:after="0"/>
              <w:rPr>
                <w:sz w:val="17"/>
                <w:szCs w:val="17"/>
                <w:color w:val="auto"/>
              </w:rPr>
            </w:pPr>
          </w:p>
        </w:tc>
        <w:tc>
          <w:tcPr>
            <w:tcW w:w="1100" w:type="dxa"/>
            <w:vAlign w:val="bottom"/>
            <w:tcBorders>
              <w:bottom w:val="single" w:sz="8" w:color="959595"/>
            </w:tcBorders>
          </w:tcPr>
          <w:p>
            <w:pPr>
              <w:spacing w:after="0"/>
              <w:rPr>
                <w:sz w:val="17"/>
                <w:szCs w:val="17"/>
                <w:color w:val="auto"/>
              </w:rPr>
            </w:pPr>
          </w:p>
        </w:tc>
        <w:tc>
          <w:tcPr>
            <w:tcW w:w="720" w:type="dxa"/>
            <w:vAlign w:val="bottom"/>
            <w:tcBorders>
              <w:bottom w:val="single" w:sz="8" w:color="959595"/>
            </w:tcBorders>
          </w:tcPr>
          <w:p>
            <w:pPr>
              <w:spacing w:after="0"/>
              <w:rPr>
                <w:sz w:val="17"/>
                <w:szCs w:val="17"/>
                <w:color w:val="auto"/>
              </w:rPr>
            </w:pPr>
          </w:p>
        </w:tc>
        <w:tc>
          <w:tcPr>
            <w:tcW w:w="820" w:type="dxa"/>
            <w:vAlign w:val="bottom"/>
            <w:tcBorders>
              <w:bottom w:val="single" w:sz="8" w:color="959595"/>
            </w:tcBorders>
          </w:tcPr>
          <w:p>
            <w:pPr>
              <w:spacing w:after="0"/>
              <w:rPr>
                <w:sz w:val="17"/>
                <w:szCs w:val="17"/>
                <w:color w:val="auto"/>
              </w:rPr>
            </w:pPr>
          </w:p>
        </w:tc>
        <w:tc>
          <w:tcPr>
            <w:tcW w:w="880" w:type="dxa"/>
            <w:vAlign w:val="bottom"/>
            <w:tcBorders>
              <w:bottom w:val="single" w:sz="8" w:color="959595"/>
            </w:tcBorders>
            <w:vMerge w:val="continue"/>
          </w:tcPr>
          <w:p>
            <w:pPr>
              <w:spacing w:after="0"/>
              <w:rPr>
                <w:sz w:val="17"/>
                <w:szCs w:val="17"/>
                <w:color w:val="auto"/>
              </w:rPr>
            </w:pPr>
          </w:p>
        </w:tc>
        <w:tc>
          <w:tcPr>
            <w:tcW w:w="1000" w:type="dxa"/>
            <w:vAlign w:val="bottom"/>
            <w:tcBorders>
              <w:bottom w:val="single" w:sz="8" w:color="959595"/>
            </w:tcBorders>
            <w:vMerge w:val="continue"/>
          </w:tcPr>
          <w:p>
            <w:pPr>
              <w:spacing w:after="0"/>
              <w:rPr>
                <w:sz w:val="17"/>
                <w:szCs w:val="17"/>
                <w:color w:val="auto"/>
              </w:rPr>
            </w:pPr>
          </w:p>
        </w:tc>
        <w:tc>
          <w:tcPr>
            <w:tcW w:w="1380" w:type="dxa"/>
            <w:vAlign w:val="bottom"/>
            <w:tcBorders>
              <w:bottom w:val="single" w:sz="8" w:color="959595"/>
            </w:tcBorders>
            <w:vMerge w:val="continue"/>
          </w:tcPr>
          <w:p>
            <w:pPr>
              <w:spacing w:after="0"/>
              <w:rPr>
                <w:sz w:val="17"/>
                <w:szCs w:val="17"/>
                <w:color w:val="auto"/>
              </w:rPr>
            </w:pPr>
          </w:p>
        </w:tc>
        <w:tc>
          <w:tcPr>
            <w:tcW w:w="1160" w:type="dxa"/>
            <w:vAlign w:val="bottom"/>
            <w:tcBorders>
              <w:bottom w:val="single" w:sz="8" w:color="959595"/>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460" w:type="dxa"/>
            <w:vAlign w:val="bottom"/>
          </w:tcPr>
          <w:p>
            <w:pPr>
              <w:spacing w:after="0"/>
              <w:rPr>
                <w:sz w:val="22"/>
                <w:szCs w:val="22"/>
                <w:color w:val="auto"/>
              </w:rPr>
            </w:pPr>
          </w:p>
        </w:tc>
        <w:tc>
          <w:tcPr>
            <w:tcW w:w="760" w:type="dxa"/>
            <w:vAlign w:val="bottom"/>
            <w:vMerge w:val="restart"/>
          </w:tcPr>
          <w:p>
            <w:pPr>
              <w:jc w:val="right"/>
              <w:ind w:right="33"/>
              <w:spacing w:after="0"/>
              <w:rPr>
                <w:sz w:val="20"/>
                <w:szCs w:val="20"/>
                <w:color w:val="auto"/>
              </w:rPr>
            </w:pPr>
            <w:r>
              <w:rPr>
                <w:rFonts w:ascii="Arial" w:cs="Arial" w:eastAsia="Arial" w:hAnsi="Arial"/>
                <w:sz w:val="13"/>
                <w:szCs w:val="13"/>
                <w:color w:val="auto"/>
              </w:rPr>
              <w:t>9/4/2019</w:t>
            </w:r>
          </w:p>
        </w:tc>
        <w:tc>
          <w:tcPr>
            <w:tcW w:w="960" w:type="dxa"/>
            <w:vAlign w:val="bottom"/>
            <w:vMerge w:val="restart"/>
          </w:tcPr>
          <w:p>
            <w:pPr>
              <w:jc w:val="right"/>
              <w:ind w:right="13"/>
              <w:spacing w:after="0"/>
              <w:rPr>
                <w:sz w:val="20"/>
                <w:szCs w:val="20"/>
                <w:color w:val="auto"/>
              </w:rPr>
            </w:pPr>
            <w:r>
              <w:rPr>
                <w:rFonts w:ascii="Arial" w:cs="Arial" w:eastAsia="Arial" w:hAnsi="Arial"/>
                <w:sz w:val="13"/>
                <w:szCs w:val="13"/>
                <w:color w:val="auto"/>
              </w:rPr>
              <w:t>—</w:t>
            </w:r>
          </w:p>
        </w:tc>
        <w:tc>
          <w:tcPr>
            <w:tcW w:w="1100" w:type="dxa"/>
            <w:vAlign w:val="bottom"/>
            <w:vMerge w:val="restart"/>
          </w:tcPr>
          <w:p>
            <w:pPr>
              <w:jc w:val="right"/>
              <w:ind w:right="173"/>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ind w:right="33"/>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ind w:right="93"/>
              <w:spacing w:after="0"/>
              <w:rPr>
                <w:sz w:val="20"/>
                <w:szCs w:val="20"/>
                <w:color w:val="auto"/>
              </w:rPr>
            </w:pPr>
            <w:r>
              <w:rPr>
                <w:rFonts w:ascii="Arial" w:cs="Arial" w:eastAsia="Arial" w:hAnsi="Arial"/>
                <w:sz w:val="13"/>
                <w:szCs w:val="13"/>
                <w:color w:val="auto"/>
              </w:rPr>
              <w:t>41,577</w:t>
            </w:r>
            <w:r>
              <w:rPr>
                <w:rFonts w:ascii="Arial" w:cs="Arial" w:eastAsia="Arial" w:hAnsi="Arial"/>
                <w:sz w:val="11"/>
                <w:szCs w:val="11"/>
                <w:color w:val="auto"/>
              </w:rPr>
              <w:t>(5)</w:t>
            </w:r>
          </w:p>
        </w:tc>
        <w:tc>
          <w:tcPr>
            <w:tcW w:w="1000" w:type="dxa"/>
            <w:vAlign w:val="bottom"/>
            <w:vMerge w:val="restart"/>
          </w:tcPr>
          <w:p>
            <w:pPr>
              <w:jc w:val="right"/>
              <w:ind w:right="33"/>
              <w:spacing w:after="0"/>
              <w:rPr>
                <w:sz w:val="20"/>
                <w:szCs w:val="20"/>
                <w:color w:val="auto"/>
              </w:rPr>
            </w:pPr>
            <w:r>
              <w:rPr>
                <w:rFonts w:ascii="Arial" w:cs="Arial" w:eastAsia="Arial" w:hAnsi="Arial"/>
                <w:sz w:val="13"/>
                <w:szCs w:val="13"/>
                <w:color w:val="auto"/>
              </w:rPr>
              <w:t>1,764,528</w:t>
            </w:r>
          </w:p>
        </w:tc>
        <w:tc>
          <w:tcPr>
            <w:tcW w:w="1380" w:type="dxa"/>
            <w:vAlign w:val="bottom"/>
            <w:tcBorders>
              <w:bottom w:val="single" w:sz="8" w:color="959595"/>
            </w:tcBorders>
          </w:tcPr>
          <w:p>
            <w:pPr>
              <w:jc w:val="right"/>
              <w:ind w:right="373"/>
              <w:spacing w:after="0"/>
              <w:rPr>
                <w:sz w:val="20"/>
                <w:szCs w:val="20"/>
                <w:color w:val="auto"/>
              </w:rPr>
            </w:pPr>
            <w:r>
              <w:rPr>
                <w:rFonts w:ascii="Arial" w:cs="Arial" w:eastAsia="Arial" w:hAnsi="Arial"/>
                <w:sz w:val="13"/>
                <w:szCs w:val="13"/>
                <w:color w:val="auto"/>
              </w:rPr>
              <w:t>20,788</w:t>
            </w:r>
            <w:r>
              <w:rPr>
                <w:rFonts w:ascii="Arial" w:cs="Arial" w:eastAsia="Arial" w:hAnsi="Arial"/>
                <w:sz w:val="22"/>
                <w:szCs w:val="22"/>
                <w:color w:val="auto"/>
                <w:vertAlign w:val="superscript"/>
              </w:rPr>
              <w:t>(6)</w:t>
            </w:r>
          </w:p>
        </w:tc>
        <w:tc>
          <w:tcPr>
            <w:tcW w:w="11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882,243</w:t>
            </w:r>
          </w:p>
        </w:tc>
        <w:tc>
          <w:tcPr>
            <w:tcW w:w="0" w:type="dxa"/>
            <w:vAlign w:val="bottom"/>
          </w:tcPr>
          <w:p>
            <w:pPr>
              <w:spacing w:after="0"/>
              <w:rPr>
                <w:sz w:val="1"/>
                <w:szCs w:val="1"/>
                <w:color w:val="auto"/>
              </w:rPr>
            </w:pPr>
          </w:p>
        </w:tc>
      </w:tr>
      <w:tr>
        <w:trPr>
          <w:trHeight w:val="61"/>
        </w:trPr>
        <w:tc>
          <w:tcPr>
            <w:tcW w:w="24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380" w:type="dxa"/>
            <w:vAlign w:val="bottom"/>
            <w:vMerge w:val="restart"/>
          </w:tcPr>
          <w:p>
            <w:pPr>
              <w:jc w:val="right"/>
              <w:ind w:right="373"/>
              <w:spacing w:after="0"/>
              <w:rPr>
                <w:sz w:val="20"/>
                <w:szCs w:val="20"/>
                <w:color w:val="auto"/>
              </w:rPr>
            </w:pPr>
            <w:r>
              <w:rPr>
                <w:rFonts w:ascii="Arial" w:cs="Arial" w:eastAsia="Arial" w:hAnsi="Arial"/>
                <w:sz w:val="13"/>
                <w:szCs w:val="13"/>
                <w:color w:val="auto"/>
              </w:rPr>
              <w:t>20,788</w:t>
            </w:r>
            <w:r>
              <w:rPr>
                <w:rFonts w:ascii="Arial" w:cs="Arial" w:eastAsia="Arial" w:hAnsi="Arial"/>
                <w:sz w:val="22"/>
                <w:szCs w:val="22"/>
                <w:color w:val="auto"/>
                <w:vertAlign w:val="superscript"/>
              </w:rPr>
              <w:t>(7)</w:t>
            </w:r>
          </w:p>
        </w:tc>
        <w:tc>
          <w:tcPr>
            <w:tcW w:w="1160" w:type="dxa"/>
            <w:vAlign w:val="bottom"/>
            <w:vMerge w:val="restart"/>
          </w:tcPr>
          <w:p>
            <w:pPr>
              <w:jc w:val="right"/>
              <w:ind w:right="13"/>
              <w:spacing w:after="0"/>
              <w:rPr>
                <w:sz w:val="20"/>
                <w:szCs w:val="20"/>
                <w:color w:val="auto"/>
              </w:rPr>
            </w:pPr>
            <w:r>
              <w:rPr>
                <w:rFonts w:ascii="Arial" w:cs="Arial" w:eastAsia="Arial" w:hAnsi="Arial"/>
                <w:sz w:val="13"/>
                <w:szCs w:val="13"/>
                <w:color w:val="auto"/>
              </w:rPr>
              <w:t>882,243</w:t>
            </w:r>
          </w:p>
        </w:tc>
        <w:tc>
          <w:tcPr>
            <w:tcW w:w="0" w:type="dxa"/>
            <w:vAlign w:val="bottom"/>
          </w:tcPr>
          <w:p>
            <w:pPr>
              <w:spacing w:after="0"/>
              <w:rPr>
                <w:sz w:val="1"/>
                <w:szCs w:val="1"/>
                <w:color w:val="auto"/>
              </w:rPr>
            </w:pPr>
          </w:p>
        </w:tc>
      </w:tr>
      <w:tr>
        <w:trPr>
          <w:trHeight w:val="203"/>
        </w:trPr>
        <w:tc>
          <w:tcPr>
            <w:tcW w:w="2460" w:type="dxa"/>
            <w:vAlign w:val="bottom"/>
            <w:tcBorders>
              <w:bottom w:val="single" w:sz="8" w:color="959595"/>
            </w:tcBorders>
          </w:tcPr>
          <w:p>
            <w:pPr>
              <w:spacing w:after="0"/>
              <w:rPr>
                <w:sz w:val="17"/>
                <w:szCs w:val="17"/>
                <w:color w:val="auto"/>
              </w:rPr>
            </w:pPr>
          </w:p>
        </w:tc>
        <w:tc>
          <w:tcPr>
            <w:tcW w:w="760" w:type="dxa"/>
            <w:vAlign w:val="bottom"/>
            <w:tcBorders>
              <w:bottom w:val="single" w:sz="8" w:color="959595"/>
            </w:tcBorders>
          </w:tcPr>
          <w:p>
            <w:pPr>
              <w:spacing w:after="0"/>
              <w:rPr>
                <w:sz w:val="17"/>
                <w:szCs w:val="17"/>
                <w:color w:val="auto"/>
              </w:rPr>
            </w:pPr>
          </w:p>
        </w:tc>
        <w:tc>
          <w:tcPr>
            <w:tcW w:w="960" w:type="dxa"/>
            <w:vAlign w:val="bottom"/>
            <w:tcBorders>
              <w:bottom w:val="single" w:sz="8" w:color="959595"/>
            </w:tcBorders>
          </w:tcPr>
          <w:p>
            <w:pPr>
              <w:spacing w:after="0"/>
              <w:rPr>
                <w:sz w:val="17"/>
                <w:szCs w:val="17"/>
                <w:color w:val="auto"/>
              </w:rPr>
            </w:pPr>
          </w:p>
        </w:tc>
        <w:tc>
          <w:tcPr>
            <w:tcW w:w="1100" w:type="dxa"/>
            <w:vAlign w:val="bottom"/>
            <w:tcBorders>
              <w:bottom w:val="single" w:sz="8" w:color="959595"/>
            </w:tcBorders>
          </w:tcPr>
          <w:p>
            <w:pPr>
              <w:spacing w:after="0"/>
              <w:rPr>
                <w:sz w:val="17"/>
                <w:szCs w:val="17"/>
                <w:color w:val="auto"/>
              </w:rPr>
            </w:pPr>
          </w:p>
        </w:tc>
        <w:tc>
          <w:tcPr>
            <w:tcW w:w="720" w:type="dxa"/>
            <w:vAlign w:val="bottom"/>
            <w:tcBorders>
              <w:bottom w:val="single" w:sz="8" w:color="959595"/>
            </w:tcBorders>
          </w:tcPr>
          <w:p>
            <w:pPr>
              <w:spacing w:after="0"/>
              <w:rPr>
                <w:sz w:val="17"/>
                <w:szCs w:val="17"/>
                <w:color w:val="auto"/>
              </w:rPr>
            </w:pPr>
          </w:p>
        </w:tc>
        <w:tc>
          <w:tcPr>
            <w:tcW w:w="820" w:type="dxa"/>
            <w:vAlign w:val="bottom"/>
            <w:tcBorders>
              <w:bottom w:val="single" w:sz="8" w:color="959595"/>
            </w:tcBorders>
          </w:tcPr>
          <w:p>
            <w:pPr>
              <w:spacing w:after="0"/>
              <w:rPr>
                <w:sz w:val="17"/>
                <w:szCs w:val="17"/>
                <w:color w:val="auto"/>
              </w:rPr>
            </w:pPr>
          </w:p>
        </w:tc>
        <w:tc>
          <w:tcPr>
            <w:tcW w:w="880" w:type="dxa"/>
            <w:vAlign w:val="bottom"/>
            <w:tcBorders>
              <w:bottom w:val="single" w:sz="8" w:color="959595"/>
            </w:tcBorders>
          </w:tcPr>
          <w:p>
            <w:pPr>
              <w:spacing w:after="0"/>
              <w:rPr>
                <w:sz w:val="17"/>
                <w:szCs w:val="17"/>
                <w:color w:val="auto"/>
              </w:rPr>
            </w:pPr>
          </w:p>
        </w:tc>
        <w:tc>
          <w:tcPr>
            <w:tcW w:w="1000" w:type="dxa"/>
            <w:vAlign w:val="bottom"/>
            <w:tcBorders>
              <w:bottom w:val="single" w:sz="8" w:color="959595"/>
            </w:tcBorders>
          </w:tcPr>
          <w:p>
            <w:pPr>
              <w:spacing w:after="0"/>
              <w:rPr>
                <w:sz w:val="17"/>
                <w:szCs w:val="17"/>
                <w:color w:val="auto"/>
              </w:rPr>
            </w:pPr>
          </w:p>
        </w:tc>
        <w:tc>
          <w:tcPr>
            <w:tcW w:w="1380" w:type="dxa"/>
            <w:vAlign w:val="bottom"/>
            <w:tcBorders>
              <w:bottom w:val="single" w:sz="8" w:color="959595"/>
            </w:tcBorders>
            <w:vMerge w:val="continue"/>
          </w:tcPr>
          <w:p>
            <w:pPr>
              <w:spacing w:after="0"/>
              <w:rPr>
                <w:sz w:val="17"/>
                <w:szCs w:val="17"/>
                <w:color w:val="auto"/>
              </w:rPr>
            </w:pPr>
          </w:p>
        </w:tc>
        <w:tc>
          <w:tcPr>
            <w:tcW w:w="1160" w:type="dxa"/>
            <w:vAlign w:val="bottom"/>
            <w:tcBorders>
              <w:bottom w:val="single" w:sz="8" w:color="959595"/>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00" w:hanging="292"/>
        <w:spacing w:after="0"/>
        <w:tabs>
          <w:tab w:leader="none" w:pos="300" w:val="left"/>
        </w:tabs>
        <w:numPr>
          <w:ilvl w:val="0"/>
          <w:numId w:val="203"/>
        </w:numPr>
        <w:rPr>
          <w:rFonts w:ascii="Arial" w:cs="Arial" w:eastAsia="Arial" w:hAnsi="Arial"/>
          <w:sz w:val="11"/>
          <w:szCs w:val="11"/>
          <w:color w:val="auto"/>
        </w:rPr>
      </w:pPr>
      <w:r>
        <w:rPr>
          <w:rFonts w:ascii="Arial" w:cs="Arial" w:eastAsia="Arial" w:hAnsi="Arial"/>
          <w:sz w:val="13"/>
          <w:szCs w:val="13"/>
          <w:color w:val="auto"/>
        </w:rPr>
        <w:t>To help explain this table and the awards held by our named executive officers, we included an additional column showing the grant date of each stock option and stock award.</w:t>
      </w:r>
    </w:p>
    <w:p>
      <w:pPr>
        <w:spacing w:after="0" w:line="12" w:lineRule="exact"/>
        <w:rPr>
          <w:rFonts w:ascii="Arial" w:cs="Arial" w:eastAsia="Arial" w:hAnsi="Arial"/>
          <w:sz w:val="11"/>
          <w:szCs w:val="11"/>
          <w:color w:val="auto"/>
        </w:rPr>
      </w:pPr>
    </w:p>
    <w:p>
      <w:pPr>
        <w:ind w:left="300" w:right="140" w:hanging="292"/>
        <w:spacing w:after="0" w:line="249" w:lineRule="auto"/>
        <w:tabs>
          <w:tab w:leader="none" w:pos="300" w:val="left"/>
        </w:tabs>
        <w:numPr>
          <w:ilvl w:val="0"/>
          <w:numId w:val="203"/>
        </w:numPr>
        <w:rPr>
          <w:rFonts w:ascii="Arial" w:cs="Arial" w:eastAsia="Arial" w:hAnsi="Arial"/>
          <w:sz w:val="11"/>
          <w:szCs w:val="11"/>
          <w:color w:val="auto"/>
        </w:rPr>
      </w:pPr>
      <w:r>
        <w:rPr>
          <w:rFonts w:ascii="Arial" w:cs="Arial" w:eastAsia="Arial" w:hAnsi="Arial"/>
          <w:sz w:val="13"/>
          <w:szCs w:val="13"/>
          <w:color w:val="auto"/>
        </w:rPr>
        <w:t>The amount shown for the market value of the stock awards is based on the closing price of our common stock on the Nasdaq Stock Market on July 2, 2020 ($42.44), the last trading day in fiscal 2020.</w:t>
      </w:r>
    </w:p>
    <w:p>
      <w:pPr>
        <w:ind w:left="300" w:hanging="292"/>
        <w:spacing w:after="0" w:line="182" w:lineRule="auto"/>
        <w:tabs>
          <w:tab w:leader="none" w:pos="300" w:val="left"/>
        </w:tabs>
        <w:numPr>
          <w:ilvl w:val="0"/>
          <w:numId w:val="203"/>
        </w:numPr>
        <w:rPr>
          <w:rFonts w:ascii="Arial" w:cs="Arial" w:eastAsia="Arial" w:hAnsi="Arial"/>
          <w:sz w:val="17"/>
          <w:szCs w:val="17"/>
          <w:color w:val="auto"/>
          <w:vertAlign w:val="superscript"/>
        </w:rPr>
      </w:pPr>
      <w:r>
        <w:rPr>
          <w:rFonts w:ascii="Arial" w:cs="Arial" w:eastAsia="Arial" w:hAnsi="Arial"/>
          <w:sz w:val="11"/>
          <w:szCs w:val="11"/>
          <w:color w:val="auto"/>
        </w:rPr>
        <w:t>This RSU award is scheduled to vest in two substantially equal annual installments on each of the first and second anniversaries of the grant date.</w:t>
      </w:r>
    </w:p>
    <w:p>
      <w:pPr>
        <w:ind w:left="300" w:right="120" w:hanging="292"/>
        <w:spacing w:after="0" w:line="245" w:lineRule="auto"/>
        <w:tabs>
          <w:tab w:leader="none" w:pos="300" w:val="left"/>
        </w:tabs>
        <w:numPr>
          <w:ilvl w:val="0"/>
          <w:numId w:val="203"/>
        </w:numPr>
        <w:rPr>
          <w:rFonts w:ascii="Arial" w:cs="Arial" w:eastAsia="Arial" w:hAnsi="Arial"/>
          <w:sz w:val="11"/>
          <w:szCs w:val="11"/>
          <w:color w:val="auto"/>
        </w:rPr>
      </w:pPr>
      <w:r>
        <w:rPr>
          <w:rFonts w:ascii="Arial" w:cs="Arial" w:eastAsia="Arial" w:hAnsi="Arial"/>
          <w:sz w:val="13"/>
          <w:szCs w:val="13"/>
          <w:color w:val="auto"/>
        </w:rPr>
        <w:t>This PSU award is scheduled to vest on March 8, 2023 based on achievement of specified relative TSR goals established by the Compensation and Talent Committee for the three-year performance period that begins on March 9, 2020 and ends March 8, 2023. The award will be payable in shares of our common stock on the vesting date based on our achievement of the specified goals that correspond to specific payment percentages ranging between 0% and 150% of the target number of stock units subject to the award indicated in the table above.</w:t>
      </w:r>
    </w:p>
    <w:p>
      <w:pPr>
        <w:spacing w:after="0" w:line="149" w:lineRule="exact"/>
        <w:rPr>
          <w:rFonts w:ascii="Arial" w:cs="Arial" w:eastAsia="Arial" w:hAnsi="Arial"/>
          <w:sz w:val="11"/>
          <w:szCs w:val="11"/>
          <w:color w:val="auto"/>
        </w:rPr>
      </w:pPr>
    </w:p>
    <w:p>
      <w:pPr>
        <w:ind w:left="300" w:hanging="292"/>
        <w:spacing w:after="0" w:line="182" w:lineRule="auto"/>
        <w:tabs>
          <w:tab w:leader="none" w:pos="300" w:val="left"/>
        </w:tabs>
        <w:numPr>
          <w:ilvl w:val="0"/>
          <w:numId w:val="203"/>
        </w:numPr>
        <w:rPr>
          <w:rFonts w:ascii="Arial" w:cs="Arial" w:eastAsia="Arial" w:hAnsi="Arial"/>
          <w:sz w:val="17"/>
          <w:szCs w:val="17"/>
          <w:color w:val="auto"/>
          <w:vertAlign w:val="superscript"/>
        </w:rPr>
      </w:pPr>
      <w:r>
        <w:rPr>
          <w:rFonts w:ascii="Arial" w:cs="Arial" w:eastAsia="Arial" w:hAnsi="Arial"/>
          <w:sz w:val="11"/>
          <w:szCs w:val="11"/>
          <w:color w:val="auto"/>
        </w:rPr>
        <w:t>These RSU awards are scheduled to vest in four substantially equal annual installments on each of the first, second, third and fourth anniversaries of the grant date.</w:t>
      </w:r>
    </w:p>
    <w:p>
      <w:pPr>
        <w:ind w:left="300" w:right="20" w:hanging="292"/>
        <w:spacing w:after="0" w:line="238" w:lineRule="auto"/>
        <w:tabs>
          <w:tab w:leader="none" w:pos="300" w:val="left"/>
        </w:tabs>
        <w:numPr>
          <w:ilvl w:val="0"/>
          <w:numId w:val="203"/>
        </w:numPr>
        <w:rPr>
          <w:rFonts w:ascii="Arial" w:cs="Arial" w:eastAsia="Arial" w:hAnsi="Arial"/>
          <w:sz w:val="11"/>
          <w:szCs w:val="11"/>
          <w:color w:val="auto"/>
        </w:rPr>
      </w:pPr>
      <w:r>
        <w:rPr>
          <w:rFonts w:ascii="Arial" w:cs="Arial" w:eastAsia="Arial" w:hAnsi="Arial"/>
          <w:sz w:val="13"/>
          <w:szCs w:val="13"/>
          <w:color w:val="auto"/>
        </w:rPr>
        <w:t>These PSU awards are scheduled to vest on September 4, 2022 based on achievement of specified relative TSR goals established by the Compensation and Talent Committee for the three-year performance period covering fiscal 2020 through 2022. The awards will be payable in shares of our common stock on the vesting date based on our achievement of the specified goals that correspond to specific payment percentages ranging between 0% and 200% of the target number of stock units subject to the awards indicated in the table above.</w:t>
      </w:r>
    </w:p>
    <w:p>
      <w:pPr>
        <w:ind w:left="300" w:right="80" w:hanging="292"/>
        <w:spacing w:after="0" w:line="245" w:lineRule="auto"/>
        <w:tabs>
          <w:tab w:leader="none" w:pos="300" w:val="left"/>
        </w:tabs>
        <w:numPr>
          <w:ilvl w:val="0"/>
          <w:numId w:val="203"/>
        </w:numPr>
        <w:rPr>
          <w:rFonts w:ascii="Arial" w:cs="Arial" w:eastAsia="Arial" w:hAnsi="Arial"/>
          <w:sz w:val="11"/>
          <w:szCs w:val="11"/>
          <w:color w:val="auto"/>
        </w:rPr>
      </w:pPr>
      <w:r>
        <w:rPr>
          <w:rFonts w:ascii="Arial" w:cs="Arial" w:eastAsia="Arial" w:hAnsi="Arial"/>
          <w:sz w:val="13"/>
          <w:szCs w:val="13"/>
          <w:color w:val="auto"/>
        </w:rPr>
        <w:t>These PSU awards are scheduled to vest on September 4, 2022 based on achievement of specified revenue and non-GAAP EPS goals established by the Compensation and Talent Committee for the two-year and three-year performance periods covering fiscal 2020 and 2021 and fiscal 2020 through 2022, respectively. The awards will be payable in shares of our common stock on the vesting date based on our achievement of the specified goals that correspond to specific payment percentages ranging between 0% and 200% of the target number of stock units subject to the awards indicated in the table above.</w:t>
      </w:r>
    </w:p>
    <w:p>
      <w:pPr>
        <w:spacing w:after="0" w:line="181"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23628F"/>
        </w:rPr>
        <w:t>2020 PROXY STATEMENT</w:t>
      </w:r>
      <w:r>
        <w:rPr>
          <w:sz w:val="20"/>
          <w:szCs w:val="20"/>
          <w:color w:val="auto"/>
        </w:rPr>
        <w:tab/>
      </w:r>
      <w:r>
        <w:rPr>
          <w:rFonts w:ascii="Arial" w:cs="Arial" w:eastAsia="Arial" w:hAnsi="Arial"/>
          <w:sz w:val="16"/>
          <w:szCs w:val="16"/>
          <w:b w:val="1"/>
          <w:bCs w:val="1"/>
          <w:color w:val="23628F"/>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153275" cy="215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23628F"/>
        </w:rPr>
        <w:t>COMPENSATION DISCUSSION AND ANALYSIS</w:t>
      </w:r>
    </w:p>
    <w:p>
      <w:pPr>
        <w:spacing w:after="0" w:line="215" w:lineRule="exact"/>
        <w:rPr>
          <w:sz w:val="20"/>
          <w:szCs w:val="20"/>
          <w:color w:val="auto"/>
        </w:rPr>
      </w:pPr>
    </w:p>
    <w:p>
      <w:pPr>
        <w:ind w:left="360" w:right="80" w:hanging="352"/>
        <w:spacing w:after="0" w:line="249" w:lineRule="auto"/>
        <w:tabs>
          <w:tab w:leader="none" w:pos="360" w:val="left"/>
        </w:tabs>
        <w:numPr>
          <w:ilvl w:val="0"/>
          <w:numId w:val="204"/>
        </w:numPr>
        <w:rPr>
          <w:rFonts w:ascii="Arial" w:cs="Arial" w:eastAsia="Arial" w:hAnsi="Arial"/>
          <w:sz w:val="11"/>
          <w:szCs w:val="11"/>
          <w:color w:val="auto"/>
        </w:rPr>
      </w:pPr>
      <w:r>
        <w:rPr>
          <w:rFonts w:ascii="Arial" w:cs="Arial" w:eastAsia="Arial" w:hAnsi="Arial"/>
          <w:sz w:val="13"/>
          <w:szCs w:val="13"/>
          <w:color w:val="auto"/>
        </w:rPr>
        <w:t>These stock option awards are scheduled to vest as to 25% of the underlying shares on the first anniversary of the grant date, and as to an additional 6.25% of the underlying shares at the end of each three-month period thereafter until the award is fully vested on the fourth anniversary of the grant date.</w:t>
      </w:r>
    </w:p>
    <w:p>
      <w:pPr>
        <w:ind w:left="360" w:hanging="352"/>
        <w:spacing w:after="0" w:line="182" w:lineRule="auto"/>
        <w:tabs>
          <w:tab w:leader="none" w:pos="360" w:val="left"/>
        </w:tabs>
        <w:numPr>
          <w:ilvl w:val="0"/>
          <w:numId w:val="204"/>
        </w:numPr>
        <w:rPr>
          <w:rFonts w:ascii="Arial" w:cs="Arial" w:eastAsia="Arial" w:hAnsi="Arial"/>
          <w:sz w:val="17"/>
          <w:szCs w:val="17"/>
          <w:color w:val="auto"/>
          <w:vertAlign w:val="superscript"/>
        </w:rPr>
      </w:pPr>
      <w:r>
        <w:rPr>
          <w:rFonts w:ascii="Arial" w:cs="Arial" w:eastAsia="Arial" w:hAnsi="Arial"/>
          <w:sz w:val="11"/>
          <w:szCs w:val="11"/>
          <w:color w:val="auto"/>
        </w:rPr>
        <w:t>This RSU award is scheduled to vest on the third anniversary of the grant date.</w:t>
      </w:r>
    </w:p>
    <w:p>
      <w:pPr>
        <w:ind w:left="360" w:right="60" w:hanging="352"/>
        <w:spacing w:after="0" w:line="243" w:lineRule="auto"/>
        <w:tabs>
          <w:tab w:leader="none" w:pos="360" w:val="left"/>
        </w:tabs>
        <w:numPr>
          <w:ilvl w:val="0"/>
          <w:numId w:val="204"/>
        </w:numPr>
        <w:rPr>
          <w:rFonts w:ascii="Arial" w:cs="Arial" w:eastAsia="Arial" w:hAnsi="Arial"/>
          <w:sz w:val="11"/>
          <w:szCs w:val="11"/>
          <w:color w:val="auto"/>
        </w:rPr>
      </w:pPr>
      <w:r>
        <w:rPr>
          <w:rFonts w:ascii="Arial" w:cs="Arial" w:eastAsia="Arial" w:hAnsi="Arial"/>
          <w:sz w:val="13"/>
          <w:szCs w:val="13"/>
          <w:color w:val="auto"/>
        </w:rPr>
        <w:t>These PSU awards are scheduled to vest on August 30, 2021 based on achievement of specified relative TSR goals established by the Compensation and Talent Committee for the three-year performance period covering fiscal 2019 through 2021. The awards will be payable in shares of our common stock on the vesting date based on our achievement of the specified goals that correspond to specific payment percentages ranging between 0% and 200% of the target number of stock units subject to the awards. The numbers above reflect payment at the threshold level, which is 25% of the target number of stock units.</w:t>
      </w:r>
    </w:p>
    <w:p>
      <w:pPr>
        <w:spacing w:after="0" w:line="2" w:lineRule="exact"/>
        <w:rPr>
          <w:rFonts w:ascii="Arial" w:cs="Arial" w:eastAsia="Arial" w:hAnsi="Arial"/>
          <w:sz w:val="11"/>
          <w:szCs w:val="11"/>
          <w:color w:val="auto"/>
        </w:rPr>
      </w:pPr>
    </w:p>
    <w:p>
      <w:pPr>
        <w:ind w:left="360" w:hanging="352"/>
        <w:spacing w:after="0" w:line="182" w:lineRule="auto"/>
        <w:tabs>
          <w:tab w:leader="none" w:pos="360" w:val="left"/>
        </w:tabs>
        <w:numPr>
          <w:ilvl w:val="0"/>
          <w:numId w:val="204"/>
        </w:numPr>
        <w:rPr>
          <w:rFonts w:ascii="Arial" w:cs="Arial" w:eastAsia="Arial" w:hAnsi="Arial"/>
          <w:sz w:val="17"/>
          <w:szCs w:val="17"/>
          <w:color w:val="auto"/>
          <w:vertAlign w:val="superscript"/>
        </w:rPr>
      </w:pPr>
      <w:r>
        <w:rPr>
          <w:rFonts w:ascii="Arial" w:cs="Arial" w:eastAsia="Arial" w:hAnsi="Arial"/>
          <w:sz w:val="11"/>
          <w:szCs w:val="11"/>
          <w:color w:val="auto"/>
        </w:rPr>
        <w:t>Reflects the portion of a PSU award that has been credited based on achievement of the performance goals but remains subject to a service requirement through August 30, 2021.</w:t>
      </w:r>
    </w:p>
    <w:p>
      <w:pPr>
        <w:ind w:left="360" w:right="240" w:hanging="352"/>
        <w:spacing w:after="0" w:line="245" w:lineRule="auto"/>
        <w:tabs>
          <w:tab w:leader="none" w:pos="360" w:val="left"/>
        </w:tabs>
        <w:numPr>
          <w:ilvl w:val="0"/>
          <w:numId w:val="204"/>
        </w:numPr>
        <w:rPr>
          <w:rFonts w:ascii="Arial" w:cs="Arial" w:eastAsia="Arial" w:hAnsi="Arial"/>
          <w:sz w:val="11"/>
          <w:szCs w:val="11"/>
          <w:color w:val="auto"/>
        </w:rPr>
      </w:pPr>
      <w:r>
        <w:rPr>
          <w:rFonts w:ascii="Arial" w:cs="Arial" w:eastAsia="Arial" w:hAnsi="Arial"/>
          <w:sz w:val="13"/>
          <w:szCs w:val="13"/>
          <w:color w:val="auto"/>
        </w:rPr>
        <w:t>These PSU awards are scheduled to vest on August 30, 2021 based on achievement of specified revenue and non-GAAP EPS goals established by the Compensation and Talent Committee for the three-year performance period covering fiscal 2019 through 2021. The award will be payable in shares of our common stock on the vesting date based on our achievement of the specified goals that correspond to specific payment percentages ranging between 0% and 200% of the target number of stock units subject to the awards indicated in the table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1234440" cy="6858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34440" cy="68580"/>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FISCAL 2020 OPTION EXERCISES AND STOCK VESTED TABLE</w:t>
      </w:r>
    </w:p>
    <w:p>
      <w:pPr>
        <w:spacing w:after="0" w:line="252" w:lineRule="exact"/>
        <w:rPr>
          <w:sz w:val="20"/>
          <w:szCs w:val="20"/>
          <w:color w:val="auto"/>
        </w:rPr>
      </w:pPr>
    </w:p>
    <w:p>
      <w:pPr>
        <w:ind w:right="40"/>
        <w:spacing w:after="0" w:line="249" w:lineRule="auto"/>
        <w:rPr>
          <w:sz w:val="20"/>
          <w:szCs w:val="20"/>
          <w:color w:val="auto"/>
        </w:rPr>
      </w:pPr>
      <w:r>
        <w:rPr>
          <w:rFonts w:ascii="Arial" w:cs="Arial" w:eastAsia="Arial" w:hAnsi="Arial"/>
          <w:sz w:val="13"/>
          <w:szCs w:val="13"/>
          <w:color w:val="auto"/>
        </w:rPr>
        <w:t>The following table presents information regarding the amount realized upon the exercise of stock options and the vesting of stock unit awards for our named executive officers during fiscal 2020.</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560" w:type="dxa"/>
            <w:vAlign w:val="bottom"/>
            <w:tcBorders>
              <w:right w:val="single" w:sz="8" w:color="auto"/>
            </w:tcBorders>
          </w:tcPr>
          <w:p>
            <w:pPr>
              <w:spacing w:after="0"/>
              <w:rPr>
                <w:sz w:val="17"/>
                <w:szCs w:val="17"/>
                <w:color w:val="auto"/>
              </w:rPr>
            </w:pPr>
          </w:p>
        </w:tc>
        <w:tc>
          <w:tcPr>
            <w:tcW w:w="2360" w:type="dxa"/>
            <w:vAlign w:val="bottom"/>
            <w:tcBorders>
              <w:right w:val="single" w:sz="8" w:color="auto"/>
            </w:tcBorders>
            <w:gridSpan w:val="2"/>
          </w:tcPr>
          <w:p>
            <w:pPr>
              <w:jc w:val="right"/>
              <w:ind w:right="653"/>
              <w:spacing w:after="0"/>
              <w:rPr>
                <w:sz w:val="20"/>
                <w:szCs w:val="20"/>
                <w:color w:val="auto"/>
              </w:rPr>
            </w:pPr>
            <w:r>
              <w:rPr>
                <w:rFonts w:ascii="Arial" w:cs="Arial" w:eastAsia="Arial" w:hAnsi="Arial"/>
                <w:sz w:val="13"/>
                <w:szCs w:val="13"/>
                <w:b w:val="1"/>
                <w:bCs w:val="1"/>
                <w:color w:val="auto"/>
              </w:rPr>
              <w:t>Option Awards</w:t>
            </w:r>
          </w:p>
        </w:tc>
        <w:tc>
          <w:tcPr>
            <w:tcW w:w="2320" w:type="dxa"/>
            <w:vAlign w:val="bottom"/>
            <w:gridSpan w:val="2"/>
          </w:tcPr>
          <w:p>
            <w:pPr>
              <w:jc w:val="right"/>
              <w:ind w:right="653"/>
              <w:spacing w:after="0"/>
              <w:rPr>
                <w:sz w:val="20"/>
                <w:szCs w:val="20"/>
                <w:color w:val="auto"/>
              </w:rPr>
            </w:pPr>
            <w:r>
              <w:rPr>
                <w:rFonts w:ascii="Arial" w:cs="Arial" w:eastAsia="Arial" w:hAnsi="Arial"/>
                <w:sz w:val="13"/>
                <w:szCs w:val="13"/>
                <w:b w:val="1"/>
                <w:bCs w:val="1"/>
                <w:color w:val="auto"/>
              </w:rPr>
              <w:t>Stock Awards</w:t>
            </w:r>
          </w:p>
        </w:tc>
        <w:tc>
          <w:tcPr>
            <w:tcW w:w="0" w:type="dxa"/>
            <w:vAlign w:val="bottom"/>
          </w:tcPr>
          <w:p>
            <w:pPr>
              <w:spacing w:after="0"/>
              <w:rPr>
                <w:sz w:val="1"/>
                <w:szCs w:val="1"/>
                <w:color w:val="auto"/>
              </w:rPr>
            </w:pPr>
          </w:p>
        </w:tc>
      </w:tr>
      <w:tr>
        <w:trPr>
          <w:trHeight w:val="41"/>
        </w:trPr>
        <w:tc>
          <w:tcPr>
            <w:tcW w:w="6560" w:type="dxa"/>
            <w:vAlign w:val="bottom"/>
            <w:tcBorders>
              <w:right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2"/>
        </w:trPr>
        <w:tc>
          <w:tcPr>
            <w:tcW w:w="6560" w:type="dxa"/>
            <w:vAlign w:val="bottom"/>
            <w:tcBorders>
              <w:right w:val="single" w:sz="8" w:color="auto"/>
            </w:tcBorders>
          </w:tcPr>
          <w:p>
            <w:pPr>
              <w:spacing w:after="0"/>
              <w:rPr>
                <w:sz w:val="13"/>
                <w:szCs w:val="13"/>
                <w:color w:val="auto"/>
              </w:rPr>
            </w:pPr>
          </w:p>
        </w:tc>
        <w:tc>
          <w:tcPr>
            <w:tcW w:w="124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Number of</w:t>
            </w:r>
          </w:p>
        </w:tc>
        <w:tc>
          <w:tcPr>
            <w:tcW w:w="1120" w:type="dxa"/>
            <w:vAlign w:val="bottom"/>
            <w:tcBorders>
              <w:right w:val="single" w:sz="8" w:color="auto"/>
            </w:tcBorders>
            <w:vMerge w:val="restart"/>
          </w:tcPr>
          <w:p>
            <w:pPr>
              <w:jc w:val="right"/>
              <w:ind w:right="33"/>
              <w:spacing w:after="0"/>
              <w:rPr>
                <w:sz w:val="20"/>
                <w:szCs w:val="20"/>
                <w:color w:val="auto"/>
              </w:rPr>
            </w:pPr>
            <w:r>
              <w:rPr>
                <w:rFonts w:ascii="Arial" w:cs="Arial" w:eastAsia="Arial" w:hAnsi="Arial"/>
                <w:sz w:val="13"/>
                <w:szCs w:val="13"/>
                <w:b w:val="1"/>
                <w:bCs w:val="1"/>
                <w:color w:val="auto"/>
              </w:rPr>
              <w:t>Value Realized</w:t>
            </w:r>
          </w:p>
        </w:tc>
        <w:tc>
          <w:tcPr>
            <w:tcW w:w="124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Number of</w:t>
            </w:r>
          </w:p>
        </w:tc>
        <w:tc>
          <w:tcPr>
            <w:tcW w:w="108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rPr>
              <w:t>Value Realized</w:t>
            </w:r>
          </w:p>
        </w:tc>
        <w:tc>
          <w:tcPr>
            <w:tcW w:w="0" w:type="dxa"/>
            <w:vAlign w:val="bottom"/>
          </w:tcPr>
          <w:p>
            <w:pPr>
              <w:spacing w:after="0"/>
              <w:rPr>
                <w:sz w:val="1"/>
                <w:szCs w:val="1"/>
                <w:color w:val="auto"/>
              </w:rPr>
            </w:pPr>
          </w:p>
        </w:tc>
      </w:tr>
      <w:tr>
        <w:trPr>
          <w:trHeight w:val="138"/>
        </w:trPr>
        <w:tc>
          <w:tcPr>
            <w:tcW w:w="656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jc w:val="right"/>
              <w:ind w:right="13"/>
              <w:spacing w:after="0" w:line="138" w:lineRule="exact"/>
              <w:rPr>
                <w:sz w:val="20"/>
                <w:szCs w:val="20"/>
                <w:color w:val="auto"/>
              </w:rPr>
            </w:pPr>
            <w:r>
              <w:rPr>
                <w:rFonts w:ascii="Arial" w:cs="Arial" w:eastAsia="Arial" w:hAnsi="Arial"/>
                <w:sz w:val="13"/>
                <w:szCs w:val="13"/>
                <w:b w:val="1"/>
                <w:bCs w:val="1"/>
                <w:color w:val="auto"/>
              </w:rPr>
              <w:t>Shares Acquired</w:t>
            </w:r>
          </w:p>
        </w:tc>
        <w:tc>
          <w:tcPr>
            <w:tcW w:w="1120" w:type="dxa"/>
            <w:vAlign w:val="bottom"/>
            <w:tcBorders>
              <w:right w:val="single" w:sz="8" w:color="auto"/>
            </w:tcBorders>
            <w:vMerge w:val="continue"/>
          </w:tcPr>
          <w:p>
            <w:pPr>
              <w:spacing w:after="0"/>
              <w:rPr>
                <w:sz w:val="12"/>
                <w:szCs w:val="12"/>
                <w:color w:val="auto"/>
              </w:rPr>
            </w:pPr>
          </w:p>
        </w:tc>
        <w:tc>
          <w:tcPr>
            <w:tcW w:w="1240" w:type="dxa"/>
            <w:vAlign w:val="bottom"/>
            <w:tcBorders>
              <w:right w:val="single" w:sz="8" w:color="auto"/>
            </w:tcBorders>
          </w:tcPr>
          <w:p>
            <w:pPr>
              <w:jc w:val="right"/>
              <w:ind w:right="33"/>
              <w:spacing w:after="0" w:line="138" w:lineRule="exact"/>
              <w:rPr>
                <w:sz w:val="20"/>
                <w:szCs w:val="20"/>
                <w:color w:val="auto"/>
              </w:rPr>
            </w:pPr>
            <w:r>
              <w:rPr>
                <w:rFonts w:ascii="Arial" w:cs="Arial" w:eastAsia="Arial" w:hAnsi="Arial"/>
                <w:sz w:val="13"/>
                <w:szCs w:val="13"/>
                <w:b w:val="1"/>
                <w:bCs w:val="1"/>
                <w:color w:val="auto"/>
              </w:rPr>
              <w:t>Shares Acquired</w:t>
            </w: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6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on Exercise</w:t>
            </w:r>
          </w:p>
        </w:tc>
        <w:tc>
          <w:tcPr>
            <w:tcW w:w="112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on Exercise</w:t>
            </w:r>
          </w:p>
        </w:tc>
        <w:tc>
          <w:tcPr>
            <w:tcW w:w="124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on Vesting</w:t>
            </w:r>
          </w:p>
        </w:tc>
        <w:tc>
          <w:tcPr>
            <w:tcW w:w="1080" w:type="dxa"/>
            <w:vAlign w:val="bottom"/>
          </w:tcPr>
          <w:p>
            <w:pPr>
              <w:jc w:val="right"/>
              <w:ind w:right="13"/>
              <w:spacing w:after="0"/>
              <w:rPr>
                <w:sz w:val="20"/>
                <w:szCs w:val="20"/>
                <w:color w:val="auto"/>
              </w:rPr>
            </w:pPr>
            <w:r>
              <w:rPr>
                <w:rFonts w:ascii="Arial" w:cs="Arial" w:eastAsia="Arial" w:hAnsi="Arial"/>
                <w:sz w:val="13"/>
                <w:szCs w:val="13"/>
                <w:b w:val="1"/>
                <w:bCs w:val="1"/>
                <w:color w:val="auto"/>
              </w:rPr>
              <w:t>on Vesting</w:t>
            </w:r>
          </w:p>
        </w:tc>
        <w:tc>
          <w:tcPr>
            <w:tcW w:w="0" w:type="dxa"/>
            <w:vAlign w:val="bottom"/>
          </w:tcPr>
          <w:p>
            <w:pPr>
              <w:spacing w:after="0"/>
              <w:rPr>
                <w:sz w:val="1"/>
                <w:szCs w:val="1"/>
                <w:color w:val="auto"/>
              </w:rPr>
            </w:pPr>
          </w:p>
        </w:tc>
      </w:tr>
      <w:tr>
        <w:trPr>
          <w:trHeight w:val="203"/>
        </w:trPr>
        <w:tc>
          <w:tcPr>
            <w:tcW w:w="65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rPr>
              <w:t>Name</w:t>
            </w:r>
          </w:p>
        </w:tc>
        <w:tc>
          <w:tcPr>
            <w:tcW w:w="124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w:t>
            </w:r>
          </w:p>
        </w:tc>
        <w:tc>
          <w:tcPr>
            <w:tcW w:w="1120" w:type="dxa"/>
            <w:vAlign w:val="bottom"/>
            <w:tcBorders>
              <w:bottom w:val="single" w:sz="8" w:color="auto"/>
              <w:right w:val="single" w:sz="8" w:color="auto"/>
            </w:tcBorders>
          </w:tcPr>
          <w:p>
            <w:pPr>
              <w:jc w:val="right"/>
              <w:ind w:right="33"/>
              <w:spacing w:after="0" w:line="203"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2"/>
                <w:szCs w:val="22"/>
                <w:b w:val="1"/>
                <w:bCs w:val="1"/>
                <w:color w:val="auto"/>
                <w:vertAlign w:val="superscript"/>
              </w:rPr>
              <w:t>(1)</w:t>
            </w:r>
          </w:p>
        </w:tc>
        <w:tc>
          <w:tcPr>
            <w:tcW w:w="124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auto"/>
            </w:tcBorders>
          </w:tcPr>
          <w:p>
            <w:pPr>
              <w:jc w:val="right"/>
              <w:ind w:right="13"/>
              <w:spacing w:after="0" w:line="203"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196"/>
        </w:trPr>
        <w:tc>
          <w:tcPr>
            <w:tcW w:w="6560" w:type="dxa"/>
            <w:vAlign w:val="bottom"/>
          </w:tcPr>
          <w:p>
            <w:pPr>
              <w:ind w:left="80"/>
              <w:spacing w:after="0"/>
              <w:rPr>
                <w:sz w:val="20"/>
                <w:szCs w:val="20"/>
                <w:color w:val="auto"/>
              </w:rPr>
            </w:pPr>
            <w:r>
              <w:rPr>
                <w:rFonts w:ascii="Arial" w:cs="Arial" w:eastAsia="Arial" w:hAnsi="Arial"/>
                <w:sz w:val="13"/>
                <w:szCs w:val="13"/>
                <w:b w:val="1"/>
                <w:bCs w:val="1"/>
                <w:color w:val="23628F"/>
              </w:rPr>
              <w:t>David V. Goeckeler</w:t>
            </w:r>
          </w:p>
        </w:tc>
        <w:tc>
          <w:tcPr>
            <w:tcW w:w="12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1"/>
        </w:trPr>
        <w:tc>
          <w:tcPr>
            <w:tcW w:w="6560" w:type="dxa"/>
            <w:vAlign w:val="bottom"/>
            <w:tcBorders>
              <w:bottom w:val="single" w:sz="8" w:color="959595"/>
            </w:tcBorders>
          </w:tcPr>
          <w:p>
            <w:pPr>
              <w:spacing w:after="0"/>
              <w:rPr>
                <w:sz w:val="3"/>
                <w:szCs w:val="3"/>
                <w:color w:val="auto"/>
              </w:rPr>
            </w:pPr>
          </w:p>
        </w:tc>
        <w:tc>
          <w:tcPr>
            <w:tcW w:w="1240" w:type="dxa"/>
            <w:vAlign w:val="bottom"/>
            <w:tcBorders>
              <w:bottom w:val="single" w:sz="8" w:color="959595"/>
            </w:tcBorders>
          </w:tcPr>
          <w:p>
            <w:pPr>
              <w:spacing w:after="0"/>
              <w:rPr>
                <w:sz w:val="3"/>
                <w:szCs w:val="3"/>
                <w:color w:val="auto"/>
              </w:rPr>
            </w:pPr>
          </w:p>
        </w:tc>
        <w:tc>
          <w:tcPr>
            <w:tcW w:w="1120" w:type="dxa"/>
            <w:vAlign w:val="bottom"/>
            <w:tcBorders>
              <w:bottom w:val="single" w:sz="8" w:color="959595"/>
            </w:tcBorders>
          </w:tcPr>
          <w:p>
            <w:pPr>
              <w:spacing w:after="0"/>
              <w:rPr>
                <w:sz w:val="3"/>
                <w:szCs w:val="3"/>
                <w:color w:val="auto"/>
              </w:rPr>
            </w:pPr>
          </w:p>
        </w:tc>
        <w:tc>
          <w:tcPr>
            <w:tcW w:w="124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6560" w:type="dxa"/>
            <w:vAlign w:val="bottom"/>
          </w:tcPr>
          <w:p>
            <w:pPr>
              <w:ind w:left="80"/>
              <w:spacing w:after="0"/>
              <w:rPr>
                <w:sz w:val="20"/>
                <w:szCs w:val="20"/>
                <w:color w:val="auto"/>
              </w:rPr>
            </w:pPr>
            <w:r>
              <w:rPr>
                <w:rFonts w:ascii="Arial" w:cs="Arial" w:eastAsia="Arial" w:hAnsi="Arial"/>
                <w:sz w:val="13"/>
                <w:szCs w:val="13"/>
                <w:b w:val="1"/>
                <w:bCs w:val="1"/>
                <w:color w:val="23628F"/>
              </w:rPr>
              <w:t>Robert K. Eulau</w:t>
            </w:r>
          </w:p>
        </w:tc>
        <w:tc>
          <w:tcPr>
            <w:tcW w:w="12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33"/>
              <w:spacing w:after="0"/>
              <w:rPr>
                <w:sz w:val="20"/>
                <w:szCs w:val="20"/>
                <w:color w:val="auto"/>
              </w:rPr>
            </w:pPr>
            <w:r>
              <w:rPr>
                <w:rFonts w:ascii="Arial" w:cs="Arial" w:eastAsia="Arial" w:hAnsi="Arial"/>
                <w:sz w:val="13"/>
                <w:szCs w:val="13"/>
                <w:color w:val="auto"/>
              </w:rPr>
              <w:t>9,567</w:t>
            </w:r>
          </w:p>
        </w:tc>
        <w:tc>
          <w:tcPr>
            <w:tcW w:w="1080" w:type="dxa"/>
            <w:vAlign w:val="bottom"/>
          </w:tcPr>
          <w:p>
            <w:pPr>
              <w:jc w:val="right"/>
              <w:ind w:right="13"/>
              <w:spacing w:after="0"/>
              <w:rPr>
                <w:sz w:val="20"/>
                <w:szCs w:val="20"/>
                <w:color w:val="auto"/>
              </w:rPr>
            </w:pPr>
            <w:r>
              <w:rPr>
                <w:rFonts w:ascii="Arial" w:cs="Arial" w:eastAsia="Arial" w:hAnsi="Arial"/>
                <w:sz w:val="13"/>
                <w:szCs w:val="13"/>
                <w:color w:val="auto"/>
              </w:rPr>
              <w:t>382,027</w:t>
            </w:r>
          </w:p>
        </w:tc>
        <w:tc>
          <w:tcPr>
            <w:tcW w:w="0" w:type="dxa"/>
            <w:vAlign w:val="bottom"/>
          </w:tcPr>
          <w:p>
            <w:pPr>
              <w:spacing w:after="0"/>
              <w:rPr>
                <w:sz w:val="1"/>
                <w:szCs w:val="1"/>
                <w:color w:val="auto"/>
              </w:rPr>
            </w:pPr>
          </w:p>
        </w:tc>
      </w:tr>
      <w:tr>
        <w:trPr>
          <w:trHeight w:val="41"/>
        </w:trPr>
        <w:tc>
          <w:tcPr>
            <w:tcW w:w="6560" w:type="dxa"/>
            <w:vAlign w:val="bottom"/>
            <w:tcBorders>
              <w:bottom w:val="single" w:sz="8" w:color="959595"/>
            </w:tcBorders>
          </w:tcPr>
          <w:p>
            <w:pPr>
              <w:spacing w:after="0"/>
              <w:rPr>
                <w:sz w:val="3"/>
                <w:szCs w:val="3"/>
                <w:color w:val="auto"/>
              </w:rPr>
            </w:pPr>
          </w:p>
        </w:tc>
        <w:tc>
          <w:tcPr>
            <w:tcW w:w="1240" w:type="dxa"/>
            <w:vAlign w:val="bottom"/>
            <w:tcBorders>
              <w:bottom w:val="single" w:sz="8" w:color="959595"/>
            </w:tcBorders>
          </w:tcPr>
          <w:p>
            <w:pPr>
              <w:spacing w:after="0"/>
              <w:rPr>
                <w:sz w:val="3"/>
                <w:szCs w:val="3"/>
                <w:color w:val="auto"/>
              </w:rPr>
            </w:pPr>
          </w:p>
        </w:tc>
        <w:tc>
          <w:tcPr>
            <w:tcW w:w="1120" w:type="dxa"/>
            <w:vAlign w:val="bottom"/>
            <w:tcBorders>
              <w:bottom w:val="single" w:sz="8" w:color="959595"/>
            </w:tcBorders>
          </w:tcPr>
          <w:p>
            <w:pPr>
              <w:spacing w:after="0"/>
              <w:rPr>
                <w:sz w:val="3"/>
                <w:szCs w:val="3"/>
                <w:color w:val="auto"/>
              </w:rPr>
            </w:pPr>
          </w:p>
        </w:tc>
        <w:tc>
          <w:tcPr>
            <w:tcW w:w="124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6560" w:type="dxa"/>
            <w:vAlign w:val="bottom"/>
          </w:tcPr>
          <w:p>
            <w:pPr>
              <w:ind w:left="80"/>
              <w:spacing w:after="0"/>
              <w:rPr>
                <w:sz w:val="20"/>
                <w:szCs w:val="20"/>
                <w:color w:val="auto"/>
              </w:rPr>
            </w:pPr>
            <w:r>
              <w:rPr>
                <w:rFonts w:ascii="Arial" w:cs="Arial" w:eastAsia="Arial" w:hAnsi="Arial"/>
                <w:sz w:val="13"/>
                <w:szCs w:val="13"/>
                <w:b w:val="1"/>
                <w:bCs w:val="1"/>
                <w:color w:val="23628F"/>
              </w:rPr>
              <w:t>Srinivasan Sivaram</w:t>
            </w:r>
          </w:p>
        </w:tc>
        <w:tc>
          <w:tcPr>
            <w:tcW w:w="12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33"/>
              <w:spacing w:after="0"/>
              <w:rPr>
                <w:sz w:val="20"/>
                <w:szCs w:val="20"/>
                <w:color w:val="auto"/>
              </w:rPr>
            </w:pPr>
            <w:r>
              <w:rPr>
                <w:rFonts w:ascii="Arial" w:cs="Arial" w:eastAsia="Arial" w:hAnsi="Arial"/>
                <w:sz w:val="13"/>
                <w:szCs w:val="13"/>
                <w:color w:val="auto"/>
              </w:rPr>
              <w:t>27,845</w:t>
            </w:r>
          </w:p>
        </w:tc>
        <w:tc>
          <w:tcPr>
            <w:tcW w:w="1080" w:type="dxa"/>
            <w:vAlign w:val="bottom"/>
          </w:tcPr>
          <w:p>
            <w:pPr>
              <w:jc w:val="right"/>
              <w:ind w:right="13"/>
              <w:spacing w:after="0"/>
              <w:rPr>
                <w:sz w:val="20"/>
                <w:szCs w:val="20"/>
                <w:color w:val="auto"/>
              </w:rPr>
            </w:pPr>
            <w:r>
              <w:rPr>
                <w:rFonts w:ascii="Arial" w:cs="Arial" w:eastAsia="Arial" w:hAnsi="Arial"/>
                <w:sz w:val="13"/>
                <w:szCs w:val="13"/>
                <w:color w:val="auto"/>
              </w:rPr>
              <w:t>1,702,022</w:t>
            </w:r>
          </w:p>
        </w:tc>
        <w:tc>
          <w:tcPr>
            <w:tcW w:w="0" w:type="dxa"/>
            <w:vAlign w:val="bottom"/>
          </w:tcPr>
          <w:p>
            <w:pPr>
              <w:spacing w:after="0"/>
              <w:rPr>
                <w:sz w:val="1"/>
                <w:szCs w:val="1"/>
                <w:color w:val="auto"/>
              </w:rPr>
            </w:pPr>
          </w:p>
        </w:tc>
      </w:tr>
      <w:tr>
        <w:trPr>
          <w:trHeight w:val="41"/>
        </w:trPr>
        <w:tc>
          <w:tcPr>
            <w:tcW w:w="6560" w:type="dxa"/>
            <w:vAlign w:val="bottom"/>
            <w:tcBorders>
              <w:bottom w:val="single" w:sz="8" w:color="959595"/>
            </w:tcBorders>
          </w:tcPr>
          <w:p>
            <w:pPr>
              <w:spacing w:after="0"/>
              <w:rPr>
                <w:sz w:val="3"/>
                <w:szCs w:val="3"/>
                <w:color w:val="auto"/>
              </w:rPr>
            </w:pPr>
          </w:p>
        </w:tc>
        <w:tc>
          <w:tcPr>
            <w:tcW w:w="1240" w:type="dxa"/>
            <w:vAlign w:val="bottom"/>
            <w:tcBorders>
              <w:bottom w:val="single" w:sz="8" w:color="959595"/>
            </w:tcBorders>
          </w:tcPr>
          <w:p>
            <w:pPr>
              <w:spacing w:after="0"/>
              <w:rPr>
                <w:sz w:val="3"/>
                <w:szCs w:val="3"/>
                <w:color w:val="auto"/>
              </w:rPr>
            </w:pPr>
          </w:p>
        </w:tc>
        <w:tc>
          <w:tcPr>
            <w:tcW w:w="1120" w:type="dxa"/>
            <w:vAlign w:val="bottom"/>
            <w:tcBorders>
              <w:bottom w:val="single" w:sz="8" w:color="959595"/>
            </w:tcBorders>
          </w:tcPr>
          <w:p>
            <w:pPr>
              <w:spacing w:after="0"/>
              <w:rPr>
                <w:sz w:val="3"/>
                <w:szCs w:val="3"/>
                <w:color w:val="auto"/>
              </w:rPr>
            </w:pPr>
          </w:p>
        </w:tc>
        <w:tc>
          <w:tcPr>
            <w:tcW w:w="124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6560" w:type="dxa"/>
            <w:vAlign w:val="bottom"/>
          </w:tcPr>
          <w:p>
            <w:pPr>
              <w:ind w:left="80"/>
              <w:spacing w:after="0"/>
              <w:rPr>
                <w:sz w:val="20"/>
                <w:szCs w:val="20"/>
                <w:color w:val="auto"/>
              </w:rPr>
            </w:pPr>
            <w:r>
              <w:rPr>
                <w:rFonts w:ascii="Arial" w:cs="Arial" w:eastAsia="Arial" w:hAnsi="Arial"/>
                <w:sz w:val="13"/>
                <w:szCs w:val="13"/>
                <w:b w:val="1"/>
                <w:bCs w:val="1"/>
                <w:color w:val="23628F"/>
              </w:rPr>
              <w:t>Michael C. Ray</w:t>
            </w:r>
          </w:p>
        </w:tc>
        <w:tc>
          <w:tcPr>
            <w:tcW w:w="1240" w:type="dxa"/>
            <w:vAlign w:val="bottom"/>
          </w:tcPr>
          <w:p>
            <w:pPr>
              <w:jc w:val="right"/>
              <w:ind w:right="13"/>
              <w:spacing w:after="0"/>
              <w:rPr>
                <w:sz w:val="20"/>
                <w:szCs w:val="20"/>
                <w:color w:val="auto"/>
              </w:rPr>
            </w:pPr>
            <w:r>
              <w:rPr>
                <w:rFonts w:ascii="Arial" w:cs="Arial" w:eastAsia="Arial" w:hAnsi="Arial"/>
                <w:sz w:val="13"/>
                <w:szCs w:val="13"/>
                <w:color w:val="auto"/>
              </w:rPr>
              <w:t>26,322</w:t>
            </w:r>
          </w:p>
        </w:tc>
        <w:tc>
          <w:tcPr>
            <w:tcW w:w="1120" w:type="dxa"/>
            <w:vAlign w:val="bottom"/>
          </w:tcPr>
          <w:p>
            <w:pPr>
              <w:jc w:val="right"/>
              <w:ind w:right="33"/>
              <w:spacing w:after="0"/>
              <w:rPr>
                <w:sz w:val="20"/>
                <w:szCs w:val="20"/>
                <w:color w:val="auto"/>
              </w:rPr>
            </w:pPr>
            <w:r>
              <w:rPr>
                <w:rFonts w:ascii="Arial" w:cs="Arial" w:eastAsia="Arial" w:hAnsi="Arial"/>
                <w:sz w:val="13"/>
                <w:szCs w:val="13"/>
                <w:color w:val="auto"/>
              </w:rPr>
              <w:t>435,278</w:t>
            </w:r>
          </w:p>
        </w:tc>
        <w:tc>
          <w:tcPr>
            <w:tcW w:w="1240" w:type="dxa"/>
            <w:vAlign w:val="bottom"/>
          </w:tcPr>
          <w:p>
            <w:pPr>
              <w:jc w:val="right"/>
              <w:ind w:right="33"/>
              <w:spacing w:after="0"/>
              <w:rPr>
                <w:sz w:val="20"/>
                <w:szCs w:val="20"/>
                <w:color w:val="auto"/>
              </w:rPr>
            </w:pPr>
            <w:r>
              <w:rPr>
                <w:rFonts w:ascii="Arial" w:cs="Arial" w:eastAsia="Arial" w:hAnsi="Arial"/>
                <w:sz w:val="13"/>
                <w:szCs w:val="13"/>
                <w:color w:val="auto"/>
              </w:rPr>
              <w:t>15,638</w:t>
            </w:r>
          </w:p>
        </w:tc>
        <w:tc>
          <w:tcPr>
            <w:tcW w:w="1080" w:type="dxa"/>
            <w:vAlign w:val="bottom"/>
          </w:tcPr>
          <w:p>
            <w:pPr>
              <w:jc w:val="right"/>
              <w:ind w:right="13"/>
              <w:spacing w:after="0"/>
              <w:rPr>
                <w:sz w:val="20"/>
                <w:szCs w:val="20"/>
                <w:color w:val="auto"/>
              </w:rPr>
            </w:pPr>
            <w:r>
              <w:rPr>
                <w:rFonts w:ascii="Arial" w:cs="Arial" w:eastAsia="Arial" w:hAnsi="Arial"/>
                <w:sz w:val="13"/>
                <w:szCs w:val="13"/>
                <w:color w:val="auto"/>
              </w:rPr>
              <w:t>862,490</w:t>
            </w:r>
          </w:p>
        </w:tc>
        <w:tc>
          <w:tcPr>
            <w:tcW w:w="0" w:type="dxa"/>
            <w:vAlign w:val="bottom"/>
          </w:tcPr>
          <w:p>
            <w:pPr>
              <w:spacing w:after="0"/>
              <w:rPr>
                <w:sz w:val="1"/>
                <w:szCs w:val="1"/>
                <w:color w:val="auto"/>
              </w:rPr>
            </w:pPr>
          </w:p>
        </w:tc>
      </w:tr>
      <w:tr>
        <w:trPr>
          <w:trHeight w:val="41"/>
        </w:trPr>
        <w:tc>
          <w:tcPr>
            <w:tcW w:w="6560" w:type="dxa"/>
            <w:vAlign w:val="bottom"/>
            <w:tcBorders>
              <w:bottom w:val="single" w:sz="8" w:color="959595"/>
            </w:tcBorders>
          </w:tcPr>
          <w:p>
            <w:pPr>
              <w:spacing w:after="0"/>
              <w:rPr>
                <w:sz w:val="3"/>
                <w:szCs w:val="3"/>
                <w:color w:val="auto"/>
              </w:rPr>
            </w:pPr>
          </w:p>
        </w:tc>
        <w:tc>
          <w:tcPr>
            <w:tcW w:w="1240" w:type="dxa"/>
            <w:vAlign w:val="bottom"/>
            <w:tcBorders>
              <w:bottom w:val="single" w:sz="8" w:color="959595"/>
            </w:tcBorders>
          </w:tcPr>
          <w:p>
            <w:pPr>
              <w:spacing w:after="0"/>
              <w:rPr>
                <w:sz w:val="3"/>
                <w:szCs w:val="3"/>
                <w:color w:val="auto"/>
              </w:rPr>
            </w:pPr>
          </w:p>
        </w:tc>
        <w:tc>
          <w:tcPr>
            <w:tcW w:w="1120" w:type="dxa"/>
            <w:vAlign w:val="bottom"/>
            <w:tcBorders>
              <w:bottom w:val="single" w:sz="8" w:color="959595"/>
            </w:tcBorders>
          </w:tcPr>
          <w:p>
            <w:pPr>
              <w:spacing w:after="0"/>
              <w:rPr>
                <w:sz w:val="3"/>
                <w:szCs w:val="3"/>
                <w:color w:val="auto"/>
              </w:rPr>
            </w:pPr>
          </w:p>
        </w:tc>
        <w:tc>
          <w:tcPr>
            <w:tcW w:w="124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6560" w:type="dxa"/>
            <w:vAlign w:val="bottom"/>
          </w:tcPr>
          <w:p>
            <w:pPr>
              <w:ind w:left="80"/>
              <w:spacing w:after="0"/>
              <w:rPr>
                <w:sz w:val="20"/>
                <w:szCs w:val="20"/>
                <w:color w:val="auto"/>
              </w:rPr>
            </w:pPr>
            <w:r>
              <w:rPr>
                <w:rFonts w:ascii="Arial" w:cs="Arial" w:eastAsia="Arial" w:hAnsi="Arial"/>
                <w:sz w:val="13"/>
                <w:szCs w:val="13"/>
                <w:b w:val="1"/>
                <w:bCs w:val="1"/>
                <w:color w:val="23628F"/>
              </w:rPr>
              <w:t>Lori S. Sundberg</w:t>
            </w:r>
          </w:p>
        </w:tc>
        <w:tc>
          <w:tcPr>
            <w:tcW w:w="12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33"/>
              <w:spacing w:after="0"/>
              <w:rPr>
                <w:sz w:val="20"/>
                <w:szCs w:val="20"/>
                <w:color w:val="auto"/>
              </w:rPr>
            </w:pPr>
            <w:r>
              <w:rPr>
                <w:rFonts w:ascii="Arial" w:cs="Arial" w:eastAsia="Arial" w:hAnsi="Arial"/>
                <w:sz w:val="13"/>
                <w:szCs w:val="13"/>
                <w:color w:val="auto"/>
              </w:rPr>
              <w:t>9,129</w:t>
            </w:r>
          </w:p>
        </w:tc>
        <w:tc>
          <w:tcPr>
            <w:tcW w:w="1080" w:type="dxa"/>
            <w:vAlign w:val="bottom"/>
          </w:tcPr>
          <w:p>
            <w:pPr>
              <w:jc w:val="right"/>
              <w:ind w:right="13"/>
              <w:spacing w:after="0"/>
              <w:rPr>
                <w:sz w:val="20"/>
                <w:szCs w:val="20"/>
                <w:color w:val="auto"/>
              </w:rPr>
            </w:pPr>
            <w:r>
              <w:rPr>
                <w:rFonts w:ascii="Arial" w:cs="Arial" w:eastAsia="Arial" w:hAnsi="Arial"/>
                <w:sz w:val="13"/>
                <w:szCs w:val="13"/>
                <w:color w:val="auto"/>
              </w:rPr>
              <w:t>525,251</w:t>
            </w:r>
          </w:p>
        </w:tc>
        <w:tc>
          <w:tcPr>
            <w:tcW w:w="0" w:type="dxa"/>
            <w:vAlign w:val="bottom"/>
          </w:tcPr>
          <w:p>
            <w:pPr>
              <w:spacing w:after="0"/>
              <w:rPr>
                <w:sz w:val="1"/>
                <w:szCs w:val="1"/>
                <w:color w:val="auto"/>
              </w:rPr>
            </w:pPr>
          </w:p>
        </w:tc>
      </w:tr>
      <w:tr>
        <w:trPr>
          <w:trHeight w:val="41"/>
        </w:trPr>
        <w:tc>
          <w:tcPr>
            <w:tcW w:w="6560" w:type="dxa"/>
            <w:vAlign w:val="bottom"/>
            <w:tcBorders>
              <w:bottom w:val="single" w:sz="8" w:color="959595"/>
            </w:tcBorders>
          </w:tcPr>
          <w:p>
            <w:pPr>
              <w:spacing w:after="0"/>
              <w:rPr>
                <w:sz w:val="3"/>
                <w:szCs w:val="3"/>
                <w:color w:val="auto"/>
              </w:rPr>
            </w:pPr>
          </w:p>
        </w:tc>
        <w:tc>
          <w:tcPr>
            <w:tcW w:w="1240" w:type="dxa"/>
            <w:vAlign w:val="bottom"/>
            <w:tcBorders>
              <w:bottom w:val="single" w:sz="8" w:color="959595"/>
            </w:tcBorders>
          </w:tcPr>
          <w:p>
            <w:pPr>
              <w:spacing w:after="0"/>
              <w:rPr>
                <w:sz w:val="3"/>
                <w:szCs w:val="3"/>
                <w:color w:val="auto"/>
              </w:rPr>
            </w:pPr>
          </w:p>
        </w:tc>
        <w:tc>
          <w:tcPr>
            <w:tcW w:w="1120" w:type="dxa"/>
            <w:vAlign w:val="bottom"/>
            <w:tcBorders>
              <w:bottom w:val="single" w:sz="8" w:color="959595"/>
            </w:tcBorders>
          </w:tcPr>
          <w:p>
            <w:pPr>
              <w:spacing w:after="0"/>
              <w:rPr>
                <w:sz w:val="3"/>
                <w:szCs w:val="3"/>
                <w:color w:val="auto"/>
              </w:rPr>
            </w:pPr>
          </w:p>
        </w:tc>
        <w:tc>
          <w:tcPr>
            <w:tcW w:w="124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6560" w:type="dxa"/>
            <w:vAlign w:val="bottom"/>
          </w:tcPr>
          <w:p>
            <w:pPr>
              <w:ind w:left="80"/>
              <w:spacing w:after="0"/>
              <w:rPr>
                <w:sz w:val="20"/>
                <w:szCs w:val="20"/>
                <w:color w:val="auto"/>
              </w:rPr>
            </w:pPr>
            <w:r>
              <w:rPr>
                <w:rFonts w:ascii="Arial" w:cs="Arial" w:eastAsia="Arial" w:hAnsi="Arial"/>
                <w:sz w:val="13"/>
                <w:szCs w:val="13"/>
                <w:b w:val="1"/>
                <w:bCs w:val="1"/>
                <w:color w:val="23628F"/>
              </w:rPr>
              <w:t>Stephen D. Milligan</w:t>
            </w:r>
          </w:p>
        </w:tc>
        <w:tc>
          <w:tcPr>
            <w:tcW w:w="12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33"/>
              <w:spacing w:after="0"/>
              <w:rPr>
                <w:sz w:val="20"/>
                <w:szCs w:val="20"/>
                <w:color w:val="auto"/>
              </w:rPr>
            </w:pPr>
            <w:r>
              <w:rPr>
                <w:rFonts w:ascii="Arial" w:cs="Arial" w:eastAsia="Arial" w:hAnsi="Arial"/>
                <w:sz w:val="13"/>
                <w:szCs w:val="13"/>
                <w:color w:val="auto"/>
              </w:rPr>
              <w:t>34,539</w:t>
            </w:r>
          </w:p>
        </w:tc>
        <w:tc>
          <w:tcPr>
            <w:tcW w:w="1080" w:type="dxa"/>
            <w:vAlign w:val="bottom"/>
          </w:tcPr>
          <w:p>
            <w:pPr>
              <w:jc w:val="right"/>
              <w:ind w:right="13"/>
              <w:spacing w:after="0"/>
              <w:rPr>
                <w:sz w:val="20"/>
                <w:szCs w:val="20"/>
                <w:color w:val="auto"/>
              </w:rPr>
            </w:pPr>
            <w:r>
              <w:rPr>
                <w:rFonts w:ascii="Arial" w:cs="Arial" w:eastAsia="Arial" w:hAnsi="Arial"/>
                <w:sz w:val="13"/>
                <w:szCs w:val="13"/>
                <w:color w:val="auto"/>
              </w:rPr>
              <w:t>1,935,474</w:t>
            </w:r>
          </w:p>
        </w:tc>
        <w:tc>
          <w:tcPr>
            <w:tcW w:w="0" w:type="dxa"/>
            <w:vAlign w:val="bottom"/>
          </w:tcPr>
          <w:p>
            <w:pPr>
              <w:spacing w:after="0"/>
              <w:rPr>
                <w:sz w:val="1"/>
                <w:szCs w:val="1"/>
                <w:color w:val="auto"/>
              </w:rPr>
            </w:pPr>
          </w:p>
        </w:tc>
      </w:tr>
      <w:tr>
        <w:trPr>
          <w:trHeight w:val="41"/>
        </w:trPr>
        <w:tc>
          <w:tcPr>
            <w:tcW w:w="6560" w:type="dxa"/>
            <w:vAlign w:val="bottom"/>
            <w:tcBorders>
              <w:bottom w:val="single" w:sz="8" w:color="959595"/>
            </w:tcBorders>
          </w:tcPr>
          <w:p>
            <w:pPr>
              <w:spacing w:after="0"/>
              <w:rPr>
                <w:sz w:val="3"/>
                <w:szCs w:val="3"/>
                <w:color w:val="auto"/>
              </w:rPr>
            </w:pPr>
          </w:p>
        </w:tc>
        <w:tc>
          <w:tcPr>
            <w:tcW w:w="1240" w:type="dxa"/>
            <w:vAlign w:val="bottom"/>
            <w:tcBorders>
              <w:bottom w:val="single" w:sz="8" w:color="959595"/>
            </w:tcBorders>
          </w:tcPr>
          <w:p>
            <w:pPr>
              <w:spacing w:after="0"/>
              <w:rPr>
                <w:sz w:val="3"/>
                <w:szCs w:val="3"/>
                <w:color w:val="auto"/>
              </w:rPr>
            </w:pPr>
          </w:p>
        </w:tc>
        <w:tc>
          <w:tcPr>
            <w:tcW w:w="1120" w:type="dxa"/>
            <w:vAlign w:val="bottom"/>
            <w:tcBorders>
              <w:bottom w:val="single" w:sz="8" w:color="959595"/>
            </w:tcBorders>
          </w:tcPr>
          <w:p>
            <w:pPr>
              <w:spacing w:after="0"/>
              <w:rPr>
                <w:sz w:val="3"/>
                <w:szCs w:val="3"/>
                <w:color w:val="auto"/>
              </w:rPr>
            </w:pPr>
          </w:p>
        </w:tc>
        <w:tc>
          <w:tcPr>
            <w:tcW w:w="124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6560" w:type="dxa"/>
            <w:vAlign w:val="bottom"/>
          </w:tcPr>
          <w:p>
            <w:pPr>
              <w:ind w:left="80"/>
              <w:spacing w:after="0"/>
              <w:rPr>
                <w:sz w:val="20"/>
                <w:szCs w:val="20"/>
                <w:color w:val="auto"/>
              </w:rPr>
            </w:pPr>
            <w:r>
              <w:rPr>
                <w:rFonts w:ascii="Arial" w:cs="Arial" w:eastAsia="Arial" w:hAnsi="Arial"/>
                <w:sz w:val="13"/>
                <w:szCs w:val="13"/>
                <w:b w:val="1"/>
                <w:bCs w:val="1"/>
                <w:color w:val="23628F"/>
              </w:rPr>
              <w:t>Michael D. Cordano</w:t>
            </w:r>
          </w:p>
        </w:tc>
        <w:tc>
          <w:tcPr>
            <w:tcW w:w="12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33"/>
              <w:spacing w:after="0"/>
              <w:rPr>
                <w:sz w:val="20"/>
                <w:szCs w:val="20"/>
                <w:color w:val="auto"/>
              </w:rPr>
            </w:pPr>
            <w:r>
              <w:rPr>
                <w:rFonts w:ascii="Arial" w:cs="Arial" w:eastAsia="Arial" w:hAnsi="Arial"/>
                <w:sz w:val="13"/>
                <w:szCs w:val="13"/>
                <w:color w:val="auto"/>
              </w:rPr>
              <w:t>26,798</w:t>
            </w:r>
          </w:p>
        </w:tc>
        <w:tc>
          <w:tcPr>
            <w:tcW w:w="1080" w:type="dxa"/>
            <w:vAlign w:val="bottom"/>
          </w:tcPr>
          <w:p>
            <w:pPr>
              <w:jc w:val="right"/>
              <w:ind w:right="13"/>
              <w:spacing w:after="0"/>
              <w:rPr>
                <w:sz w:val="20"/>
                <w:szCs w:val="20"/>
                <w:color w:val="auto"/>
              </w:rPr>
            </w:pPr>
            <w:r>
              <w:rPr>
                <w:rFonts w:ascii="Arial" w:cs="Arial" w:eastAsia="Arial" w:hAnsi="Arial"/>
                <w:sz w:val="13"/>
                <w:szCs w:val="13"/>
                <w:color w:val="auto"/>
              </w:rPr>
              <w:t>1,486,011</w:t>
            </w:r>
          </w:p>
        </w:tc>
        <w:tc>
          <w:tcPr>
            <w:tcW w:w="0" w:type="dxa"/>
            <w:vAlign w:val="bottom"/>
          </w:tcPr>
          <w:p>
            <w:pPr>
              <w:spacing w:after="0"/>
              <w:rPr>
                <w:sz w:val="1"/>
                <w:szCs w:val="1"/>
                <w:color w:val="auto"/>
              </w:rPr>
            </w:pPr>
          </w:p>
        </w:tc>
      </w:tr>
      <w:tr>
        <w:trPr>
          <w:trHeight w:val="41"/>
        </w:trPr>
        <w:tc>
          <w:tcPr>
            <w:tcW w:w="6560" w:type="dxa"/>
            <w:vAlign w:val="bottom"/>
            <w:tcBorders>
              <w:bottom w:val="single" w:sz="8" w:color="959595"/>
            </w:tcBorders>
          </w:tcPr>
          <w:p>
            <w:pPr>
              <w:spacing w:after="0"/>
              <w:rPr>
                <w:sz w:val="3"/>
                <w:szCs w:val="3"/>
                <w:color w:val="auto"/>
              </w:rPr>
            </w:pPr>
          </w:p>
        </w:tc>
        <w:tc>
          <w:tcPr>
            <w:tcW w:w="1240" w:type="dxa"/>
            <w:vAlign w:val="bottom"/>
            <w:tcBorders>
              <w:bottom w:val="single" w:sz="8" w:color="959595"/>
            </w:tcBorders>
          </w:tcPr>
          <w:p>
            <w:pPr>
              <w:spacing w:after="0"/>
              <w:rPr>
                <w:sz w:val="3"/>
                <w:szCs w:val="3"/>
                <w:color w:val="auto"/>
              </w:rPr>
            </w:pPr>
          </w:p>
        </w:tc>
        <w:tc>
          <w:tcPr>
            <w:tcW w:w="1120" w:type="dxa"/>
            <w:vAlign w:val="bottom"/>
            <w:tcBorders>
              <w:bottom w:val="single" w:sz="8" w:color="959595"/>
            </w:tcBorders>
          </w:tcPr>
          <w:p>
            <w:pPr>
              <w:spacing w:after="0"/>
              <w:rPr>
                <w:sz w:val="3"/>
                <w:szCs w:val="3"/>
                <w:color w:val="auto"/>
              </w:rPr>
            </w:pPr>
          </w:p>
        </w:tc>
        <w:tc>
          <w:tcPr>
            <w:tcW w:w="124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00" w:right="40" w:hanging="292"/>
        <w:spacing w:after="0" w:line="238" w:lineRule="auto"/>
        <w:tabs>
          <w:tab w:leader="none" w:pos="300" w:val="left"/>
        </w:tabs>
        <w:numPr>
          <w:ilvl w:val="0"/>
          <w:numId w:val="205"/>
        </w:numPr>
        <w:rPr>
          <w:rFonts w:ascii="Arial" w:cs="Arial" w:eastAsia="Arial" w:hAnsi="Arial"/>
          <w:sz w:val="11"/>
          <w:szCs w:val="11"/>
          <w:color w:val="auto"/>
        </w:rPr>
      </w:pPr>
      <w:r>
        <w:rPr>
          <w:rFonts w:ascii="Arial" w:cs="Arial" w:eastAsia="Arial" w:hAnsi="Arial"/>
          <w:sz w:val="13"/>
          <w:szCs w:val="13"/>
          <w:color w:val="auto"/>
        </w:rPr>
        <w:t>The amount shown for value realized on exercise of stock options equals (i) the number of shares of our common stock to which the exercise of the stock option related, multiplied by (ii) the difference between the per-share market price of the shares on the date of exercise and the per-share exercise price of the option. If the stock acquired upon exercise was sold on the day of exercise, the market price was determined as the actual sales price of the stock. If the stock acquired upon exercise was not sold on the day of exercise, the market price was determined as the closing price of our common stock on the Nasdaq Stock Market on the exercise date.</w:t>
      </w:r>
    </w:p>
    <w:p>
      <w:pPr>
        <w:spacing w:after="0" w:line="1" w:lineRule="exact"/>
        <w:rPr>
          <w:rFonts w:ascii="Arial" w:cs="Arial" w:eastAsia="Arial" w:hAnsi="Arial"/>
          <w:sz w:val="11"/>
          <w:szCs w:val="11"/>
          <w:color w:val="auto"/>
        </w:rPr>
      </w:pPr>
    </w:p>
    <w:p>
      <w:pPr>
        <w:ind w:left="300" w:hanging="292"/>
        <w:spacing w:after="0" w:line="248" w:lineRule="auto"/>
        <w:tabs>
          <w:tab w:leader="none" w:pos="300" w:val="left"/>
        </w:tabs>
        <w:numPr>
          <w:ilvl w:val="0"/>
          <w:numId w:val="205"/>
        </w:numPr>
        <w:rPr>
          <w:rFonts w:ascii="Arial" w:cs="Arial" w:eastAsia="Arial" w:hAnsi="Arial"/>
          <w:sz w:val="11"/>
          <w:szCs w:val="11"/>
          <w:color w:val="auto"/>
        </w:rPr>
      </w:pPr>
      <w:r>
        <w:rPr>
          <w:rFonts w:ascii="Arial" w:cs="Arial" w:eastAsia="Arial" w:hAnsi="Arial"/>
          <w:sz w:val="13"/>
          <w:szCs w:val="13"/>
          <w:color w:val="auto"/>
        </w:rPr>
        <w:t>The amount shown for the value realized on the vesting of stock awards equals the number of shares of our common stock vested during fiscal 2020 under the stock awards granted to the named executive officer (and corresponding dividend equivalents) multiplied by the closing price of our common stock on the Nasdaq Stock Market on the applicable vesting date (or, for PSUs, the applicable payment date) of the awards.</w:t>
      </w:r>
    </w:p>
    <w:p>
      <w:pPr>
        <w:spacing w:after="0" w:line="194" w:lineRule="exact"/>
        <w:rPr>
          <w:sz w:val="20"/>
          <w:szCs w:val="20"/>
          <w:color w:val="auto"/>
        </w:rPr>
      </w:pPr>
    </w:p>
    <w:p>
      <w:pPr>
        <w:ind w:left="440" w:hanging="432"/>
        <w:spacing w:after="0"/>
        <w:tabs>
          <w:tab w:leader="none" w:pos="440" w:val="left"/>
        </w:tabs>
        <w:numPr>
          <w:ilvl w:val="0"/>
          <w:numId w:val="206"/>
        </w:numPr>
        <w:rPr>
          <w:rFonts w:ascii="Arial" w:cs="Arial" w:eastAsia="Arial" w:hAnsi="Arial"/>
          <w:sz w:val="18"/>
          <w:szCs w:val="18"/>
          <w:b w:val="1"/>
          <w:bCs w:val="1"/>
          <w:color w:val="23628F"/>
        </w:rPr>
      </w:pPr>
      <w:r>
        <w:rPr>
          <w:rFonts w:ascii="Arial" w:cs="Arial" w:eastAsia="Arial" w:hAnsi="Arial"/>
          <w:sz w:val="13"/>
          <w:szCs w:val="13"/>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153275" cy="209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ind w:left="8260"/>
        <w:spacing w:after="0"/>
        <w:rPr>
          <w:sz w:val="20"/>
          <w:szCs w:val="20"/>
          <w:color w:val="auto"/>
        </w:rPr>
      </w:pPr>
      <w:r>
        <w:rPr>
          <w:rFonts w:ascii="Arial" w:cs="Arial" w:eastAsia="Arial" w:hAnsi="Arial"/>
          <w:sz w:val="13"/>
          <w:szCs w:val="13"/>
          <w:color w:val="23628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234440" cy="6858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34440" cy="68580"/>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FISCAL 2020 NON-QUALIFIED DEFERRED COMPENSATION TABLE</w:t>
      </w:r>
    </w:p>
    <w:p>
      <w:pPr>
        <w:spacing w:after="0" w:line="252" w:lineRule="exact"/>
        <w:rPr>
          <w:sz w:val="20"/>
          <w:szCs w:val="20"/>
          <w:color w:val="auto"/>
        </w:rPr>
      </w:pPr>
    </w:p>
    <w:p>
      <w:pPr>
        <w:ind w:right="360"/>
        <w:spacing w:after="0" w:line="258" w:lineRule="auto"/>
        <w:rPr>
          <w:sz w:val="20"/>
          <w:szCs w:val="20"/>
          <w:color w:val="auto"/>
        </w:rPr>
      </w:pPr>
      <w:r>
        <w:rPr>
          <w:rFonts w:ascii="Arial" w:cs="Arial" w:eastAsia="Arial" w:hAnsi="Arial"/>
          <w:sz w:val="13"/>
          <w:szCs w:val="13"/>
          <w:color w:val="auto"/>
        </w:rPr>
        <w:t>The following table presents information regarding the contributions to, investment earnings, distributions and total value of our named executive officers’ balances under our Deferred Compensation Plan during fiscal 2020, including as to RSUs that vested but as to which payment was deferred.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4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Executive</w:t>
            </w:r>
          </w:p>
        </w:tc>
        <w:tc>
          <w:tcPr>
            <w:tcW w:w="120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Registrant</w:t>
            </w:r>
          </w:p>
        </w:tc>
        <w:tc>
          <w:tcPr>
            <w:tcW w:w="900" w:type="dxa"/>
            <w:vAlign w:val="bottom"/>
            <w:tcBorders>
              <w:right w:val="single" w:sz="8" w:color="auto"/>
            </w:tcBorders>
          </w:tcPr>
          <w:p>
            <w:pPr>
              <w:jc w:val="right"/>
              <w:ind w:right="14"/>
              <w:spacing w:after="0"/>
              <w:rPr>
                <w:sz w:val="20"/>
                <w:szCs w:val="20"/>
                <w:color w:val="auto"/>
              </w:rPr>
            </w:pPr>
            <w:r>
              <w:rPr>
                <w:rFonts w:ascii="Arial" w:cs="Arial" w:eastAsia="Arial" w:hAnsi="Arial"/>
                <w:sz w:val="13"/>
                <w:szCs w:val="13"/>
                <w:b w:val="1"/>
                <w:bCs w:val="1"/>
                <w:color w:val="auto"/>
              </w:rPr>
              <w:t>Aggregate</w:t>
            </w:r>
          </w:p>
        </w:tc>
        <w:tc>
          <w:tcPr>
            <w:tcW w:w="100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Aggregate</w:t>
            </w:r>
          </w:p>
        </w:tc>
        <w:tc>
          <w:tcPr>
            <w:tcW w:w="900" w:type="dxa"/>
            <w:vAlign w:val="bottom"/>
          </w:tcPr>
          <w:p>
            <w:pPr>
              <w:jc w:val="right"/>
              <w:ind w:right="14"/>
              <w:spacing w:after="0"/>
              <w:rPr>
                <w:sz w:val="20"/>
                <w:szCs w:val="20"/>
                <w:color w:val="auto"/>
              </w:rPr>
            </w:pPr>
            <w:r>
              <w:rPr>
                <w:rFonts w:ascii="Arial" w:cs="Arial" w:eastAsia="Arial" w:hAnsi="Arial"/>
                <w:sz w:val="13"/>
                <w:szCs w:val="13"/>
                <w:b w:val="1"/>
                <w:bCs w:val="1"/>
                <w:color w:val="auto"/>
              </w:rPr>
              <w:t>Aggregate</w:t>
            </w:r>
          </w:p>
        </w:tc>
      </w:tr>
      <w:tr>
        <w:trPr>
          <w:trHeight w:val="148"/>
        </w:trPr>
        <w:tc>
          <w:tcPr>
            <w:tcW w:w="604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Contributions in</w:t>
            </w:r>
          </w:p>
        </w:tc>
        <w:tc>
          <w:tcPr>
            <w:tcW w:w="120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Contributions in</w:t>
            </w:r>
          </w:p>
        </w:tc>
        <w:tc>
          <w:tcPr>
            <w:tcW w:w="900" w:type="dxa"/>
            <w:vAlign w:val="bottom"/>
            <w:tcBorders>
              <w:right w:val="single" w:sz="8" w:color="auto"/>
            </w:tcBorders>
          </w:tcPr>
          <w:p>
            <w:pPr>
              <w:jc w:val="right"/>
              <w:ind w:right="14"/>
              <w:spacing w:after="0"/>
              <w:rPr>
                <w:sz w:val="20"/>
                <w:szCs w:val="20"/>
                <w:color w:val="auto"/>
              </w:rPr>
            </w:pPr>
            <w:r>
              <w:rPr>
                <w:rFonts w:ascii="Arial" w:cs="Arial" w:eastAsia="Arial" w:hAnsi="Arial"/>
                <w:sz w:val="13"/>
                <w:szCs w:val="13"/>
                <w:b w:val="1"/>
                <w:bCs w:val="1"/>
                <w:color w:val="auto"/>
              </w:rPr>
              <w:t>Earnings in</w:t>
            </w:r>
          </w:p>
        </w:tc>
        <w:tc>
          <w:tcPr>
            <w:tcW w:w="100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Withdrawals/</w:t>
            </w:r>
          </w:p>
        </w:tc>
        <w:tc>
          <w:tcPr>
            <w:tcW w:w="900" w:type="dxa"/>
            <w:vAlign w:val="bottom"/>
          </w:tcPr>
          <w:p>
            <w:pPr>
              <w:jc w:val="right"/>
              <w:ind w:right="14"/>
              <w:spacing w:after="0"/>
              <w:rPr>
                <w:sz w:val="20"/>
                <w:szCs w:val="20"/>
                <w:color w:val="auto"/>
              </w:rPr>
            </w:pPr>
            <w:r>
              <w:rPr>
                <w:rFonts w:ascii="Arial" w:cs="Arial" w:eastAsia="Arial" w:hAnsi="Arial"/>
                <w:sz w:val="13"/>
                <w:szCs w:val="13"/>
                <w:b w:val="1"/>
                <w:bCs w:val="1"/>
                <w:color w:val="auto"/>
              </w:rPr>
              <w:t>Balance at</w:t>
            </w:r>
          </w:p>
        </w:tc>
      </w:tr>
      <w:tr>
        <w:trPr>
          <w:trHeight w:val="148"/>
        </w:trPr>
        <w:tc>
          <w:tcPr>
            <w:tcW w:w="6040" w:type="dxa"/>
            <w:vAlign w:val="bottom"/>
            <w:tcBorders>
              <w:right w:val="single" w:sz="8" w:color="auto"/>
            </w:tcBorders>
          </w:tcPr>
          <w:p>
            <w:pPr>
              <w:spacing w:after="0"/>
              <w:rPr>
                <w:sz w:val="12"/>
                <w:szCs w:val="12"/>
                <w:color w:val="auto"/>
              </w:rPr>
            </w:pPr>
          </w:p>
        </w:tc>
        <w:tc>
          <w:tcPr>
            <w:tcW w:w="120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Fiscal 2020</w:t>
            </w:r>
          </w:p>
        </w:tc>
        <w:tc>
          <w:tcPr>
            <w:tcW w:w="120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Fiscal 2020</w:t>
            </w:r>
          </w:p>
        </w:tc>
        <w:tc>
          <w:tcPr>
            <w:tcW w:w="900" w:type="dxa"/>
            <w:vAlign w:val="bottom"/>
            <w:tcBorders>
              <w:right w:val="single" w:sz="8" w:color="auto"/>
            </w:tcBorders>
          </w:tcPr>
          <w:p>
            <w:pPr>
              <w:jc w:val="right"/>
              <w:ind w:right="14"/>
              <w:spacing w:after="0"/>
              <w:rPr>
                <w:sz w:val="20"/>
                <w:szCs w:val="20"/>
                <w:color w:val="auto"/>
              </w:rPr>
            </w:pPr>
            <w:r>
              <w:rPr>
                <w:rFonts w:ascii="Arial" w:cs="Arial" w:eastAsia="Arial" w:hAnsi="Arial"/>
                <w:sz w:val="13"/>
                <w:szCs w:val="13"/>
                <w:b w:val="1"/>
                <w:bCs w:val="1"/>
                <w:color w:val="auto"/>
              </w:rPr>
              <w:t>Fiscal 2020</w:t>
            </w:r>
          </w:p>
        </w:tc>
        <w:tc>
          <w:tcPr>
            <w:tcW w:w="100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Distributions</w:t>
            </w:r>
          </w:p>
        </w:tc>
        <w:tc>
          <w:tcPr>
            <w:tcW w:w="900" w:type="dxa"/>
            <w:vAlign w:val="bottom"/>
          </w:tcPr>
          <w:p>
            <w:pPr>
              <w:jc w:val="right"/>
              <w:ind w:right="14"/>
              <w:spacing w:after="0"/>
              <w:rPr>
                <w:sz w:val="20"/>
                <w:szCs w:val="20"/>
                <w:color w:val="auto"/>
              </w:rPr>
            </w:pPr>
            <w:r>
              <w:rPr>
                <w:rFonts w:ascii="Arial" w:cs="Arial" w:eastAsia="Arial" w:hAnsi="Arial"/>
                <w:sz w:val="13"/>
                <w:szCs w:val="13"/>
                <w:b w:val="1"/>
                <w:bCs w:val="1"/>
                <w:color w:val="auto"/>
              </w:rPr>
              <w:t>July 3, 2020</w:t>
            </w:r>
          </w:p>
        </w:tc>
      </w:tr>
      <w:tr>
        <w:trPr>
          <w:trHeight w:val="203"/>
        </w:trPr>
        <w:tc>
          <w:tcPr>
            <w:tcW w:w="60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rPr>
              <w:t>Name</w:t>
            </w:r>
          </w:p>
        </w:tc>
        <w:tc>
          <w:tcPr>
            <w:tcW w:w="120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w:t>
            </w:r>
          </w:p>
        </w:tc>
        <w:tc>
          <w:tcPr>
            <w:tcW w:w="120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w:t>
            </w:r>
          </w:p>
        </w:tc>
        <w:tc>
          <w:tcPr>
            <w:tcW w:w="900" w:type="dxa"/>
            <w:vAlign w:val="bottom"/>
            <w:tcBorders>
              <w:bottom w:val="single" w:sz="8" w:color="auto"/>
              <w:right w:val="single" w:sz="8" w:color="auto"/>
            </w:tcBorders>
          </w:tcPr>
          <w:p>
            <w:pPr>
              <w:jc w:val="right"/>
              <w:ind w:right="14"/>
              <w:spacing w:after="0" w:line="202"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10"/>
                <w:szCs w:val="10"/>
                <w:b w:val="1"/>
                <w:bCs w:val="1"/>
                <w:color w:val="auto"/>
              </w:rPr>
              <w:t>(1)</w:t>
            </w:r>
          </w:p>
        </w:tc>
        <w:tc>
          <w:tcPr>
            <w:tcW w:w="100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w:t>
            </w:r>
          </w:p>
        </w:tc>
        <w:tc>
          <w:tcPr>
            <w:tcW w:w="900" w:type="dxa"/>
            <w:vAlign w:val="bottom"/>
            <w:tcBorders>
              <w:bottom w:val="single" w:sz="8" w:color="auto"/>
            </w:tcBorders>
          </w:tcPr>
          <w:p>
            <w:pPr>
              <w:jc w:val="right"/>
              <w:ind w:right="14"/>
              <w:spacing w:after="0" w:line="202"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10"/>
                <w:szCs w:val="10"/>
                <w:b w:val="1"/>
                <w:bCs w:val="1"/>
                <w:color w:val="auto"/>
              </w:rPr>
              <w:t>(2)</w:t>
            </w:r>
          </w:p>
        </w:tc>
      </w:tr>
      <w:tr>
        <w:trPr>
          <w:trHeight w:val="196"/>
        </w:trPr>
        <w:tc>
          <w:tcPr>
            <w:tcW w:w="6040" w:type="dxa"/>
            <w:vAlign w:val="bottom"/>
          </w:tcPr>
          <w:p>
            <w:pPr>
              <w:ind w:left="80"/>
              <w:spacing w:after="0"/>
              <w:rPr>
                <w:sz w:val="20"/>
                <w:szCs w:val="20"/>
                <w:color w:val="auto"/>
              </w:rPr>
            </w:pPr>
            <w:r>
              <w:rPr>
                <w:rFonts w:ascii="Arial" w:cs="Arial" w:eastAsia="Arial" w:hAnsi="Arial"/>
                <w:sz w:val="13"/>
                <w:szCs w:val="13"/>
                <w:b w:val="1"/>
                <w:bCs w:val="1"/>
                <w:color w:val="23628F"/>
              </w:rPr>
              <w:t>David V. Goeckeler</w:t>
            </w:r>
          </w:p>
        </w:tc>
        <w:tc>
          <w:tcPr>
            <w:tcW w:w="1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4"/>
              <w:spacing w:after="0"/>
              <w:rPr>
                <w:sz w:val="20"/>
                <w:szCs w:val="20"/>
                <w:color w:val="auto"/>
              </w:rPr>
            </w:pPr>
            <w:r>
              <w:rPr>
                <w:rFonts w:ascii="Arial" w:cs="Arial" w:eastAsia="Arial" w:hAnsi="Arial"/>
                <w:sz w:val="13"/>
                <w:szCs w:val="13"/>
                <w:color w:val="auto"/>
              </w:rPr>
              <w:t>—</w:t>
            </w:r>
          </w:p>
        </w:tc>
      </w:tr>
      <w:tr>
        <w:trPr>
          <w:trHeight w:val="41"/>
        </w:trPr>
        <w:tc>
          <w:tcPr>
            <w:tcW w:w="6040" w:type="dxa"/>
            <w:vAlign w:val="bottom"/>
            <w:tcBorders>
              <w:bottom w:val="single" w:sz="8" w:color="959595"/>
            </w:tcBorders>
          </w:tcPr>
          <w:p>
            <w:pPr>
              <w:spacing w:after="0"/>
              <w:rPr>
                <w:sz w:val="3"/>
                <w:szCs w:val="3"/>
                <w:color w:val="auto"/>
              </w:rPr>
            </w:pPr>
          </w:p>
        </w:tc>
        <w:tc>
          <w:tcPr>
            <w:tcW w:w="1200" w:type="dxa"/>
            <w:vAlign w:val="bottom"/>
            <w:tcBorders>
              <w:bottom w:val="single" w:sz="8" w:color="959595"/>
            </w:tcBorders>
          </w:tcPr>
          <w:p>
            <w:pPr>
              <w:spacing w:after="0"/>
              <w:rPr>
                <w:sz w:val="3"/>
                <w:szCs w:val="3"/>
                <w:color w:val="auto"/>
              </w:rPr>
            </w:pPr>
          </w:p>
        </w:tc>
        <w:tc>
          <w:tcPr>
            <w:tcW w:w="1200" w:type="dxa"/>
            <w:vAlign w:val="bottom"/>
            <w:tcBorders>
              <w:bottom w:val="single" w:sz="8" w:color="959595"/>
            </w:tcBorders>
          </w:tcPr>
          <w:p>
            <w:pPr>
              <w:spacing w:after="0"/>
              <w:rPr>
                <w:sz w:val="3"/>
                <w:szCs w:val="3"/>
                <w:color w:val="auto"/>
              </w:rPr>
            </w:pPr>
          </w:p>
        </w:tc>
        <w:tc>
          <w:tcPr>
            <w:tcW w:w="900" w:type="dxa"/>
            <w:vAlign w:val="bottom"/>
            <w:tcBorders>
              <w:bottom w:val="single" w:sz="8" w:color="959595"/>
            </w:tcBorders>
          </w:tcPr>
          <w:p>
            <w:pPr>
              <w:spacing w:after="0"/>
              <w:rPr>
                <w:sz w:val="3"/>
                <w:szCs w:val="3"/>
                <w:color w:val="auto"/>
              </w:rPr>
            </w:pPr>
          </w:p>
        </w:tc>
        <w:tc>
          <w:tcPr>
            <w:tcW w:w="1000" w:type="dxa"/>
            <w:vAlign w:val="bottom"/>
            <w:tcBorders>
              <w:bottom w:val="single" w:sz="8" w:color="959595"/>
            </w:tcBorders>
          </w:tcPr>
          <w:p>
            <w:pPr>
              <w:spacing w:after="0"/>
              <w:rPr>
                <w:sz w:val="3"/>
                <w:szCs w:val="3"/>
                <w:color w:val="auto"/>
              </w:rPr>
            </w:pPr>
          </w:p>
        </w:tc>
        <w:tc>
          <w:tcPr>
            <w:tcW w:w="900" w:type="dxa"/>
            <w:vAlign w:val="bottom"/>
            <w:tcBorders>
              <w:bottom w:val="single" w:sz="8" w:color="959595"/>
            </w:tcBorders>
          </w:tcPr>
          <w:p>
            <w:pPr>
              <w:spacing w:after="0"/>
              <w:rPr>
                <w:sz w:val="3"/>
                <w:szCs w:val="3"/>
                <w:color w:val="auto"/>
              </w:rPr>
            </w:pPr>
          </w:p>
        </w:tc>
      </w:tr>
      <w:tr>
        <w:trPr>
          <w:trHeight w:val="195"/>
        </w:trPr>
        <w:tc>
          <w:tcPr>
            <w:tcW w:w="6040" w:type="dxa"/>
            <w:vAlign w:val="bottom"/>
          </w:tcPr>
          <w:p>
            <w:pPr>
              <w:ind w:left="80"/>
              <w:spacing w:after="0"/>
              <w:rPr>
                <w:sz w:val="20"/>
                <w:szCs w:val="20"/>
                <w:color w:val="auto"/>
              </w:rPr>
            </w:pPr>
            <w:r>
              <w:rPr>
                <w:rFonts w:ascii="Arial" w:cs="Arial" w:eastAsia="Arial" w:hAnsi="Arial"/>
                <w:sz w:val="13"/>
                <w:szCs w:val="13"/>
                <w:b w:val="1"/>
                <w:bCs w:val="1"/>
                <w:color w:val="23628F"/>
              </w:rPr>
              <w:t>Robert K. Eulau</w:t>
            </w:r>
          </w:p>
        </w:tc>
        <w:tc>
          <w:tcPr>
            <w:tcW w:w="1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4"/>
              <w:spacing w:after="0"/>
              <w:rPr>
                <w:sz w:val="20"/>
                <w:szCs w:val="20"/>
                <w:color w:val="auto"/>
              </w:rPr>
            </w:pPr>
            <w:r>
              <w:rPr>
                <w:rFonts w:ascii="Arial" w:cs="Arial" w:eastAsia="Arial" w:hAnsi="Arial"/>
                <w:sz w:val="13"/>
                <w:szCs w:val="13"/>
                <w:color w:val="auto"/>
              </w:rPr>
              <w:t>—</w:t>
            </w:r>
          </w:p>
        </w:tc>
      </w:tr>
      <w:tr>
        <w:trPr>
          <w:trHeight w:val="41"/>
        </w:trPr>
        <w:tc>
          <w:tcPr>
            <w:tcW w:w="6040" w:type="dxa"/>
            <w:vAlign w:val="bottom"/>
            <w:tcBorders>
              <w:bottom w:val="single" w:sz="8" w:color="959595"/>
            </w:tcBorders>
          </w:tcPr>
          <w:p>
            <w:pPr>
              <w:spacing w:after="0"/>
              <w:rPr>
                <w:sz w:val="3"/>
                <w:szCs w:val="3"/>
                <w:color w:val="auto"/>
              </w:rPr>
            </w:pPr>
          </w:p>
        </w:tc>
        <w:tc>
          <w:tcPr>
            <w:tcW w:w="1200" w:type="dxa"/>
            <w:vAlign w:val="bottom"/>
            <w:tcBorders>
              <w:bottom w:val="single" w:sz="8" w:color="959595"/>
            </w:tcBorders>
          </w:tcPr>
          <w:p>
            <w:pPr>
              <w:spacing w:after="0"/>
              <w:rPr>
                <w:sz w:val="3"/>
                <w:szCs w:val="3"/>
                <w:color w:val="auto"/>
              </w:rPr>
            </w:pPr>
          </w:p>
        </w:tc>
        <w:tc>
          <w:tcPr>
            <w:tcW w:w="1200" w:type="dxa"/>
            <w:vAlign w:val="bottom"/>
            <w:tcBorders>
              <w:bottom w:val="single" w:sz="8" w:color="959595"/>
            </w:tcBorders>
          </w:tcPr>
          <w:p>
            <w:pPr>
              <w:spacing w:after="0"/>
              <w:rPr>
                <w:sz w:val="3"/>
                <w:szCs w:val="3"/>
                <w:color w:val="auto"/>
              </w:rPr>
            </w:pPr>
          </w:p>
        </w:tc>
        <w:tc>
          <w:tcPr>
            <w:tcW w:w="900" w:type="dxa"/>
            <w:vAlign w:val="bottom"/>
            <w:tcBorders>
              <w:bottom w:val="single" w:sz="8" w:color="959595"/>
            </w:tcBorders>
          </w:tcPr>
          <w:p>
            <w:pPr>
              <w:spacing w:after="0"/>
              <w:rPr>
                <w:sz w:val="3"/>
                <w:szCs w:val="3"/>
                <w:color w:val="auto"/>
              </w:rPr>
            </w:pPr>
          </w:p>
        </w:tc>
        <w:tc>
          <w:tcPr>
            <w:tcW w:w="1000" w:type="dxa"/>
            <w:vAlign w:val="bottom"/>
            <w:tcBorders>
              <w:bottom w:val="single" w:sz="8" w:color="959595"/>
            </w:tcBorders>
          </w:tcPr>
          <w:p>
            <w:pPr>
              <w:spacing w:after="0"/>
              <w:rPr>
                <w:sz w:val="3"/>
                <w:szCs w:val="3"/>
                <w:color w:val="auto"/>
              </w:rPr>
            </w:pPr>
          </w:p>
        </w:tc>
        <w:tc>
          <w:tcPr>
            <w:tcW w:w="900" w:type="dxa"/>
            <w:vAlign w:val="bottom"/>
            <w:tcBorders>
              <w:bottom w:val="single" w:sz="8" w:color="959595"/>
            </w:tcBorders>
          </w:tcPr>
          <w:p>
            <w:pPr>
              <w:spacing w:after="0"/>
              <w:rPr>
                <w:sz w:val="3"/>
                <w:szCs w:val="3"/>
                <w:color w:val="auto"/>
              </w:rPr>
            </w:pPr>
          </w:p>
        </w:tc>
      </w:tr>
      <w:tr>
        <w:trPr>
          <w:trHeight w:val="195"/>
        </w:trPr>
        <w:tc>
          <w:tcPr>
            <w:tcW w:w="6040" w:type="dxa"/>
            <w:vAlign w:val="bottom"/>
          </w:tcPr>
          <w:p>
            <w:pPr>
              <w:ind w:left="80"/>
              <w:spacing w:after="0"/>
              <w:rPr>
                <w:sz w:val="20"/>
                <w:szCs w:val="20"/>
                <w:color w:val="auto"/>
              </w:rPr>
            </w:pPr>
            <w:r>
              <w:rPr>
                <w:rFonts w:ascii="Arial" w:cs="Arial" w:eastAsia="Arial" w:hAnsi="Arial"/>
                <w:sz w:val="13"/>
                <w:szCs w:val="13"/>
                <w:b w:val="1"/>
                <w:bCs w:val="1"/>
                <w:color w:val="23628F"/>
              </w:rPr>
              <w:t>Srinivasan Sivaram</w:t>
            </w:r>
          </w:p>
        </w:tc>
        <w:tc>
          <w:tcPr>
            <w:tcW w:w="1200" w:type="dxa"/>
            <w:vAlign w:val="bottom"/>
          </w:tcPr>
          <w:p>
            <w:pPr>
              <w:jc w:val="right"/>
              <w:ind w:right="33"/>
              <w:spacing w:after="0"/>
              <w:rPr>
                <w:sz w:val="20"/>
                <w:szCs w:val="20"/>
                <w:color w:val="auto"/>
              </w:rPr>
            </w:pPr>
            <w:r>
              <w:rPr>
                <w:rFonts w:ascii="Arial" w:cs="Arial" w:eastAsia="Arial" w:hAnsi="Arial"/>
                <w:sz w:val="13"/>
                <w:szCs w:val="13"/>
                <w:color w:val="auto"/>
              </w:rPr>
              <w:t>230,000</w:t>
            </w:r>
          </w:p>
        </w:tc>
        <w:tc>
          <w:tcPr>
            <w:tcW w:w="1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4"/>
              <w:spacing w:after="0"/>
              <w:rPr>
                <w:sz w:val="20"/>
                <w:szCs w:val="20"/>
                <w:color w:val="auto"/>
              </w:rPr>
            </w:pPr>
            <w:r>
              <w:rPr>
                <w:rFonts w:ascii="Arial" w:cs="Arial" w:eastAsia="Arial" w:hAnsi="Arial"/>
                <w:sz w:val="13"/>
                <w:szCs w:val="13"/>
                <w:color w:val="auto"/>
              </w:rPr>
              <w:t>65,803</w:t>
            </w:r>
          </w:p>
        </w:tc>
        <w:tc>
          <w:tcPr>
            <w:tcW w:w="1000" w:type="dxa"/>
            <w:vAlign w:val="bottom"/>
          </w:tcPr>
          <w:p>
            <w:pPr>
              <w:jc w:val="right"/>
              <w:ind w:right="13"/>
              <w:spacing w:after="0"/>
              <w:rPr>
                <w:sz w:val="20"/>
                <w:szCs w:val="20"/>
                <w:color w:val="auto"/>
              </w:rPr>
            </w:pPr>
            <w:r>
              <w:rPr>
                <w:rFonts w:ascii="Arial" w:cs="Arial" w:eastAsia="Arial" w:hAnsi="Arial"/>
                <w:sz w:val="13"/>
                <w:szCs w:val="13"/>
                <w:color w:val="auto"/>
              </w:rPr>
              <w:t>296,668</w:t>
            </w:r>
          </w:p>
        </w:tc>
        <w:tc>
          <w:tcPr>
            <w:tcW w:w="900" w:type="dxa"/>
            <w:vAlign w:val="bottom"/>
          </w:tcPr>
          <w:p>
            <w:pPr>
              <w:jc w:val="right"/>
              <w:ind w:right="14"/>
              <w:spacing w:after="0"/>
              <w:rPr>
                <w:sz w:val="20"/>
                <w:szCs w:val="20"/>
                <w:color w:val="auto"/>
              </w:rPr>
            </w:pPr>
            <w:r>
              <w:rPr>
                <w:rFonts w:ascii="Arial" w:cs="Arial" w:eastAsia="Arial" w:hAnsi="Arial"/>
                <w:sz w:val="13"/>
                <w:szCs w:val="13"/>
                <w:color w:val="auto"/>
              </w:rPr>
              <w:t>1,463,409</w:t>
            </w:r>
          </w:p>
        </w:tc>
      </w:tr>
      <w:tr>
        <w:trPr>
          <w:trHeight w:val="41"/>
        </w:trPr>
        <w:tc>
          <w:tcPr>
            <w:tcW w:w="6040" w:type="dxa"/>
            <w:vAlign w:val="bottom"/>
            <w:tcBorders>
              <w:bottom w:val="single" w:sz="8" w:color="959595"/>
            </w:tcBorders>
          </w:tcPr>
          <w:p>
            <w:pPr>
              <w:spacing w:after="0"/>
              <w:rPr>
                <w:sz w:val="3"/>
                <w:szCs w:val="3"/>
                <w:color w:val="auto"/>
              </w:rPr>
            </w:pPr>
          </w:p>
        </w:tc>
        <w:tc>
          <w:tcPr>
            <w:tcW w:w="1200" w:type="dxa"/>
            <w:vAlign w:val="bottom"/>
            <w:tcBorders>
              <w:bottom w:val="single" w:sz="8" w:color="959595"/>
            </w:tcBorders>
          </w:tcPr>
          <w:p>
            <w:pPr>
              <w:spacing w:after="0"/>
              <w:rPr>
                <w:sz w:val="3"/>
                <w:szCs w:val="3"/>
                <w:color w:val="auto"/>
              </w:rPr>
            </w:pPr>
          </w:p>
        </w:tc>
        <w:tc>
          <w:tcPr>
            <w:tcW w:w="1200" w:type="dxa"/>
            <w:vAlign w:val="bottom"/>
            <w:tcBorders>
              <w:bottom w:val="single" w:sz="8" w:color="959595"/>
            </w:tcBorders>
          </w:tcPr>
          <w:p>
            <w:pPr>
              <w:spacing w:after="0"/>
              <w:rPr>
                <w:sz w:val="3"/>
                <w:szCs w:val="3"/>
                <w:color w:val="auto"/>
              </w:rPr>
            </w:pPr>
          </w:p>
        </w:tc>
        <w:tc>
          <w:tcPr>
            <w:tcW w:w="900" w:type="dxa"/>
            <w:vAlign w:val="bottom"/>
            <w:tcBorders>
              <w:bottom w:val="single" w:sz="8" w:color="959595"/>
            </w:tcBorders>
          </w:tcPr>
          <w:p>
            <w:pPr>
              <w:spacing w:after="0"/>
              <w:rPr>
                <w:sz w:val="3"/>
                <w:szCs w:val="3"/>
                <w:color w:val="auto"/>
              </w:rPr>
            </w:pPr>
          </w:p>
        </w:tc>
        <w:tc>
          <w:tcPr>
            <w:tcW w:w="1000" w:type="dxa"/>
            <w:vAlign w:val="bottom"/>
            <w:tcBorders>
              <w:bottom w:val="single" w:sz="8" w:color="959595"/>
            </w:tcBorders>
          </w:tcPr>
          <w:p>
            <w:pPr>
              <w:spacing w:after="0"/>
              <w:rPr>
                <w:sz w:val="3"/>
                <w:szCs w:val="3"/>
                <w:color w:val="auto"/>
              </w:rPr>
            </w:pPr>
          </w:p>
        </w:tc>
        <w:tc>
          <w:tcPr>
            <w:tcW w:w="900" w:type="dxa"/>
            <w:vAlign w:val="bottom"/>
            <w:tcBorders>
              <w:bottom w:val="single" w:sz="8" w:color="959595"/>
            </w:tcBorders>
          </w:tcPr>
          <w:p>
            <w:pPr>
              <w:spacing w:after="0"/>
              <w:rPr>
                <w:sz w:val="3"/>
                <w:szCs w:val="3"/>
                <w:color w:val="auto"/>
              </w:rPr>
            </w:pPr>
          </w:p>
        </w:tc>
      </w:tr>
      <w:tr>
        <w:trPr>
          <w:trHeight w:val="196"/>
        </w:trPr>
        <w:tc>
          <w:tcPr>
            <w:tcW w:w="6040" w:type="dxa"/>
            <w:vAlign w:val="bottom"/>
          </w:tcPr>
          <w:p>
            <w:pPr>
              <w:ind w:left="80"/>
              <w:spacing w:after="0"/>
              <w:rPr>
                <w:sz w:val="20"/>
                <w:szCs w:val="20"/>
                <w:color w:val="auto"/>
              </w:rPr>
            </w:pPr>
            <w:r>
              <w:rPr>
                <w:rFonts w:ascii="Arial" w:cs="Arial" w:eastAsia="Arial" w:hAnsi="Arial"/>
                <w:sz w:val="13"/>
                <w:szCs w:val="13"/>
                <w:b w:val="1"/>
                <w:bCs w:val="1"/>
                <w:color w:val="23628F"/>
              </w:rPr>
              <w:t>Michael C. Ray</w:t>
            </w:r>
          </w:p>
        </w:tc>
        <w:tc>
          <w:tcPr>
            <w:tcW w:w="1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4"/>
              <w:spacing w:after="0"/>
              <w:rPr>
                <w:sz w:val="20"/>
                <w:szCs w:val="20"/>
                <w:color w:val="auto"/>
              </w:rPr>
            </w:pPr>
            <w:r>
              <w:rPr>
                <w:rFonts w:ascii="Arial" w:cs="Arial" w:eastAsia="Arial" w:hAnsi="Arial"/>
                <w:sz w:val="13"/>
                <w:szCs w:val="13"/>
                <w:color w:val="auto"/>
              </w:rPr>
              <w:t>—</w:t>
            </w:r>
          </w:p>
        </w:tc>
      </w:tr>
      <w:tr>
        <w:trPr>
          <w:trHeight w:val="41"/>
        </w:trPr>
        <w:tc>
          <w:tcPr>
            <w:tcW w:w="6040" w:type="dxa"/>
            <w:vAlign w:val="bottom"/>
            <w:tcBorders>
              <w:bottom w:val="single" w:sz="8" w:color="959595"/>
            </w:tcBorders>
          </w:tcPr>
          <w:p>
            <w:pPr>
              <w:spacing w:after="0"/>
              <w:rPr>
                <w:sz w:val="3"/>
                <w:szCs w:val="3"/>
                <w:color w:val="auto"/>
              </w:rPr>
            </w:pPr>
          </w:p>
        </w:tc>
        <w:tc>
          <w:tcPr>
            <w:tcW w:w="1200" w:type="dxa"/>
            <w:vAlign w:val="bottom"/>
            <w:tcBorders>
              <w:bottom w:val="single" w:sz="8" w:color="959595"/>
            </w:tcBorders>
          </w:tcPr>
          <w:p>
            <w:pPr>
              <w:spacing w:after="0"/>
              <w:rPr>
                <w:sz w:val="3"/>
                <w:szCs w:val="3"/>
                <w:color w:val="auto"/>
              </w:rPr>
            </w:pPr>
          </w:p>
        </w:tc>
        <w:tc>
          <w:tcPr>
            <w:tcW w:w="1200" w:type="dxa"/>
            <w:vAlign w:val="bottom"/>
            <w:tcBorders>
              <w:bottom w:val="single" w:sz="8" w:color="959595"/>
            </w:tcBorders>
          </w:tcPr>
          <w:p>
            <w:pPr>
              <w:spacing w:after="0"/>
              <w:rPr>
                <w:sz w:val="3"/>
                <w:szCs w:val="3"/>
                <w:color w:val="auto"/>
              </w:rPr>
            </w:pPr>
          </w:p>
        </w:tc>
        <w:tc>
          <w:tcPr>
            <w:tcW w:w="900" w:type="dxa"/>
            <w:vAlign w:val="bottom"/>
            <w:tcBorders>
              <w:bottom w:val="single" w:sz="8" w:color="959595"/>
            </w:tcBorders>
          </w:tcPr>
          <w:p>
            <w:pPr>
              <w:spacing w:after="0"/>
              <w:rPr>
                <w:sz w:val="3"/>
                <w:szCs w:val="3"/>
                <w:color w:val="auto"/>
              </w:rPr>
            </w:pPr>
          </w:p>
        </w:tc>
        <w:tc>
          <w:tcPr>
            <w:tcW w:w="1000" w:type="dxa"/>
            <w:vAlign w:val="bottom"/>
            <w:tcBorders>
              <w:bottom w:val="single" w:sz="8" w:color="959595"/>
            </w:tcBorders>
          </w:tcPr>
          <w:p>
            <w:pPr>
              <w:spacing w:after="0"/>
              <w:rPr>
                <w:sz w:val="3"/>
                <w:szCs w:val="3"/>
                <w:color w:val="auto"/>
              </w:rPr>
            </w:pPr>
          </w:p>
        </w:tc>
        <w:tc>
          <w:tcPr>
            <w:tcW w:w="900" w:type="dxa"/>
            <w:vAlign w:val="bottom"/>
            <w:tcBorders>
              <w:bottom w:val="single" w:sz="8" w:color="959595"/>
            </w:tcBorders>
          </w:tcPr>
          <w:p>
            <w:pPr>
              <w:spacing w:after="0"/>
              <w:rPr>
                <w:sz w:val="3"/>
                <w:szCs w:val="3"/>
                <w:color w:val="auto"/>
              </w:rPr>
            </w:pPr>
          </w:p>
        </w:tc>
      </w:tr>
      <w:tr>
        <w:trPr>
          <w:trHeight w:val="196"/>
        </w:trPr>
        <w:tc>
          <w:tcPr>
            <w:tcW w:w="6040" w:type="dxa"/>
            <w:vAlign w:val="bottom"/>
          </w:tcPr>
          <w:p>
            <w:pPr>
              <w:ind w:left="80"/>
              <w:spacing w:after="0"/>
              <w:rPr>
                <w:sz w:val="20"/>
                <w:szCs w:val="20"/>
                <w:color w:val="auto"/>
              </w:rPr>
            </w:pPr>
            <w:r>
              <w:rPr>
                <w:rFonts w:ascii="Arial" w:cs="Arial" w:eastAsia="Arial" w:hAnsi="Arial"/>
                <w:sz w:val="13"/>
                <w:szCs w:val="13"/>
                <w:b w:val="1"/>
                <w:bCs w:val="1"/>
                <w:color w:val="23628F"/>
              </w:rPr>
              <w:t>Lori S. Sundberg</w:t>
            </w:r>
          </w:p>
        </w:tc>
        <w:tc>
          <w:tcPr>
            <w:tcW w:w="1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4"/>
              <w:spacing w:after="0"/>
              <w:rPr>
                <w:sz w:val="20"/>
                <w:szCs w:val="20"/>
                <w:color w:val="auto"/>
              </w:rPr>
            </w:pPr>
            <w:r>
              <w:rPr>
                <w:rFonts w:ascii="Arial" w:cs="Arial" w:eastAsia="Arial" w:hAnsi="Arial"/>
                <w:sz w:val="13"/>
                <w:szCs w:val="13"/>
                <w:color w:val="auto"/>
              </w:rPr>
              <w:t>—</w:t>
            </w:r>
          </w:p>
        </w:tc>
      </w:tr>
      <w:tr>
        <w:trPr>
          <w:trHeight w:val="41"/>
        </w:trPr>
        <w:tc>
          <w:tcPr>
            <w:tcW w:w="6040" w:type="dxa"/>
            <w:vAlign w:val="bottom"/>
            <w:tcBorders>
              <w:bottom w:val="single" w:sz="8" w:color="959595"/>
            </w:tcBorders>
          </w:tcPr>
          <w:p>
            <w:pPr>
              <w:spacing w:after="0"/>
              <w:rPr>
                <w:sz w:val="3"/>
                <w:szCs w:val="3"/>
                <w:color w:val="auto"/>
              </w:rPr>
            </w:pPr>
          </w:p>
        </w:tc>
        <w:tc>
          <w:tcPr>
            <w:tcW w:w="1200" w:type="dxa"/>
            <w:vAlign w:val="bottom"/>
            <w:tcBorders>
              <w:bottom w:val="single" w:sz="8" w:color="959595"/>
            </w:tcBorders>
          </w:tcPr>
          <w:p>
            <w:pPr>
              <w:spacing w:after="0"/>
              <w:rPr>
                <w:sz w:val="3"/>
                <w:szCs w:val="3"/>
                <w:color w:val="auto"/>
              </w:rPr>
            </w:pPr>
          </w:p>
        </w:tc>
        <w:tc>
          <w:tcPr>
            <w:tcW w:w="1200" w:type="dxa"/>
            <w:vAlign w:val="bottom"/>
            <w:tcBorders>
              <w:bottom w:val="single" w:sz="8" w:color="959595"/>
            </w:tcBorders>
          </w:tcPr>
          <w:p>
            <w:pPr>
              <w:spacing w:after="0"/>
              <w:rPr>
                <w:sz w:val="3"/>
                <w:szCs w:val="3"/>
                <w:color w:val="auto"/>
              </w:rPr>
            </w:pPr>
          </w:p>
        </w:tc>
        <w:tc>
          <w:tcPr>
            <w:tcW w:w="900" w:type="dxa"/>
            <w:vAlign w:val="bottom"/>
            <w:tcBorders>
              <w:bottom w:val="single" w:sz="8" w:color="959595"/>
            </w:tcBorders>
          </w:tcPr>
          <w:p>
            <w:pPr>
              <w:spacing w:after="0"/>
              <w:rPr>
                <w:sz w:val="3"/>
                <w:szCs w:val="3"/>
                <w:color w:val="auto"/>
              </w:rPr>
            </w:pPr>
          </w:p>
        </w:tc>
        <w:tc>
          <w:tcPr>
            <w:tcW w:w="1000" w:type="dxa"/>
            <w:vAlign w:val="bottom"/>
            <w:tcBorders>
              <w:bottom w:val="single" w:sz="8" w:color="959595"/>
            </w:tcBorders>
          </w:tcPr>
          <w:p>
            <w:pPr>
              <w:spacing w:after="0"/>
              <w:rPr>
                <w:sz w:val="3"/>
                <w:szCs w:val="3"/>
                <w:color w:val="auto"/>
              </w:rPr>
            </w:pPr>
          </w:p>
        </w:tc>
        <w:tc>
          <w:tcPr>
            <w:tcW w:w="900" w:type="dxa"/>
            <w:vAlign w:val="bottom"/>
            <w:tcBorders>
              <w:bottom w:val="single" w:sz="8" w:color="959595"/>
            </w:tcBorders>
          </w:tcPr>
          <w:p>
            <w:pPr>
              <w:spacing w:after="0"/>
              <w:rPr>
                <w:sz w:val="3"/>
                <w:szCs w:val="3"/>
                <w:color w:val="auto"/>
              </w:rPr>
            </w:pPr>
          </w:p>
        </w:tc>
      </w:tr>
      <w:tr>
        <w:trPr>
          <w:trHeight w:val="195"/>
        </w:trPr>
        <w:tc>
          <w:tcPr>
            <w:tcW w:w="6040" w:type="dxa"/>
            <w:vAlign w:val="bottom"/>
          </w:tcPr>
          <w:p>
            <w:pPr>
              <w:ind w:left="80"/>
              <w:spacing w:after="0"/>
              <w:rPr>
                <w:sz w:val="20"/>
                <w:szCs w:val="20"/>
                <w:color w:val="auto"/>
              </w:rPr>
            </w:pPr>
            <w:r>
              <w:rPr>
                <w:rFonts w:ascii="Arial" w:cs="Arial" w:eastAsia="Arial" w:hAnsi="Arial"/>
                <w:sz w:val="13"/>
                <w:szCs w:val="13"/>
                <w:b w:val="1"/>
                <w:bCs w:val="1"/>
                <w:color w:val="23628F"/>
              </w:rPr>
              <w:t>Stephen D. Milligan</w:t>
            </w:r>
          </w:p>
        </w:tc>
        <w:tc>
          <w:tcPr>
            <w:tcW w:w="1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4"/>
              <w:spacing w:after="0"/>
              <w:rPr>
                <w:sz w:val="20"/>
                <w:szCs w:val="20"/>
                <w:color w:val="auto"/>
              </w:rPr>
            </w:pPr>
            <w:r>
              <w:rPr>
                <w:rFonts w:ascii="Arial" w:cs="Arial" w:eastAsia="Arial" w:hAnsi="Arial"/>
                <w:sz w:val="13"/>
                <w:szCs w:val="13"/>
                <w:color w:val="auto"/>
              </w:rPr>
              <w:t>64,449</w:t>
            </w:r>
          </w:p>
        </w:tc>
        <w:tc>
          <w:tcPr>
            <w:tcW w:w="10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4"/>
              <w:spacing w:after="0"/>
              <w:rPr>
                <w:sz w:val="20"/>
                <w:szCs w:val="20"/>
                <w:color w:val="auto"/>
              </w:rPr>
            </w:pPr>
            <w:r>
              <w:rPr>
                <w:rFonts w:ascii="Arial" w:cs="Arial" w:eastAsia="Arial" w:hAnsi="Arial"/>
                <w:sz w:val="13"/>
                <w:szCs w:val="13"/>
                <w:color w:val="auto"/>
              </w:rPr>
              <w:t>6,813,867</w:t>
            </w:r>
          </w:p>
        </w:tc>
      </w:tr>
      <w:tr>
        <w:trPr>
          <w:trHeight w:val="41"/>
        </w:trPr>
        <w:tc>
          <w:tcPr>
            <w:tcW w:w="6040" w:type="dxa"/>
            <w:vAlign w:val="bottom"/>
            <w:tcBorders>
              <w:bottom w:val="single" w:sz="8" w:color="959595"/>
            </w:tcBorders>
          </w:tcPr>
          <w:p>
            <w:pPr>
              <w:spacing w:after="0"/>
              <w:rPr>
                <w:sz w:val="3"/>
                <w:szCs w:val="3"/>
                <w:color w:val="auto"/>
              </w:rPr>
            </w:pPr>
          </w:p>
        </w:tc>
        <w:tc>
          <w:tcPr>
            <w:tcW w:w="1200" w:type="dxa"/>
            <w:vAlign w:val="bottom"/>
            <w:tcBorders>
              <w:bottom w:val="single" w:sz="8" w:color="959595"/>
            </w:tcBorders>
          </w:tcPr>
          <w:p>
            <w:pPr>
              <w:spacing w:after="0"/>
              <w:rPr>
                <w:sz w:val="3"/>
                <w:szCs w:val="3"/>
                <w:color w:val="auto"/>
              </w:rPr>
            </w:pPr>
          </w:p>
        </w:tc>
        <w:tc>
          <w:tcPr>
            <w:tcW w:w="1200" w:type="dxa"/>
            <w:vAlign w:val="bottom"/>
            <w:tcBorders>
              <w:bottom w:val="single" w:sz="8" w:color="959595"/>
            </w:tcBorders>
          </w:tcPr>
          <w:p>
            <w:pPr>
              <w:spacing w:after="0"/>
              <w:rPr>
                <w:sz w:val="3"/>
                <w:szCs w:val="3"/>
                <w:color w:val="auto"/>
              </w:rPr>
            </w:pPr>
          </w:p>
        </w:tc>
        <w:tc>
          <w:tcPr>
            <w:tcW w:w="900" w:type="dxa"/>
            <w:vAlign w:val="bottom"/>
            <w:tcBorders>
              <w:bottom w:val="single" w:sz="8" w:color="959595"/>
            </w:tcBorders>
          </w:tcPr>
          <w:p>
            <w:pPr>
              <w:spacing w:after="0"/>
              <w:rPr>
                <w:sz w:val="3"/>
                <w:szCs w:val="3"/>
                <w:color w:val="auto"/>
              </w:rPr>
            </w:pPr>
          </w:p>
        </w:tc>
        <w:tc>
          <w:tcPr>
            <w:tcW w:w="1000" w:type="dxa"/>
            <w:vAlign w:val="bottom"/>
            <w:tcBorders>
              <w:bottom w:val="single" w:sz="8" w:color="959595"/>
            </w:tcBorders>
          </w:tcPr>
          <w:p>
            <w:pPr>
              <w:spacing w:after="0"/>
              <w:rPr>
                <w:sz w:val="3"/>
                <w:szCs w:val="3"/>
                <w:color w:val="auto"/>
              </w:rPr>
            </w:pPr>
          </w:p>
        </w:tc>
        <w:tc>
          <w:tcPr>
            <w:tcW w:w="900" w:type="dxa"/>
            <w:vAlign w:val="bottom"/>
            <w:tcBorders>
              <w:bottom w:val="single" w:sz="8" w:color="959595"/>
            </w:tcBorders>
          </w:tcPr>
          <w:p>
            <w:pPr>
              <w:spacing w:after="0"/>
              <w:rPr>
                <w:sz w:val="3"/>
                <w:szCs w:val="3"/>
                <w:color w:val="auto"/>
              </w:rPr>
            </w:pPr>
          </w:p>
        </w:tc>
      </w:tr>
      <w:tr>
        <w:trPr>
          <w:trHeight w:val="195"/>
        </w:trPr>
        <w:tc>
          <w:tcPr>
            <w:tcW w:w="6040" w:type="dxa"/>
            <w:vAlign w:val="bottom"/>
          </w:tcPr>
          <w:p>
            <w:pPr>
              <w:ind w:left="80"/>
              <w:spacing w:after="0"/>
              <w:rPr>
                <w:sz w:val="20"/>
                <w:szCs w:val="20"/>
                <w:color w:val="auto"/>
              </w:rPr>
            </w:pPr>
            <w:r>
              <w:rPr>
                <w:rFonts w:ascii="Arial" w:cs="Arial" w:eastAsia="Arial" w:hAnsi="Arial"/>
                <w:sz w:val="13"/>
                <w:szCs w:val="13"/>
                <w:b w:val="1"/>
                <w:bCs w:val="1"/>
                <w:color w:val="23628F"/>
              </w:rPr>
              <w:t>Michael D. Cordano</w:t>
            </w:r>
          </w:p>
        </w:tc>
        <w:tc>
          <w:tcPr>
            <w:tcW w:w="1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4"/>
              <w:spacing w:after="0"/>
              <w:rPr>
                <w:sz w:val="20"/>
                <w:szCs w:val="20"/>
                <w:color w:val="auto"/>
              </w:rPr>
            </w:pPr>
            <w:r>
              <w:rPr>
                <w:rFonts w:ascii="Arial" w:cs="Arial" w:eastAsia="Arial" w:hAnsi="Arial"/>
                <w:sz w:val="13"/>
                <w:szCs w:val="13"/>
                <w:color w:val="auto"/>
              </w:rPr>
              <w:t>—</w:t>
            </w:r>
          </w:p>
        </w:tc>
      </w:tr>
      <w:tr>
        <w:trPr>
          <w:trHeight w:val="41"/>
        </w:trPr>
        <w:tc>
          <w:tcPr>
            <w:tcW w:w="6040" w:type="dxa"/>
            <w:vAlign w:val="bottom"/>
            <w:tcBorders>
              <w:bottom w:val="single" w:sz="8" w:color="959595"/>
            </w:tcBorders>
          </w:tcPr>
          <w:p>
            <w:pPr>
              <w:spacing w:after="0"/>
              <w:rPr>
                <w:sz w:val="3"/>
                <w:szCs w:val="3"/>
                <w:color w:val="auto"/>
              </w:rPr>
            </w:pPr>
          </w:p>
        </w:tc>
        <w:tc>
          <w:tcPr>
            <w:tcW w:w="1200" w:type="dxa"/>
            <w:vAlign w:val="bottom"/>
            <w:tcBorders>
              <w:bottom w:val="single" w:sz="8" w:color="959595"/>
            </w:tcBorders>
          </w:tcPr>
          <w:p>
            <w:pPr>
              <w:spacing w:after="0"/>
              <w:rPr>
                <w:sz w:val="3"/>
                <w:szCs w:val="3"/>
                <w:color w:val="auto"/>
              </w:rPr>
            </w:pPr>
          </w:p>
        </w:tc>
        <w:tc>
          <w:tcPr>
            <w:tcW w:w="1200" w:type="dxa"/>
            <w:vAlign w:val="bottom"/>
            <w:tcBorders>
              <w:bottom w:val="single" w:sz="8" w:color="959595"/>
            </w:tcBorders>
          </w:tcPr>
          <w:p>
            <w:pPr>
              <w:spacing w:after="0"/>
              <w:rPr>
                <w:sz w:val="3"/>
                <w:szCs w:val="3"/>
                <w:color w:val="auto"/>
              </w:rPr>
            </w:pPr>
          </w:p>
        </w:tc>
        <w:tc>
          <w:tcPr>
            <w:tcW w:w="900" w:type="dxa"/>
            <w:vAlign w:val="bottom"/>
            <w:tcBorders>
              <w:bottom w:val="single" w:sz="8" w:color="959595"/>
            </w:tcBorders>
          </w:tcPr>
          <w:p>
            <w:pPr>
              <w:spacing w:after="0"/>
              <w:rPr>
                <w:sz w:val="3"/>
                <w:szCs w:val="3"/>
                <w:color w:val="auto"/>
              </w:rPr>
            </w:pPr>
          </w:p>
        </w:tc>
        <w:tc>
          <w:tcPr>
            <w:tcW w:w="1000" w:type="dxa"/>
            <w:vAlign w:val="bottom"/>
            <w:tcBorders>
              <w:bottom w:val="single" w:sz="8" w:color="959595"/>
            </w:tcBorders>
          </w:tcPr>
          <w:p>
            <w:pPr>
              <w:spacing w:after="0"/>
              <w:rPr>
                <w:sz w:val="3"/>
                <w:szCs w:val="3"/>
                <w:color w:val="auto"/>
              </w:rPr>
            </w:pPr>
          </w:p>
        </w:tc>
        <w:tc>
          <w:tcPr>
            <w:tcW w:w="900" w:type="dxa"/>
            <w:vAlign w:val="bottom"/>
            <w:tcBorders>
              <w:bottom w:val="single" w:sz="8" w:color="959595"/>
            </w:tcBorders>
          </w:tcPr>
          <w:p>
            <w:pPr>
              <w:spacing w:after="0"/>
              <w:rPr>
                <w:sz w:val="3"/>
                <w:szCs w:val="3"/>
                <w:color w:val="auto"/>
              </w:rPr>
            </w:pPr>
          </w:p>
        </w:tc>
      </w:tr>
    </w:tbl>
    <w:p>
      <w:pPr>
        <w:spacing w:after="0" w:line="107" w:lineRule="exact"/>
        <w:rPr>
          <w:sz w:val="20"/>
          <w:szCs w:val="20"/>
          <w:color w:val="auto"/>
        </w:rPr>
      </w:pPr>
    </w:p>
    <w:p>
      <w:pPr>
        <w:ind w:left="300" w:right="120" w:hanging="292"/>
        <w:spacing w:after="0" w:line="238" w:lineRule="auto"/>
        <w:tabs>
          <w:tab w:leader="none" w:pos="300" w:val="left"/>
        </w:tabs>
        <w:numPr>
          <w:ilvl w:val="0"/>
          <w:numId w:val="207"/>
        </w:numPr>
        <w:rPr>
          <w:rFonts w:ascii="Arial" w:cs="Arial" w:eastAsia="Arial" w:hAnsi="Arial"/>
          <w:sz w:val="11"/>
          <w:szCs w:val="11"/>
          <w:color w:val="auto"/>
        </w:rPr>
      </w:pPr>
      <w:r>
        <w:rPr>
          <w:rFonts w:ascii="Arial" w:cs="Arial" w:eastAsia="Arial" w:hAnsi="Arial"/>
          <w:sz w:val="13"/>
          <w:szCs w:val="13"/>
          <w:color w:val="auto"/>
        </w:rPr>
        <w:t>The amounts reported are not considered to be at above-market rates under applicable SEC rules. In accordance with SEC rules, we did not include these amounts as compensation to the named executive officers in the “Fiscal 2018—2020 Summary Compensation Table” above.</w:t>
      </w:r>
    </w:p>
    <w:p>
      <w:pPr>
        <w:ind w:left="300" w:hanging="292"/>
        <w:spacing w:after="0" w:line="248" w:lineRule="auto"/>
        <w:tabs>
          <w:tab w:leader="none" w:pos="300" w:val="left"/>
        </w:tabs>
        <w:numPr>
          <w:ilvl w:val="0"/>
          <w:numId w:val="207"/>
        </w:numPr>
        <w:rPr>
          <w:rFonts w:ascii="Arial" w:cs="Arial" w:eastAsia="Arial" w:hAnsi="Arial"/>
          <w:sz w:val="11"/>
          <w:szCs w:val="11"/>
          <w:color w:val="auto"/>
        </w:rPr>
      </w:pPr>
      <w:r>
        <w:rPr>
          <w:rFonts w:ascii="Arial" w:cs="Arial" w:eastAsia="Arial" w:hAnsi="Arial"/>
          <w:sz w:val="13"/>
          <w:szCs w:val="13"/>
          <w:color w:val="auto"/>
        </w:rPr>
        <w:t>The balances reported represent compensation already reported in the “Fiscal 2018—2020 Summary Compensation Table” in this year’s Proxy Statement and its equivalent table in prior years’ proxy statements, except for the earnings on contributions that are not considered to be at above-market rates under SEC rules and for amounts earned while the individual was not a named executive officer under SEC rules.</w:t>
      </w:r>
    </w:p>
    <w:p>
      <w:pPr>
        <w:spacing w:after="0" w:line="165"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Non-Qualified Deferred Compensation Plan</w:t>
      </w:r>
    </w:p>
    <w:p>
      <w:pPr>
        <w:spacing w:after="0" w:line="257" w:lineRule="exact"/>
        <w:rPr>
          <w:sz w:val="20"/>
          <w:szCs w:val="20"/>
          <w:color w:val="auto"/>
        </w:rPr>
      </w:pPr>
    </w:p>
    <w:p>
      <w:pPr>
        <w:ind w:right="100"/>
        <w:spacing w:after="0" w:line="248" w:lineRule="auto"/>
        <w:rPr>
          <w:sz w:val="20"/>
          <w:szCs w:val="20"/>
          <w:color w:val="auto"/>
        </w:rPr>
      </w:pPr>
      <w:r>
        <w:rPr>
          <w:rFonts w:ascii="Arial" w:cs="Arial" w:eastAsia="Arial" w:hAnsi="Arial"/>
          <w:sz w:val="13"/>
          <w:szCs w:val="13"/>
          <w:color w:val="auto"/>
        </w:rPr>
        <w:t>We permit our named executive officers and other key employees to elect to receive a portion of their compensation reported in the “Fiscal 2018—2020 Summary Compensation Table” on a deferred basis under our Deferred Compensation Plan. Under the plan, each participant may elect to defer up to 80% of his or her eligible compensation that may be earned during the following year.</w:t>
      </w:r>
    </w:p>
    <w:p>
      <w:pPr>
        <w:spacing w:after="0" w:line="198" w:lineRule="exact"/>
        <w:rPr>
          <w:sz w:val="20"/>
          <w:szCs w:val="20"/>
          <w:color w:val="auto"/>
        </w:rPr>
      </w:pPr>
    </w:p>
    <w:p>
      <w:pPr>
        <w:ind w:right="260"/>
        <w:spacing w:after="0" w:line="258" w:lineRule="auto"/>
        <w:rPr>
          <w:sz w:val="20"/>
          <w:szCs w:val="20"/>
          <w:color w:val="auto"/>
        </w:rPr>
      </w:pPr>
      <w:r>
        <w:rPr>
          <w:rFonts w:ascii="Arial" w:cs="Arial" w:eastAsia="Arial" w:hAnsi="Arial"/>
          <w:sz w:val="13"/>
          <w:szCs w:val="13"/>
          <w:color w:val="auto"/>
        </w:rPr>
        <w:t>Under the plan, we are permitted to make additional discretionary contributions with respect to amounts deferred under the plan. We did not make any discretionary contributions during fiscal 2020. In addition, we have not in the past made any discretionary contributions under the Deferred Compensation Plan to any of our current named executive officers.</w:t>
      </w:r>
    </w:p>
    <w:p>
      <w:pPr>
        <w:spacing w:after="0" w:line="192" w:lineRule="exact"/>
        <w:rPr>
          <w:sz w:val="20"/>
          <w:szCs w:val="20"/>
          <w:color w:val="auto"/>
        </w:rPr>
      </w:pPr>
    </w:p>
    <w:p>
      <w:pPr>
        <w:ind w:right="220"/>
        <w:spacing w:after="0" w:line="243" w:lineRule="auto"/>
        <w:rPr>
          <w:sz w:val="20"/>
          <w:szCs w:val="20"/>
          <w:color w:val="auto"/>
        </w:rPr>
      </w:pPr>
      <w:r>
        <w:rPr>
          <w:rFonts w:ascii="Arial" w:cs="Arial" w:eastAsia="Arial" w:hAnsi="Arial"/>
          <w:sz w:val="13"/>
          <w:szCs w:val="13"/>
          <w:color w:val="auto"/>
        </w:rPr>
        <w:t>For cash amounts deferred under the plan, the participant may elect one or more measurement funds to be used to determine investment gains or losses to be credited to his or her account balance, including certain mutual funds. Amounts may be deferred until a specified date, retirement, disability or death. At the participant’s election, compensation deferred until retirement or death may be paid as a lump sum or in installments over 5, 10, 15 or 20 years. If the participant’s employment terminates before the participant qualifies for retirement, including due to disability, the participant’s deferred compensation balance will be paid in a single lump sum upon termination. Emergency hardship withdrawals are also permitted under the plan.</w:t>
      </w:r>
    </w:p>
    <w:p>
      <w:pPr>
        <w:spacing w:after="0" w:line="353" w:lineRule="exact"/>
        <w:rPr>
          <w:sz w:val="20"/>
          <w:szCs w:val="20"/>
          <w:color w:val="auto"/>
        </w:rPr>
      </w:pPr>
    </w:p>
    <w:p>
      <w:pPr>
        <w:ind w:right="180"/>
        <w:spacing w:after="0" w:line="243" w:lineRule="auto"/>
        <w:rPr>
          <w:sz w:val="20"/>
          <w:szCs w:val="20"/>
          <w:color w:val="auto"/>
        </w:rPr>
      </w:pPr>
      <w:r>
        <w:rPr>
          <w:rFonts w:ascii="Arial" w:cs="Arial" w:eastAsia="Arial" w:hAnsi="Arial"/>
          <w:sz w:val="13"/>
          <w:szCs w:val="13"/>
          <w:color w:val="auto"/>
        </w:rPr>
        <w:t>Prior to the plan year beginning on January 1, 2016, under our Deferred Compensation Plan, named executive officers and other key employees were permitted to defer receipt of any RSUs awarded under our 2017 Performance Incentive Plan beyond the vesting date of the award. A participant could elect to defer receipt of RSUs until a specified date, retirement, disability or death, as described above. If a participant made an election to defer RSUs, the participant would receive a distribution with respect to the RSUs (including any stock units credited as dividend equivalents) in an equivalent number of shares of our common stock in accordance with the participant’s deferral election. Commencing with the plan year beginning on January 1, 2016, employees are no longer permitted to defer receipt of RSUs under our Deferred Compensation Plan.</w:t>
      </w:r>
    </w:p>
    <w:p>
      <w:pPr>
        <w:spacing w:after="0" w:line="184" w:lineRule="exact"/>
        <w:rPr>
          <w:sz w:val="20"/>
          <w:szCs w:val="20"/>
          <w:color w:val="auto"/>
        </w:rPr>
      </w:pPr>
    </w:p>
    <w:p>
      <w:pPr>
        <w:ind w:left="9160"/>
        <w:spacing w:after="0"/>
        <w:tabs>
          <w:tab w:leader="none" w:pos="11020" w:val="left"/>
        </w:tabs>
        <w:rPr>
          <w:sz w:val="20"/>
          <w:szCs w:val="20"/>
          <w:color w:val="auto"/>
        </w:rPr>
      </w:pPr>
      <w:r>
        <w:rPr>
          <w:rFonts w:ascii="Arial" w:cs="Arial" w:eastAsia="Arial" w:hAnsi="Arial"/>
          <w:sz w:val="13"/>
          <w:szCs w:val="13"/>
          <w:color w:val="23628F"/>
        </w:rPr>
        <w:t>2020 PROXY STATEMENT</w:t>
      </w:r>
      <w:r>
        <w:rPr>
          <w:sz w:val="20"/>
          <w:szCs w:val="20"/>
          <w:color w:val="auto"/>
        </w:rPr>
        <w:tab/>
      </w:r>
      <w:r>
        <w:rPr>
          <w:rFonts w:ascii="Arial" w:cs="Arial" w:eastAsia="Arial" w:hAnsi="Arial"/>
          <w:sz w:val="16"/>
          <w:szCs w:val="16"/>
          <w:b w:val="1"/>
          <w:bCs w:val="1"/>
          <w:color w:val="23628F"/>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153275" cy="209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23628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234440" cy="6858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34440" cy="68580"/>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POTENTIAL PAYMENTS UPON TERMINATION OR CHANGE IN CONTROL</w:t>
      </w:r>
    </w:p>
    <w:p>
      <w:pPr>
        <w:spacing w:after="0" w:line="252" w:lineRule="exact"/>
        <w:rPr>
          <w:sz w:val="20"/>
          <w:szCs w:val="20"/>
          <w:color w:val="auto"/>
        </w:rPr>
      </w:pPr>
    </w:p>
    <w:p>
      <w:pPr>
        <w:ind w:right="400"/>
        <w:spacing w:after="0" w:line="258" w:lineRule="auto"/>
        <w:rPr>
          <w:sz w:val="20"/>
          <w:szCs w:val="20"/>
          <w:color w:val="auto"/>
        </w:rPr>
      </w:pPr>
      <w:r>
        <w:rPr>
          <w:rFonts w:ascii="Arial" w:cs="Arial" w:eastAsia="Arial" w:hAnsi="Arial"/>
          <w:sz w:val="13"/>
          <w:szCs w:val="13"/>
          <w:color w:val="auto"/>
        </w:rPr>
        <w:t>This section describes severance and change in control plans covering our named executive officers and certain agreements we have entered into with some of our named executive officers that could require us to make payments to the executives in connection with certain terminations of their employment with us and/or a change in control.</w:t>
      </w:r>
    </w:p>
    <w:p>
      <w:pPr>
        <w:spacing w:after="0" w:line="158"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Change in Control—No Termination</w:t>
      </w:r>
    </w:p>
    <w:p>
      <w:pPr>
        <w:spacing w:after="0" w:line="257" w:lineRule="exact"/>
        <w:rPr>
          <w:sz w:val="20"/>
          <w:szCs w:val="20"/>
          <w:color w:val="auto"/>
        </w:rPr>
      </w:pPr>
    </w:p>
    <w:p>
      <w:pPr>
        <w:ind w:right="60"/>
        <w:spacing w:after="0" w:line="242" w:lineRule="auto"/>
        <w:rPr>
          <w:sz w:val="20"/>
          <w:szCs w:val="20"/>
          <w:color w:val="auto"/>
        </w:rPr>
      </w:pPr>
      <w:r>
        <w:rPr>
          <w:rFonts w:ascii="Arial" w:cs="Arial" w:eastAsia="Arial" w:hAnsi="Arial"/>
          <w:sz w:val="13"/>
          <w:szCs w:val="13"/>
          <w:color w:val="auto"/>
        </w:rPr>
        <w:t>Except as described below, our equity awards will not automatically vest should a change in control occur. Upon any event in which our company does not survive, or does not survive as a public company in respect of its common stock, each award may be terminated. If an award is to be terminated in those circumstances, and the Compensation and Talent Committee has not provided for the substitution, assumption, exchange or other continuation or settlement of the award or the award would otherwise continue in accordance with its terms in the circumstances, the award will become fully vested (and PSU awards will become vested at the target number of shares or such greater number of shares as the Compensation and Talent Committee may determine appropriate in the circumstances). For the specific definitions related to accelerated vesting in these circumstances, please refer to the applicable stock plan or form of award agreement as filed with the SEC.</w:t>
      </w:r>
    </w:p>
    <w:p>
      <w:pPr>
        <w:spacing w:after="0" w:line="203" w:lineRule="exact"/>
        <w:rPr>
          <w:sz w:val="20"/>
          <w:szCs w:val="20"/>
          <w:color w:val="auto"/>
        </w:rPr>
      </w:pPr>
    </w:p>
    <w:p>
      <w:pPr>
        <w:ind w:right="360"/>
        <w:spacing w:after="0" w:line="258" w:lineRule="auto"/>
        <w:rPr>
          <w:sz w:val="20"/>
          <w:szCs w:val="20"/>
          <w:color w:val="auto"/>
        </w:rPr>
      </w:pPr>
      <w:r>
        <w:rPr>
          <w:rFonts w:ascii="Arial" w:cs="Arial" w:eastAsia="Arial" w:hAnsi="Arial"/>
          <w:sz w:val="13"/>
          <w:szCs w:val="13"/>
          <w:color w:val="auto"/>
        </w:rPr>
        <w:t>Unless otherwise determined by the Compensation and Talent Committee, any stock options that are vested prior to or that become vested in connection with a transaction referred to above will generally terminate if not exercised prior to the transaction.</w:t>
      </w:r>
    </w:p>
    <w:p>
      <w:pPr>
        <w:spacing w:after="0" w:line="158"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Change in Control—Termination without Cause or For Good Reason</w:t>
      </w:r>
    </w:p>
    <w:p>
      <w:pPr>
        <w:spacing w:after="0" w:line="257" w:lineRule="exact"/>
        <w:rPr>
          <w:sz w:val="20"/>
          <w:szCs w:val="20"/>
          <w:color w:val="auto"/>
        </w:rPr>
      </w:pPr>
    </w:p>
    <w:p>
      <w:pPr>
        <w:ind w:right="160"/>
        <w:spacing w:after="0" w:line="243" w:lineRule="auto"/>
        <w:rPr>
          <w:sz w:val="20"/>
          <w:szCs w:val="20"/>
          <w:color w:val="auto"/>
        </w:rPr>
      </w:pPr>
      <w:r>
        <w:rPr>
          <w:rFonts w:ascii="Arial" w:cs="Arial" w:eastAsia="Arial" w:hAnsi="Arial"/>
          <w:sz w:val="13"/>
          <w:szCs w:val="13"/>
          <w:color w:val="auto"/>
        </w:rPr>
        <w:t>In addition to the change in control benefits described above, our named executive officers may be entitled to severance benefits in the event of certain terminations of employment in connection with or following a change in control. These benefits are provided under our Change of Control Severance Plan, which was adopted by our Board of Directors in March 2001, and most recently amended and restated in November 2015. The severance benefits are payable if we terminate the named executive officer’s employment without “cause” or the named executive officer voluntarily terminates his or her employment for “good reason” within one year after a change in control or prior to and in connection with, or in anticipation of, such a change.</w:t>
      </w:r>
    </w:p>
    <w:p>
      <w:pPr>
        <w:spacing w:after="0" w:line="353" w:lineRule="exact"/>
        <w:rPr>
          <w:sz w:val="20"/>
          <w:szCs w:val="20"/>
          <w:color w:val="auto"/>
        </w:rPr>
      </w:pPr>
    </w:p>
    <w:p>
      <w:pPr>
        <w:spacing w:after="0"/>
        <w:rPr>
          <w:sz w:val="20"/>
          <w:szCs w:val="20"/>
          <w:color w:val="auto"/>
        </w:rPr>
      </w:pPr>
      <w:r>
        <w:rPr>
          <w:rFonts w:ascii="Arial" w:cs="Arial" w:eastAsia="Arial" w:hAnsi="Arial"/>
          <w:sz w:val="13"/>
          <w:szCs w:val="13"/>
          <w:color w:val="auto"/>
        </w:rPr>
        <w:t>For these purposes:</w:t>
      </w:r>
    </w:p>
    <w:p>
      <w:pPr>
        <w:spacing w:after="0" w:line="215" w:lineRule="exact"/>
        <w:rPr>
          <w:sz w:val="20"/>
          <w:szCs w:val="20"/>
          <w:color w:val="auto"/>
        </w:rPr>
      </w:pPr>
    </w:p>
    <w:p>
      <w:pPr>
        <w:ind w:left="240" w:right="20" w:hanging="232"/>
        <w:spacing w:after="0" w:line="258" w:lineRule="auto"/>
        <w:tabs>
          <w:tab w:leader="none" w:pos="240" w:val="left"/>
        </w:tabs>
        <w:numPr>
          <w:ilvl w:val="0"/>
          <w:numId w:val="208"/>
        </w:numPr>
        <w:rPr>
          <w:rFonts w:ascii="Arial" w:cs="Arial" w:eastAsia="Arial" w:hAnsi="Arial"/>
          <w:sz w:val="13"/>
          <w:szCs w:val="13"/>
          <w:color w:val="61C4AF"/>
        </w:rPr>
      </w:pPr>
      <w:r>
        <w:rPr>
          <w:rFonts w:ascii="Arial" w:cs="Arial" w:eastAsia="Arial" w:hAnsi="Arial"/>
          <w:sz w:val="13"/>
          <w:szCs w:val="13"/>
          <w:color w:val="auto"/>
        </w:rPr>
        <w:t>The term “change in control” generally means an acquisition by any person or group of more than one-third of our stock, certain majority changes in our Board of Directors over a period of not more than two years, mergers and similar transactions that result in a 50% or greater change in our ownership, and certain liquidations and dissolutions of our company.</w:t>
      </w:r>
    </w:p>
    <w:p>
      <w:pPr>
        <w:spacing w:after="0" w:line="43" w:lineRule="exact"/>
        <w:rPr>
          <w:rFonts w:ascii="Arial" w:cs="Arial" w:eastAsia="Arial" w:hAnsi="Arial"/>
          <w:sz w:val="13"/>
          <w:szCs w:val="13"/>
          <w:color w:val="61C4AF"/>
        </w:rPr>
      </w:pPr>
    </w:p>
    <w:p>
      <w:pPr>
        <w:ind w:left="240" w:right="100" w:hanging="232"/>
        <w:spacing w:after="0" w:line="258" w:lineRule="auto"/>
        <w:tabs>
          <w:tab w:leader="none" w:pos="240" w:val="left"/>
        </w:tabs>
        <w:numPr>
          <w:ilvl w:val="0"/>
          <w:numId w:val="208"/>
        </w:numPr>
        <w:rPr>
          <w:rFonts w:ascii="Arial" w:cs="Arial" w:eastAsia="Arial" w:hAnsi="Arial"/>
          <w:sz w:val="13"/>
          <w:szCs w:val="13"/>
          <w:color w:val="61C4AF"/>
        </w:rPr>
      </w:pPr>
      <w:r>
        <w:rPr>
          <w:rFonts w:ascii="Arial" w:cs="Arial" w:eastAsia="Arial" w:hAnsi="Arial"/>
          <w:sz w:val="13"/>
          <w:szCs w:val="13"/>
          <w:color w:val="auto"/>
        </w:rPr>
        <w:t>The term “cause” generally means the commission of certain crimes by the executive, the executive’s willful engaging in fraud or dishonest conduct, refusal or failure to perform certain duties, breach of fiduciary duty, or breach of certain other violations of company policy.</w:t>
      </w:r>
    </w:p>
    <w:p>
      <w:pPr>
        <w:spacing w:after="0" w:line="43" w:lineRule="exact"/>
        <w:rPr>
          <w:rFonts w:ascii="Arial" w:cs="Arial" w:eastAsia="Arial" w:hAnsi="Arial"/>
          <w:sz w:val="13"/>
          <w:szCs w:val="13"/>
          <w:color w:val="61C4AF"/>
        </w:rPr>
      </w:pPr>
    </w:p>
    <w:p>
      <w:pPr>
        <w:ind w:left="240" w:right="60" w:hanging="232"/>
        <w:spacing w:after="0" w:line="258" w:lineRule="auto"/>
        <w:tabs>
          <w:tab w:leader="none" w:pos="240" w:val="left"/>
        </w:tabs>
        <w:numPr>
          <w:ilvl w:val="0"/>
          <w:numId w:val="208"/>
        </w:numPr>
        <w:rPr>
          <w:rFonts w:ascii="Arial" w:cs="Arial" w:eastAsia="Arial" w:hAnsi="Arial"/>
          <w:sz w:val="13"/>
          <w:szCs w:val="13"/>
          <w:color w:val="61C4AF"/>
        </w:rPr>
      </w:pPr>
      <w:r>
        <w:rPr>
          <w:rFonts w:ascii="Arial" w:cs="Arial" w:eastAsia="Arial" w:hAnsi="Arial"/>
          <w:sz w:val="13"/>
          <w:szCs w:val="13"/>
          <w:color w:val="auto"/>
        </w:rPr>
        <w:t>The term “good reason” generally means a material diminution in the executive’s authority, duties or responsibilities, a material diminution in the executive’s base compensation, certain relocations of the executive’s employment, or a material breach by us (or our successor) with respect to our obligations under our Change of Control Severance Plan.</w:t>
      </w:r>
    </w:p>
    <w:p>
      <w:pPr>
        <w:spacing w:after="0" w:line="259" w:lineRule="exact"/>
        <w:rPr>
          <w:sz w:val="20"/>
          <w:szCs w:val="20"/>
          <w:color w:val="auto"/>
        </w:rPr>
      </w:pPr>
    </w:p>
    <w:p>
      <w:pPr>
        <w:spacing w:after="0"/>
        <w:rPr>
          <w:sz w:val="20"/>
          <w:szCs w:val="20"/>
          <w:color w:val="auto"/>
        </w:rPr>
      </w:pPr>
      <w:r>
        <w:rPr>
          <w:rFonts w:ascii="Arial" w:cs="Arial" w:eastAsia="Arial" w:hAnsi="Arial"/>
          <w:sz w:val="13"/>
          <w:szCs w:val="13"/>
          <w:color w:val="auto"/>
        </w:rPr>
        <w:t>For the specific definitions of change in control, cause and good reason, please refer to our Change of Control Severance Plan as filed with the SEC.</w:t>
      </w:r>
    </w:p>
    <w:p>
      <w:pPr>
        <w:spacing w:after="0" w:line="215" w:lineRule="exact"/>
        <w:rPr>
          <w:sz w:val="20"/>
          <w:szCs w:val="20"/>
          <w:color w:val="auto"/>
        </w:rPr>
      </w:pPr>
    </w:p>
    <w:p>
      <w:pPr>
        <w:ind w:right="420"/>
        <w:spacing w:after="0" w:line="258" w:lineRule="auto"/>
        <w:rPr>
          <w:sz w:val="20"/>
          <w:szCs w:val="20"/>
          <w:color w:val="auto"/>
        </w:rPr>
      </w:pPr>
      <w:r>
        <w:rPr>
          <w:rFonts w:ascii="Arial" w:cs="Arial" w:eastAsia="Arial" w:hAnsi="Arial"/>
          <w:sz w:val="13"/>
          <w:szCs w:val="13"/>
          <w:color w:val="auto"/>
        </w:rPr>
        <w:t>Each of our named executive officers is a “Tier 1 Executive” for purposes of our Change of Control Severance Plan due to each such officer’s status as an executive officer subject to Section 16 of the Exchange Act.</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color w:val="auto"/>
        </w:rPr>
        <w:t>For each of our named executive officers, the severance benefits generally consist of the following:</w:t>
      </w:r>
    </w:p>
    <w:p>
      <w:pPr>
        <w:spacing w:after="0" w:line="215" w:lineRule="exact"/>
        <w:rPr>
          <w:sz w:val="20"/>
          <w:szCs w:val="20"/>
          <w:color w:val="auto"/>
        </w:rPr>
      </w:pPr>
    </w:p>
    <w:p>
      <w:pPr>
        <w:ind w:left="240" w:hanging="232"/>
        <w:spacing w:after="0" w:line="258" w:lineRule="auto"/>
        <w:tabs>
          <w:tab w:leader="none" w:pos="240" w:val="left"/>
        </w:tabs>
        <w:numPr>
          <w:ilvl w:val="0"/>
          <w:numId w:val="209"/>
        </w:numPr>
        <w:rPr>
          <w:rFonts w:ascii="Arial" w:cs="Arial" w:eastAsia="Arial" w:hAnsi="Arial"/>
          <w:sz w:val="13"/>
          <w:szCs w:val="13"/>
          <w:color w:val="61C4AF"/>
        </w:rPr>
      </w:pPr>
      <w:r>
        <w:rPr>
          <w:rFonts w:ascii="Arial" w:cs="Arial" w:eastAsia="Arial" w:hAnsi="Arial"/>
          <w:sz w:val="13"/>
          <w:szCs w:val="13"/>
          <w:color w:val="auto"/>
        </w:rPr>
        <w:t>a lump sum payment equal to two times the sum of the executive’s annual base compensation plus the target STI as in effect immediately prior to the change in control or as in effect on the date of notice of termination of the executive’s employment with us, whichever is higher;</w:t>
      </w:r>
    </w:p>
    <w:p>
      <w:pPr>
        <w:spacing w:after="0" w:line="255" w:lineRule="exact"/>
        <w:rPr>
          <w:sz w:val="20"/>
          <w:szCs w:val="20"/>
          <w:color w:val="auto"/>
        </w:rPr>
      </w:pPr>
    </w:p>
    <w:p>
      <w:pPr>
        <w:ind w:left="440" w:hanging="432"/>
        <w:spacing w:after="0"/>
        <w:tabs>
          <w:tab w:leader="none" w:pos="440" w:val="left"/>
        </w:tabs>
        <w:numPr>
          <w:ilvl w:val="0"/>
          <w:numId w:val="210"/>
        </w:numPr>
        <w:rPr>
          <w:rFonts w:ascii="Arial" w:cs="Arial" w:eastAsia="Arial" w:hAnsi="Arial"/>
          <w:sz w:val="18"/>
          <w:szCs w:val="18"/>
          <w:b w:val="1"/>
          <w:bCs w:val="1"/>
          <w:color w:val="23628F"/>
        </w:rPr>
      </w:pPr>
      <w:r>
        <w:rPr>
          <w:rFonts w:ascii="Arial" w:cs="Arial" w:eastAsia="Arial" w:hAnsi="Arial"/>
          <w:sz w:val="13"/>
          <w:szCs w:val="13"/>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153275" cy="209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right"/>
        <w:spacing w:after="0"/>
        <w:rPr>
          <w:sz w:val="20"/>
          <w:szCs w:val="20"/>
          <w:color w:val="auto"/>
        </w:rPr>
      </w:pPr>
      <w:r>
        <w:rPr>
          <w:rFonts w:ascii="Arial" w:cs="Arial" w:eastAsia="Arial" w:hAnsi="Arial"/>
          <w:sz w:val="13"/>
          <w:szCs w:val="13"/>
          <w:color w:val="23628F"/>
        </w:rPr>
        <w:t>COMPENSATION DISCUSSION AND ANALYSIS</w:t>
      </w:r>
    </w:p>
    <w:p>
      <w:pPr>
        <w:spacing w:after="0" w:line="215" w:lineRule="exact"/>
        <w:rPr>
          <w:sz w:val="20"/>
          <w:szCs w:val="20"/>
          <w:color w:val="auto"/>
        </w:rPr>
      </w:pPr>
    </w:p>
    <w:p>
      <w:pPr>
        <w:ind w:left="240" w:right="60" w:hanging="232"/>
        <w:spacing w:after="0" w:line="251" w:lineRule="auto"/>
        <w:tabs>
          <w:tab w:leader="none" w:pos="240" w:val="left"/>
        </w:tabs>
        <w:numPr>
          <w:ilvl w:val="0"/>
          <w:numId w:val="211"/>
        </w:numPr>
        <w:rPr>
          <w:rFonts w:ascii="Arial" w:cs="Arial" w:eastAsia="Arial" w:hAnsi="Arial"/>
          <w:sz w:val="13"/>
          <w:szCs w:val="13"/>
          <w:color w:val="61C4AF"/>
        </w:rPr>
      </w:pPr>
      <w:r>
        <w:rPr>
          <w:rFonts w:ascii="Arial" w:cs="Arial" w:eastAsia="Arial" w:hAnsi="Arial"/>
          <w:sz w:val="13"/>
          <w:szCs w:val="13"/>
          <w:color w:val="auto"/>
        </w:rPr>
        <w:t>100% vesting of any unvested outstanding equity awards granted to the executive by us, with any performance-based equity awards as to which the applicable performance period has not ended becoming vested at the target level (or, if more favorable, as otherwise provided in the award agreement or other written agreement governing such performance-based award);</w:t>
      </w:r>
    </w:p>
    <w:p>
      <w:pPr>
        <w:spacing w:after="0" w:line="200" w:lineRule="exact"/>
        <w:rPr>
          <w:rFonts w:ascii="Arial" w:cs="Arial" w:eastAsia="Arial" w:hAnsi="Arial"/>
          <w:sz w:val="13"/>
          <w:szCs w:val="13"/>
          <w:color w:val="61C4AF"/>
        </w:rPr>
      </w:pPr>
    </w:p>
    <w:p>
      <w:pPr>
        <w:ind w:left="240" w:right="180" w:hanging="232"/>
        <w:spacing w:after="0" w:line="258" w:lineRule="auto"/>
        <w:tabs>
          <w:tab w:leader="none" w:pos="240" w:val="left"/>
        </w:tabs>
        <w:numPr>
          <w:ilvl w:val="0"/>
          <w:numId w:val="211"/>
        </w:numPr>
        <w:rPr>
          <w:rFonts w:ascii="Arial" w:cs="Arial" w:eastAsia="Arial" w:hAnsi="Arial"/>
          <w:sz w:val="13"/>
          <w:szCs w:val="13"/>
          <w:color w:val="61C4AF"/>
        </w:rPr>
      </w:pPr>
      <w:r>
        <w:rPr>
          <w:rFonts w:ascii="Arial" w:cs="Arial" w:eastAsia="Arial" w:hAnsi="Arial"/>
          <w:sz w:val="13"/>
          <w:szCs w:val="13"/>
          <w:color w:val="auto"/>
        </w:rPr>
        <w:t>extension of the period during which the executive may exercise his or her stock options to the longer of: (i) 90 days after the date of termination of his or her employment; and (ii) the period specified in the plan or agreement governing the options;</w:t>
      </w:r>
    </w:p>
    <w:p>
      <w:pPr>
        <w:spacing w:after="0" w:line="43" w:lineRule="exact"/>
        <w:rPr>
          <w:rFonts w:ascii="Arial" w:cs="Arial" w:eastAsia="Arial" w:hAnsi="Arial"/>
          <w:sz w:val="13"/>
          <w:szCs w:val="13"/>
          <w:color w:val="61C4AF"/>
        </w:rPr>
      </w:pPr>
    </w:p>
    <w:p>
      <w:pPr>
        <w:ind w:left="240" w:right="100" w:hanging="232"/>
        <w:spacing w:after="0" w:line="245" w:lineRule="auto"/>
        <w:tabs>
          <w:tab w:leader="none" w:pos="240" w:val="left"/>
        </w:tabs>
        <w:numPr>
          <w:ilvl w:val="0"/>
          <w:numId w:val="211"/>
        </w:numPr>
        <w:rPr>
          <w:rFonts w:ascii="Arial" w:cs="Arial" w:eastAsia="Arial" w:hAnsi="Arial"/>
          <w:sz w:val="13"/>
          <w:szCs w:val="13"/>
          <w:color w:val="61C4AF"/>
        </w:rPr>
      </w:pPr>
      <w:r>
        <w:rPr>
          <w:rFonts w:ascii="Arial" w:cs="Arial" w:eastAsia="Arial" w:hAnsi="Arial"/>
          <w:sz w:val="13"/>
          <w:szCs w:val="13"/>
          <w:color w:val="auto"/>
        </w:rPr>
        <w:t>continuation for a period of 24 months of the same or equivalent life, health, hospitalization, dental and disability insurance coverage and other employee insurance or welfare benefits, including equivalent coverage for the executive’s spouse and dependent children, and a car allowance equal to what the executive was receiving immediately prior to the change in control, or a lump sum payment equal to the cost of obtaining coverage for 24 months if the executive is ineligible to be covered under the terms of our insurance and welfare benefits plans; and</w:t>
      </w:r>
    </w:p>
    <w:p>
      <w:pPr>
        <w:spacing w:after="0" w:line="203" w:lineRule="exact"/>
        <w:rPr>
          <w:rFonts w:ascii="Arial" w:cs="Arial" w:eastAsia="Arial" w:hAnsi="Arial"/>
          <w:sz w:val="13"/>
          <w:szCs w:val="13"/>
          <w:color w:val="61C4AF"/>
        </w:rPr>
      </w:pPr>
    </w:p>
    <w:p>
      <w:pPr>
        <w:ind w:left="240" w:right="120" w:hanging="232"/>
        <w:spacing w:after="0" w:line="258" w:lineRule="auto"/>
        <w:tabs>
          <w:tab w:leader="none" w:pos="240" w:val="left"/>
        </w:tabs>
        <w:numPr>
          <w:ilvl w:val="0"/>
          <w:numId w:val="211"/>
        </w:numPr>
        <w:rPr>
          <w:rFonts w:ascii="Arial" w:cs="Arial" w:eastAsia="Arial" w:hAnsi="Arial"/>
          <w:sz w:val="13"/>
          <w:szCs w:val="13"/>
          <w:color w:val="61C4AF"/>
        </w:rPr>
      </w:pPr>
      <w:r>
        <w:rPr>
          <w:rFonts w:ascii="Arial" w:cs="Arial" w:eastAsia="Arial" w:hAnsi="Arial"/>
          <w:sz w:val="13"/>
          <w:szCs w:val="13"/>
          <w:color w:val="auto"/>
        </w:rPr>
        <w:t>a lump sum payment equal to the amount of in-lieu payments that the executive would have been entitled to receive during the 24 months after termination of his or her employment if, prior to the change in control, the executive was receiving any cash-in-lieu payments designed to enable the executive to obtain insurance coverage of his or her choosing.</w:t>
      </w:r>
    </w:p>
    <w:p>
      <w:pPr>
        <w:spacing w:after="0" w:line="192" w:lineRule="exact"/>
        <w:rPr>
          <w:sz w:val="20"/>
          <w:szCs w:val="20"/>
          <w:color w:val="auto"/>
        </w:rPr>
      </w:pPr>
    </w:p>
    <w:p>
      <w:pPr>
        <w:ind w:right="20"/>
        <w:spacing w:after="0" w:line="248" w:lineRule="auto"/>
        <w:rPr>
          <w:sz w:val="20"/>
          <w:szCs w:val="20"/>
          <w:color w:val="auto"/>
        </w:rPr>
      </w:pPr>
      <w:r>
        <w:rPr>
          <w:rFonts w:ascii="Arial" w:cs="Arial" w:eastAsia="Arial" w:hAnsi="Arial"/>
          <w:sz w:val="13"/>
          <w:szCs w:val="13"/>
          <w:color w:val="auto"/>
        </w:rPr>
        <w:t>Any health and welfare benefits will be reduced to the extent of the receipt of substantially equivalent coverage by the executive from any successor employer. Our Board of Directors or the Compensation and Talent Committee may terminate our Change of Control Severance Plan at any time in its discretion, except in the event of a change in control or in anticipation of a change in control.</w:t>
      </w:r>
    </w:p>
    <w:p>
      <w:pPr>
        <w:spacing w:after="0" w:line="198" w:lineRule="exact"/>
        <w:rPr>
          <w:sz w:val="20"/>
          <w:szCs w:val="20"/>
          <w:color w:val="auto"/>
        </w:rPr>
      </w:pPr>
    </w:p>
    <w:p>
      <w:pPr>
        <w:ind w:right="60"/>
        <w:spacing w:after="0" w:line="243" w:lineRule="auto"/>
        <w:rPr>
          <w:sz w:val="20"/>
          <w:szCs w:val="20"/>
          <w:color w:val="auto"/>
        </w:rPr>
      </w:pPr>
      <w:r>
        <w:rPr>
          <w:rFonts w:ascii="Arial" w:cs="Arial" w:eastAsia="Arial" w:hAnsi="Arial"/>
          <w:sz w:val="13"/>
          <w:szCs w:val="13"/>
          <w:color w:val="auto"/>
        </w:rPr>
        <w:t>The annual RSU awards granted to our named executive officers, other than Mr. Goeckeler, provide for accelerated vesting in the event of a termination of employment without “cause” or the employee voluntarily terminates his or her employment for “good reason” within one year after a change in control. The annual LTI PSU awards granted to our named executive officers in fiscal 2020, other than Mr. Goeckeler, provide for accelerated vesting at the target level of performance in the event of a termination of employment under circumstances that give rise to severance benefits under our Change of Control Severance Plan. The terms that apply with respect to Mr. Goeckeler’s transition awards are summarized in the section entitled “Involuntary Termination without Cause—No Change in Control” below.</w:t>
      </w:r>
    </w:p>
    <w:p>
      <w:pPr>
        <w:spacing w:after="0" w:line="168"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Involuntary Termination without Cause—No Change in Control</w:t>
      </w:r>
    </w:p>
    <w:p>
      <w:pPr>
        <w:spacing w:after="0" w:line="257" w:lineRule="exact"/>
        <w:rPr>
          <w:sz w:val="20"/>
          <w:szCs w:val="20"/>
          <w:color w:val="auto"/>
        </w:rPr>
      </w:pPr>
    </w:p>
    <w:p>
      <w:pPr>
        <w:jc w:val="both"/>
        <w:ind w:right="60"/>
        <w:spacing w:after="0" w:line="248" w:lineRule="auto"/>
        <w:rPr>
          <w:sz w:val="20"/>
          <w:szCs w:val="20"/>
          <w:color w:val="auto"/>
        </w:rPr>
      </w:pPr>
      <w:r>
        <w:rPr>
          <w:rFonts w:ascii="Arial" w:cs="Arial" w:eastAsia="Arial" w:hAnsi="Arial"/>
          <w:sz w:val="13"/>
          <w:szCs w:val="13"/>
          <w:color w:val="auto"/>
        </w:rPr>
        <w:t>Our Board of Directors adopted an Executive Severance Plan in February 2006, as most recently amended and restated in February 2017, which provides for certain severance benefits in the event an executive’s employment is terminated without “cause.” For these purposes, “cause” generally has the meaning described in the preceding section. For the specific definition of cause, please refer to our Executive Severance Plan as filed with the SEC.</w:t>
      </w:r>
    </w:p>
    <w:p>
      <w:pPr>
        <w:spacing w:after="0" w:line="198" w:lineRule="exact"/>
        <w:rPr>
          <w:sz w:val="20"/>
          <w:szCs w:val="20"/>
          <w:color w:val="auto"/>
        </w:rPr>
      </w:pPr>
    </w:p>
    <w:p>
      <w:pPr>
        <w:ind w:right="20"/>
        <w:spacing w:after="0" w:line="258" w:lineRule="auto"/>
        <w:rPr>
          <w:sz w:val="20"/>
          <w:szCs w:val="20"/>
          <w:color w:val="auto"/>
        </w:rPr>
      </w:pPr>
      <w:r>
        <w:rPr>
          <w:rFonts w:ascii="Arial" w:cs="Arial" w:eastAsia="Arial" w:hAnsi="Arial"/>
          <w:sz w:val="13"/>
          <w:szCs w:val="13"/>
          <w:color w:val="auto"/>
        </w:rPr>
        <w:t>The Compensation and Talent Committee has designated each of our named executive officers as a “Tier 1 Executive” under our Executive Severance Plan. In conjunction with the terms and conditions of our equity awards, each of our named executive officers will receive the following severance benefits in the event we terminate the executive’s employment without cause:</w:t>
      </w:r>
    </w:p>
    <w:p>
      <w:pPr>
        <w:spacing w:after="0" w:line="192" w:lineRule="exact"/>
        <w:rPr>
          <w:sz w:val="20"/>
          <w:szCs w:val="20"/>
          <w:color w:val="auto"/>
        </w:rPr>
      </w:pPr>
    </w:p>
    <w:p>
      <w:pPr>
        <w:ind w:left="240" w:hanging="232"/>
        <w:spacing w:after="0"/>
        <w:tabs>
          <w:tab w:leader="none" w:pos="240" w:val="left"/>
        </w:tabs>
        <w:numPr>
          <w:ilvl w:val="0"/>
          <w:numId w:val="212"/>
        </w:numPr>
        <w:rPr>
          <w:rFonts w:ascii="Arial" w:cs="Arial" w:eastAsia="Arial" w:hAnsi="Arial"/>
          <w:sz w:val="13"/>
          <w:szCs w:val="13"/>
          <w:color w:val="61C4AF"/>
        </w:rPr>
      </w:pPr>
      <w:r>
        <w:rPr>
          <w:rFonts w:ascii="Arial" w:cs="Arial" w:eastAsia="Arial" w:hAnsi="Arial"/>
          <w:sz w:val="13"/>
          <w:szCs w:val="13"/>
          <w:color w:val="auto"/>
        </w:rPr>
        <w:t>severance equal to the executive’s monthly base salary multiplied by 24, subject to applicable taxes and withholding, payable in a lump sum cash payment;</w:t>
      </w:r>
    </w:p>
    <w:p>
      <w:pPr>
        <w:spacing w:after="0" w:line="66" w:lineRule="exact"/>
        <w:rPr>
          <w:rFonts w:ascii="Arial" w:cs="Arial" w:eastAsia="Arial" w:hAnsi="Arial"/>
          <w:sz w:val="13"/>
          <w:szCs w:val="13"/>
          <w:color w:val="61C4AF"/>
        </w:rPr>
      </w:pPr>
    </w:p>
    <w:p>
      <w:pPr>
        <w:ind w:left="240" w:right="100" w:hanging="232"/>
        <w:spacing w:after="0" w:line="248" w:lineRule="auto"/>
        <w:tabs>
          <w:tab w:leader="none" w:pos="240" w:val="left"/>
        </w:tabs>
        <w:numPr>
          <w:ilvl w:val="0"/>
          <w:numId w:val="212"/>
        </w:numPr>
        <w:rPr>
          <w:rFonts w:ascii="Arial" w:cs="Arial" w:eastAsia="Arial" w:hAnsi="Arial"/>
          <w:sz w:val="13"/>
          <w:szCs w:val="13"/>
          <w:color w:val="61C4AF"/>
        </w:rPr>
      </w:pPr>
      <w:r>
        <w:rPr>
          <w:rFonts w:ascii="Arial" w:cs="Arial" w:eastAsia="Arial" w:hAnsi="Arial"/>
          <w:sz w:val="13"/>
          <w:szCs w:val="13"/>
          <w:color w:val="auto"/>
        </w:rPr>
        <w:t>a pro rata STI payment, subject to applicable taxes and withholding, under our STI plan for the performance period in which the executive’s termination date occurs (determined based on the number of days in the applicable performance period during which the executive was employed and assuming 100% of the performance goals are achieved regardless of performance), payable in a lump sum cash payment;</w:t>
      </w:r>
    </w:p>
    <w:p>
      <w:pPr>
        <w:spacing w:after="0" w:line="49" w:lineRule="exact"/>
        <w:rPr>
          <w:rFonts w:ascii="Arial" w:cs="Arial" w:eastAsia="Arial" w:hAnsi="Arial"/>
          <w:sz w:val="13"/>
          <w:szCs w:val="13"/>
          <w:color w:val="61C4AF"/>
        </w:rPr>
      </w:pPr>
    </w:p>
    <w:p>
      <w:pPr>
        <w:ind w:left="240" w:right="120" w:hanging="232"/>
        <w:spacing w:after="0" w:line="248" w:lineRule="auto"/>
        <w:tabs>
          <w:tab w:leader="none" w:pos="240" w:val="left"/>
        </w:tabs>
        <w:numPr>
          <w:ilvl w:val="0"/>
          <w:numId w:val="212"/>
        </w:numPr>
        <w:rPr>
          <w:rFonts w:ascii="Arial" w:cs="Arial" w:eastAsia="Arial" w:hAnsi="Arial"/>
          <w:sz w:val="13"/>
          <w:szCs w:val="13"/>
          <w:color w:val="61C4AF"/>
        </w:rPr>
      </w:pPr>
      <w:r>
        <w:rPr>
          <w:rFonts w:ascii="Arial" w:cs="Arial" w:eastAsia="Arial" w:hAnsi="Arial"/>
          <w:sz w:val="13"/>
          <w:szCs w:val="13"/>
          <w:color w:val="auto"/>
        </w:rPr>
        <w:t>for PSU awards, if the executive is entitled to severance benefits under our Executive Severance Plan and the termination of employment occurs before the end of the applicable performance period, a prorated portion of the target number of PSUs subject to the award will remain outstanding and eligible to vest based on actual achievement of the performance goals over the performance period;</w:t>
      </w:r>
    </w:p>
    <w:p>
      <w:pPr>
        <w:spacing w:after="0" w:line="49" w:lineRule="exact"/>
        <w:rPr>
          <w:rFonts w:ascii="Arial" w:cs="Arial" w:eastAsia="Arial" w:hAnsi="Arial"/>
          <w:sz w:val="13"/>
          <w:szCs w:val="13"/>
          <w:color w:val="61C4AF"/>
        </w:rPr>
      </w:pPr>
    </w:p>
    <w:p>
      <w:pPr>
        <w:ind w:left="240" w:hanging="232"/>
        <w:spacing w:after="0"/>
        <w:tabs>
          <w:tab w:leader="none" w:pos="240" w:val="left"/>
        </w:tabs>
        <w:numPr>
          <w:ilvl w:val="0"/>
          <w:numId w:val="212"/>
        </w:numPr>
        <w:rPr>
          <w:rFonts w:ascii="Arial" w:cs="Arial" w:eastAsia="Arial" w:hAnsi="Arial"/>
          <w:sz w:val="13"/>
          <w:szCs w:val="13"/>
          <w:color w:val="61C4AF"/>
        </w:rPr>
      </w:pPr>
      <w:r>
        <w:rPr>
          <w:rFonts w:ascii="Arial" w:cs="Arial" w:eastAsia="Arial" w:hAnsi="Arial"/>
          <w:sz w:val="13"/>
          <w:szCs w:val="13"/>
          <w:color w:val="auto"/>
        </w:rPr>
        <w:t>for RSU awards granted beginning in fiscal 2020, acceleration of vesting of a prorated amount of RSUs;</w:t>
      </w:r>
    </w:p>
    <w:p>
      <w:pPr>
        <w:spacing w:after="0" w:line="66" w:lineRule="exact"/>
        <w:rPr>
          <w:rFonts w:ascii="Arial" w:cs="Arial" w:eastAsia="Arial" w:hAnsi="Arial"/>
          <w:sz w:val="13"/>
          <w:szCs w:val="13"/>
          <w:color w:val="61C4AF"/>
        </w:rPr>
      </w:pPr>
    </w:p>
    <w:p>
      <w:pPr>
        <w:ind w:left="240" w:right="220" w:hanging="232"/>
        <w:spacing w:after="0" w:line="258" w:lineRule="auto"/>
        <w:tabs>
          <w:tab w:leader="none" w:pos="240" w:val="left"/>
        </w:tabs>
        <w:numPr>
          <w:ilvl w:val="0"/>
          <w:numId w:val="212"/>
        </w:numPr>
        <w:rPr>
          <w:rFonts w:ascii="Arial" w:cs="Arial" w:eastAsia="Arial" w:hAnsi="Arial"/>
          <w:sz w:val="13"/>
          <w:szCs w:val="13"/>
          <w:color w:val="61C4AF"/>
        </w:rPr>
      </w:pPr>
      <w:r>
        <w:rPr>
          <w:rFonts w:ascii="Arial" w:cs="Arial" w:eastAsia="Arial" w:hAnsi="Arial"/>
          <w:sz w:val="13"/>
          <w:szCs w:val="13"/>
          <w:color w:val="auto"/>
        </w:rPr>
        <w:t>for RSU awards granted in fiscal 2019, the more favorable of: (i) acceleration of vesting of an amount of RSUs that would have vested if the executive had remained employed for an additional six months; and (ii) acceleration of vesting of a prorated amount of RSUs;</w:t>
      </w:r>
    </w:p>
    <w:p>
      <w:pPr>
        <w:spacing w:after="0" w:line="173"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23628F"/>
        </w:rPr>
        <w:t>2020 PROXY STATEMENT</w:t>
      </w:r>
      <w:r>
        <w:rPr>
          <w:sz w:val="20"/>
          <w:szCs w:val="20"/>
          <w:color w:val="auto"/>
        </w:rPr>
        <w:tab/>
      </w:r>
      <w:r>
        <w:rPr>
          <w:rFonts w:ascii="Arial" w:cs="Arial" w:eastAsia="Arial" w:hAnsi="Arial"/>
          <w:sz w:val="16"/>
          <w:szCs w:val="16"/>
          <w:b w:val="1"/>
          <w:bCs w:val="1"/>
          <w:color w:val="23628F"/>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153275" cy="209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23628F"/>
        </w:rPr>
        <w:t>COMPENSATION DISCUSSION AND ANALYSIS</w:t>
      </w:r>
    </w:p>
    <w:p>
      <w:pPr>
        <w:spacing w:after="0" w:line="215" w:lineRule="exact"/>
        <w:rPr>
          <w:sz w:val="20"/>
          <w:szCs w:val="20"/>
          <w:color w:val="auto"/>
        </w:rPr>
      </w:pPr>
    </w:p>
    <w:p>
      <w:pPr>
        <w:ind w:left="240" w:right="320" w:hanging="232"/>
        <w:spacing w:after="0" w:line="258" w:lineRule="auto"/>
        <w:tabs>
          <w:tab w:leader="none" w:pos="240" w:val="left"/>
        </w:tabs>
        <w:numPr>
          <w:ilvl w:val="0"/>
          <w:numId w:val="213"/>
        </w:numPr>
        <w:rPr>
          <w:rFonts w:ascii="Arial" w:cs="Arial" w:eastAsia="Arial" w:hAnsi="Arial"/>
          <w:sz w:val="13"/>
          <w:szCs w:val="13"/>
          <w:color w:val="61C4AF"/>
        </w:rPr>
      </w:pPr>
      <w:r>
        <w:rPr>
          <w:rFonts w:ascii="Arial" w:cs="Arial" w:eastAsia="Arial" w:hAnsi="Arial"/>
          <w:sz w:val="13"/>
          <w:szCs w:val="13"/>
          <w:color w:val="auto"/>
        </w:rPr>
        <w:t>for RSU and stock option awards granted prior to fiscal 2019, acceleration of vesting of an amount of the outstanding award that would have vested if the executive had remained employed for an additional six months;</w:t>
      </w:r>
    </w:p>
    <w:p>
      <w:pPr>
        <w:spacing w:after="0" w:line="43" w:lineRule="exact"/>
        <w:rPr>
          <w:rFonts w:ascii="Arial" w:cs="Arial" w:eastAsia="Arial" w:hAnsi="Arial"/>
          <w:sz w:val="13"/>
          <w:szCs w:val="13"/>
          <w:color w:val="61C4AF"/>
        </w:rPr>
      </w:pPr>
    </w:p>
    <w:p>
      <w:pPr>
        <w:ind w:left="240" w:hanging="232"/>
        <w:spacing w:after="0"/>
        <w:tabs>
          <w:tab w:leader="none" w:pos="240" w:val="left"/>
        </w:tabs>
        <w:numPr>
          <w:ilvl w:val="0"/>
          <w:numId w:val="213"/>
        </w:numPr>
        <w:rPr>
          <w:rFonts w:ascii="Arial" w:cs="Arial" w:eastAsia="Arial" w:hAnsi="Arial"/>
          <w:sz w:val="13"/>
          <w:szCs w:val="13"/>
          <w:color w:val="61C4AF"/>
        </w:rPr>
      </w:pPr>
      <w:r>
        <w:rPr>
          <w:rFonts w:ascii="Arial" w:cs="Arial" w:eastAsia="Arial" w:hAnsi="Arial"/>
          <w:sz w:val="13"/>
          <w:szCs w:val="13"/>
          <w:color w:val="auto"/>
        </w:rPr>
        <w:t>outplacement services provided by a vendor chosen by us and at our expense for 12 months following the executive’s termination of employment; and</w:t>
      </w:r>
    </w:p>
    <w:p>
      <w:pPr>
        <w:spacing w:after="0" w:line="66" w:lineRule="exact"/>
        <w:rPr>
          <w:rFonts w:ascii="Arial" w:cs="Arial" w:eastAsia="Arial" w:hAnsi="Arial"/>
          <w:sz w:val="13"/>
          <w:szCs w:val="13"/>
          <w:color w:val="61C4AF"/>
        </w:rPr>
      </w:pPr>
    </w:p>
    <w:p>
      <w:pPr>
        <w:ind w:left="240" w:right="100" w:hanging="232"/>
        <w:spacing w:after="0" w:line="258" w:lineRule="auto"/>
        <w:tabs>
          <w:tab w:leader="none" w:pos="240" w:val="left"/>
        </w:tabs>
        <w:numPr>
          <w:ilvl w:val="0"/>
          <w:numId w:val="213"/>
        </w:numPr>
        <w:rPr>
          <w:rFonts w:ascii="Arial" w:cs="Arial" w:eastAsia="Arial" w:hAnsi="Arial"/>
          <w:sz w:val="13"/>
          <w:szCs w:val="13"/>
          <w:color w:val="61C4AF"/>
        </w:rPr>
      </w:pPr>
      <w:r>
        <w:rPr>
          <w:rFonts w:ascii="Arial" w:cs="Arial" w:eastAsia="Arial" w:hAnsi="Arial"/>
          <w:sz w:val="13"/>
          <w:szCs w:val="13"/>
          <w:color w:val="auto"/>
        </w:rPr>
        <w:t>an amount equal to the applicable COBRA premium rate for company-provided medical, dental and/or vision coverage existing as of the executive’s termination date multiplied by 18 months, payable in a lump sum cash payment.</w:t>
      </w:r>
    </w:p>
    <w:p>
      <w:pPr>
        <w:spacing w:after="0" w:line="192" w:lineRule="exact"/>
        <w:rPr>
          <w:sz w:val="20"/>
          <w:szCs w:val="20"/>
          <w:color w:val="auto"/>
        </w:rPr>
      </w:pPr>
    </w:p>
    <w:p>
      <w:pPr>
        <w:ind w:right="220"/>
        <w:spacing w:after="0" w:line="258" w:lineRule="auto"/>
        <w:rPr>
          <w:sz w:val="20"/>
          <w:szCs w:val="20"/>
          <w:color w:val="auto"/>
        </w:rPr>
      </w:pPr>
      <w:r>
        <w:rPr>
          <w:rFonts w:ascii="Arial" w:cs="Arial" w:eastAsia="Arial" w:hAnsi="Arial"/>
          <w:sz w:val="13"/>
          <w:szCs w:val="13"/>
          <w:color w:val="auto"/>
        </w:rPr>
        <w:t>Payment of severance benefits under our Executive Severance Plan is conditioned upon the executive’s execution of a valid and effective release of claims. In addition, no executive is entitled to a duplication of benefits under our Executive Severance Plan and any other severance plan, including our Change of Control Severance Plan.</w:t>
      </w:r>
    </w:p>
    <w:p>
      <w:pPr>
        <w:spacing w:after="0" w:line="192" w:lineRule="exact"/>
        <w:rPr>
          <w:sz w:val="20"/>
          <w:szCs w:val="20"/>
          <w:color w:val="auto"/>
        </w:rPr>
      </w:pPr>
    </w:p>
    <w:p>
      <w:pPr>
        <w:ind w:right="40"/>
        <w:spacing w:after="0" w:line="245" w:lineRule="auto"/>
        <w:rPr>
          <w:sz w:val="20"/>
          <w:szCs w:val="20"/>
          <w:color w:val="auto"/>
        </w:rPr>
      </w:pPr>
      <w:r>
        <w:rPr>
          <w:rFonts w:ascii="Arial" w:cs="Arial" w:eastAsia="Arial" w:hAnsi="Arial"/>
          <w:sz w:val="13"/>
          <w:szCs w:val="13"/>
          <w:color w:val="auto"/>
        </w:rPr>
        <w:t>Mr. Goeckeler’s fiscal 2020 RSU award agreement provides that if his employment is terminated without “cause,” whether or not in connection with a change in control, the award will fully vest (subject to his execution of a valid and effective release of claims). Mr. Goeckeler’s fiscal 2020 PSU award agreement provides that if his employment is terminated without “cause,” whether or not in connection with a change in control, the award will remain eligible to vest at the end of the performance period based on our actual relative TSR performance for the performance period (subject to his execution of a valid and effective release of claims).</w:t>
      </w:r>
    </w:p>
    <w:p>
      <w:pPr>
        <w:spacing w:after="0" w:line="166"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Qualified Retirement</w:t>
      </w:r>
    </w:p>
    <w:p>
      <w:pPr>
        <w:spacing w:after="0" w:line="257" w:lineRule="exact"/>
        <w:rPr>
          <w:sz w:val="20"/>
          <w:szCs w:val="20"/>
          <w:color w:val="auto"/>
        </w:rPr>
      </w:pPr>
    </w:p>
    <w:p>
      <w:pPr>
        <w:ind w:right="120"/>
        <w:spacing w:after="0" w:line="245" w:lineRule="auto"/>
        <w:rPr>
          <w:sz w:val="20"/>
          <w:szCs w:val="20"/>
          <w:color w:val="auto"/>
        </w:rPr>
      </w:pPr>
      <w:r>
        <w:rPr>
          <w:rFonts w:ascii="Arial" w:cs="Arial" w:eastAsia="Arial" w:hAnsi="Arial"/>
          <w:sz w:val="13"/>
          <w:szCs w:val="13"/>
          <w:color w:val="auto"/>
        </w:rPr>
        <w:t>In the event a named executive officer retires from employment at a time when the executive meets the criteria of a “qualified retiree” under our standard terms and conditions for stock options, all unvested stock options held by the executive at the time of termination will accelerate. In order to be a qualified retiree, an executive is generally required to have at least five years of continuous service with us and the executive must also be at least age 65 at the time of retirement and his or her age plus total years of continuous service with us must total at least 75.</w:t>
      </w:r>
    </w:p>
    <w:p>
      <w:pPr>
        <w:spacing w:after="0" w:line="352" w:lineRule="exact"/>
        <w:rPr>
          <w:sz w:val="20"/>
          <w:szCs w:val="20"/>
          <w:color w:val="auto"/>
        </w:rPr>
      </w:pPr>
    </w:p>
    <w:p>
      <w:pPr>
        <w:jc w:val="both"/>
        <w:ind w:right="20"/>
        <w:spacing w:after="0" w:line="248" w:lineRule="auto"/>
        <w:rPr>
          <w:sz w:val="20"/>
          <w:szCs w:val="20"/>
          <w:color w:val="auto"/>
        </w:rPr>
      </w:pPr>
      <w:r>
        <w:rPr>
          <w:rFonts w:ascii="Arial" w:cs="Arial" w:eastAsia="Arial" w:hAnsi="Arial"/>
          <w:sz w:val="13"/>
          <w:szCs w:val="13"/>
          <w:color w:val="auto"/>
        </w:rPr>
        <w:t>If an executive meets the applicable “qualified retiree” criteria, the executive’s stock options will remain exercisable for three years after his or her retirement or until their earlier expiration but will immediately terminate in the event the executive provides services to one of our competitors or otherwise competes with us. In that event, we will have the right to pursue recovery of any profits realized by the executive from exercising the stock options during the six-month period prior to the date the executive commenced providing such services to a competitor.</w:t>
      </w:r>
    </w:p>
    <w:p>
      <w:pPr>
        <w:spacing w:after="0" w:line="198" w:lineRule="exact"/>
        <w:rPr>
          <w:sz w:val="20"/>
          <w:szCs w:val="20"/>
          <w:color w:val="auto"/>
        </w:rPr>
      </w:pPr>
    </w:p>
    <w:p>
      <w:pPr>
        <w:spacing w:after="0" w:line="243" w:lineRule="auto"/>
        <w:rPr>
          <w:sz w:val="20"/>
          <w:szCs w:val="20"/>
          <w:color w:val="auto"/>
        </w:rPr>
      </w:pPr>
      <w:r>
        <w:rPr>
          <w:rFonts w:ascii="Arial" w:cs="Arial" w:eastAsia="Arial" w:hAnsi="Arial"/>
          <w:sz w:val="13"/>
          <w:szCs w:val="13"/>
          <w:color w:val="auto"/>
        </w:rPr>
        <w:t>For RSUs and PSUs granted beginning with our fiscal 2019 annual grant, in the event an executive meets the criteria for retirement under our standard terms and conditions for RSUs and PSUs, vesting of a pro rata portion of the RSUs will accelerate and a pro rata portion of the target number of PSUs subject to the award will remain outstanding and eligible to vest based on actual achievement of the performance goals over the performance period. To be eligible for retirement, the executive must have five years of credited service with us and must also be at least age 55 at the time of retirement and his or her age plus total years of credited service must be at least 70. If a retirement-eligible executive is also eligible for benefits under our Executive Severance Plan or Change of Control Severance Plan and the applicable plan provides greater benefits upon an executive’s retirement, the plan terms govern.</w:t>
      </w:r>
    </w:p>
    <w:p>
      <w:pPr>
        <w:spacing w:after="0" w:line="168"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Death</w:t>
      </w:r>
    </w:p>
    <w:p>
      <w:pPr>
        <w:spacing w:after="0" w:line="257" w:lineRule="exact"/>
        <w:rPr>
          <w:sz w:val="20"/>
          <w:szCs w:val="20"/>
          <w:color w:val="auto"/>
        </w:rPr>
      </w:pPr>
    </w:p>
    <w:p>
      <w:pPr>
        <w:spacing w:after="0"/>
        <w:rPr>
          <w:sz w:val="20"/>
          <w:szCs w:val="20"/>
          <w:color w:val="auto"/>
        </w:rPr>
      </w:pPr>
      <w:r>
        <w:rPr>
          <w:rFonts w:ascii="Arial" w:cs="Arial" w:eastAsia="Arial" w:hAnsi="Arial"/>
          <w:sz w:val="13"/>
          <w:szCs w:val="13"/>
          <w:color w:val="auto"/>
        </w:rPr>
        <w:t>In the event of an executive’s death, the vesting of LTI awards previously granted to the executive will accelerate as described below.</w:t>
      </w:r>
    </w:p>
    <w:p>
      <w:pPr>
        <w:spacing w:after="0" w:line="215" w:lineRule="exact"/>
        <w:rPr>
          <w:sz w:val="20"/>
          <w:szCs w:val="20"/>
          <w:color w:val="auto"/>
        </w:rPr>
      </w:pPr>
    </w:p>
    <w:p>
      <w:pPr>
        <w:ind w:left="240" w:right="40" w:hanging="232"/>
        <w:spacing w:after="0" w:line="258" w:lineRule="auto"/>
        <w:tabs>
          <w:tab w:leader="none" w:pos="240" w:val="left"/>
        </w:tabs>
        <w:numPr>
          <w:ilvl w:val="0"/>
          <w:numId w:val="214"/>
        </w:numPr>
        <w:rPr>
          <w:rFonts w:ascii="Arial" w:cs="Arial" w:eastAsia="Arial" w:hAnsi="Arial"/>
          <w:sz w:val="13"/>
          <w:szCs w:val="13"/>
          <w:color w:val="61C4AF"/>
        </w:rPr>
      </w:pPr>
      <w:r>
        <w:rPr>
          <w:rFonts w:ascii="Arial" w:cs="Arial" w:eastAsia="Arial" w:hAnsi="Arial"/>
          <w:sz w:val="13"/>
          <w:szCs w:val="13"/>
          <w:color w:val="auto"/>
        </w:rPr>
        <w:t>For stock options, all unvested stock options held by the executive at the time of death will immediately vest and be exercisable, and the stock options will remain exercisable for three years after the date of the executive’s death or until the earlier expiration of the stock option.</w:t>
      </w:r>
    </w:p>
    <w:p>
      <w:pPr>
        <w:spacing w:after="0" w:line="43" w:lineRule="exact"/>
        <w:rPr>
          <w:rFonts w:ascii="Arial" w:cs="Arial" w:eastAsia="Arial" w:hAnsi="Arial"/>
          <w:sz w:val="13"/>
          <w:szCs w:val="13"/>
          <w:color w:val="61C4AF"/>
        </w:rPr>
      </w:pPr>
    </w:p>
    <w:p>
      <w:pPr>
        <w:ind w:left="240" w:hanging="232"/>
        <w:spacing w:after="0"/>
        <w:tabs>
          <w:tab w:leader="none" w:pos="240" w:val="left"/>
        </w:tabs>
        <w:numPr>
          <w:ilvl w:val="0"/>
          <w:numId w:val="214"/>
        </w:numPr>
        <w:rPr>
          <w:rFonts w:ascii="Arial" w:cs="Arial" w:eastAsia="Arial" w:hAnsi="Arial"/>
          <w:sz w:val="13"/>
          <w:szCs w:val="13"/>
          <w:color w:val="61C4AF"/>
        </w:rPr>
      </w:pPr>
      <w:r>
        <w:rPr>
          <w:rFonts w:ascii="Arial" w:cs="Arial" w:eastAsia="Arial" w:hAnsi="Arial"/>
          <w:sz w:val="13"/>
          <w:szCs w:val="13"/>
          <w:color w:val="auto"/>
        </w:rPr>
        <w:t>For RSU awards, a pro rata portion of the stock units will immediately vest.</w:t>
      </w:r>
    </w:p>
    <w:p>
      <w:pPr>
        <w:spacing w:after="0" w:line="66" w:lineRule="exact"/>
        <w:rPr>
          <w:rFonts w:ascii="Arial" w:cs="Arial" w:eastAsia="Arial" w:hAnsi="Arial"/>
          <w:sz w:val="13"/>
          <w:szCs w:val="13"/>
          <w:color w:val="61C4AF"/>
        </w:rPr>
      </w:pPr>
    </w:p>
    <w:p>
      <w:pPr>
        <w:ind w:left="240" w:right="240" w:hanging="232"/>
        <w:spacing w:after="0" w:line="258" w:lineRule="auto"/>
        <w:tabs>
          <w:tab w:leader="none" w:pos="240" w:val="left"/>
        </w:tabs>
        <w:numPr>
          <w:ilvl w:val="0"/>
          <w:numId w:val="214"/>
        </w:numPr>
        <w:rPr>
          <w:rFonts w:ascii="Arial" w:cs="Arial" w:eastAsia="Arial" w:hAnsi="Arial"/>
          <w:sz w:val="13"/>
          <w:szCs w:val="13"/>
          <w:color w:val="61C4AF"/>
        </w:rPr>
      </w:pPr>
      <w:r>
        <w:rPr>
          <w:rFonts w:ascii="Arial" w:cs="Arial" w:eastAsia="Arial" w:hAnsi="Arial"/>
          <w:sz w:val="13"/>
          <w:szCs w:val="13"/>
          <w:color w:val="auto"/>
        </w:rPr>
        <w:t>For PSU awards, a pro rata portion of the target number of PSUs subject to the award will remain outstanding and eligible to vest based on actual achievement of the performance goals over the performance period.</w:t>
      </w:r>
    </w:p>
    <w:p>
      <w:pPr>
        <w:spacing w:after="0" w:line="158"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Termination for Cause / Misconduct</w:t>
      </w:r>
    </w:p>
    <w:p>
      <w:pPr>
        <w:spacing w:after="0" w:line="257" w:lineRule="exact"/>
        <w:rPr>
          <w:sz w:val="20"/>
          <w:szCs w:val="20"/>
          <w:color w:val="auto"/>
        </w:rPr>
      </w:pPr>
    </w:p>
    <w:p>
      <w:pPr>
        <w:ind w:right="500"/>
        <w:spacing w:after="0" w:line="258" w:lineRule="auto"/>
        <w:rPr>
          <w:sz w:val="20"/>
          <w:szCs w:val="20"/>
          <w:color w:val="auto"/>
        </w:rPr>
      </w:pPr>
      <w:r>
        <w:rPr>
          <w:rFonts w:ascii="Arial" w:cs="Arial" w:eastAsia="Arial" w:hAnsi="Arial"/>
          <w:sz w:val="13"/>
          <w:szCs w:val="13"/>
          <w:color w:val="auto"/>
        </w:rPr>
        <w:t>In the event an executive’s employment is terminated for cause due to the executive’s misconduct or violation of company policy, among other reasons, the executive will forfeit all outstanding incentives, including unearned or unvested LTI and STI awards. In addition, the executive would not be eligible for severance benefits.</w:t>
      </w:r>
    </w:p>
    <w:p>
      <w:pPr>
        <w:spacing w:after="0" w:line="187" w:lineRule="exact"/>
        <w:rPr>
          <w:sz w:val="20"/>
          <w:szCs w:val="20"/>
          <w:color w:val="auto"/>
        </w:rPr>
      </w:pPr>
    </w:p>
    <w:p>
      <w:pPr>
        <w:ind w:left="440" w:hanging="432"/>
        <w:spacing w:after="0"/>
        <w:tabs>
          <w:tab w:leader="none" w:pos="440" w:val="left"/>
        </w:tabs>
        <w:numPr>
          <w:ilvl w:val="0"/>
          <w:numId w:val="215"/>
        </w:numPr>
        <w:rPr>
          <w:rFonts w:ascii="Arial" w:cs="Arial" w:eastAsia="Arial" w:hAnsi="Arial"/>
          <w:sz w:val="18"/>
          <w:szCs w:val="18"/>
          <w:b w:val="1"/>
          <w:bCs w:val="1"/>
          <w:color w:val="23628F"/>
        </w:rPr>
      </w:pPr>
      <w:r>
        <w:rPr>
          <w:rFonts w:ascii="Arial" w:cs="Arial" w:eastAsia="Arial" w:hAnsi="Arial"/>
          <w:sz w:val="13"/>
          <w:szCs w:val="13"/>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153275" cy="215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ind w:left="8260"/>
        <w:spacing w:after="0"/>
        <w:rPr>
          <w:sz w:val="20"/>
          <w:szCs w:val="20"/>
          <w:color w:val="auto"/>
        </w:rPr>
      </w:pPr>
      <w:r>
        <w:rPr>
          <w:rFonts w:ascii="Arial" w:cs="Arial" w:eastAsia="Arial" w:hAnsi="Arial"/>
          <w:sz w:val="13"/>
          <w:szCs w:val="13"/>
          <w:color w:val="23628F"/>
        </w:rPr>
        <w:t>COMPENSATION DISCUSSION AND ANALYSIS</w:t>
      </w:r>
    </w:p>
    <w:p>
      <w:pPr>
        <w:spacing w:after="0" w:line="182"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Calculation of Potential Payments upon Termination or Change in Control</w:t>
      </w:r>
    </w:p>
    <w:p>
      <w:pPr>
        <w:spacing w:after="0" w:line="257" w:lineRule="exact"/>
        <w:rPr>
          <w:sz w:val="20"/>
          <w:szCs w:val="20"/>
          <w:color w:val="auto"/>
        </w:rPr>
      </w:pPr>
    </w:p>
    <w:p>
      <w:pPr>
        <w:ind w:right="120"/>
        <w:spacing w:after="0" w:line="251" w:lineRule="auto"/>
        <w:rPr>
          <w:sz w:val="20"/>
          <w:szCs w:val="20"/>
          <w:color w:val="auto"/>
        </w:rPr>
      </w:pPr>
      <w:r>
        <w:rPr>
          <w:rFonts w:ascii="Arial" w:cs="Arial" w:eastAsia="Arial" w:hAnsi="Arial"/>
          <w:sz w:val="13"/>
          <w:szCs w:val="13"/>
          <w:color w:val="auto"/>
        </w:rPr>
        <w:t>The following table presents our estimate of the benefits payable to our named executive officers, other than Mr. Cordano, under the agreements and plans described above in connection with certain terminations of their employment with us and/or a change in control. In calculating the amount of any potential payments to our named executive officers, we assumed the following:</w:t>
      </w:r>
    </w:p>
    <w:p>
      <w:pPr>
        <w:spacing w:after="0" w:line="349" w:lineRule="exact"/>
        <w:rPr>
          <w:sz w:val="20"/>
          <w:szCs w:val="20"/>
          <w:color w:val="auto"/>
        </w:rPr>
      </w:pPr>
    </w:p>
    <w:p>
      <w:pPr>
        <w:ind w:left="240" w:hanging="232"/>
        <w:spacing w:after="0"/>
        <w:tabs>
          <w:tab w:leader="none" w:pos="240" w:val="left"/>
        </w:tabs>
        <w:numPr>
          <w:ilvl w:val="0"/>
          <w:numId w:val="216"/>
        </w:numPr>
        <w:rPr>
          <w:rFonts w:ascii="Arial" w:cs="Arial" w:eastAsia="Arial" w:hAnsi="Arial"/>
          <w:sz w:val="13"/>
          <w:szCs w:val="13"/>
          <w:color w:val="61C4AF"/>
        </w:rPr>
      </w:pPr>
      <w:r>
        <w:rPr>
          <w:rFonts w:ascii="Arial" w:cs="Arial" w:eastAsia="Arial" w:hAnsi="Arial"/>
          <w:sz w:val="13"/>
          <w:szCs w:val="13"/>
          <w:color w:val="auto"/>
        </w:rPr>
        <w:t>The applicable triggering event (i.e., qualifying termination of employment and/or change in control) occurred on July 3, 2020.</w:t>
      </w:r>
    </w:p>
    <w:p>
      <w:pPr>
        <w:spacing w:after="0" w:line="66" w:lineRule="exact"/>
        <w:rPr>
          <w:rFonts w:ascii="Arial" w:cs="Arial" w:eastAsia="Arial" w:hAnsi="Arial"/>
          <w:sz w:val="13"/>
          <w:szCs w:val="13"/>
          <w:color w:val="61C4AF"/>
        </w:rPr>
      </w:pPr>
    </w:p>
    <w:p>
      <w:pPr>
        <w:ind w:left="240" w:hanging="232"/>
        <w:spacing w:after="0"/>
        <w:tabs>
          <w:tab w:leader="none" w:pos="240" w:val="left"/>
        </w:tabs>
        <w:numPr>
          <w:ilvl w:val="0"/>
          <w:numId w:val="216"/>
        </w:numPr>
        <w:rPr>
          <w:rFonts w:ascii="Arial" w:cs="Arial" w:eastAsia="Arial" w:hAnsi="Arial"/>
          <w:sz w:val="13"/>
          <w:szCs w:val="13"/>
          <w:color w:val="61C4AF"/>
        </w:rPr>
      </w:pPr>
      <w:r>
        <w:rPr>
          <w:rFonts w:ascii="Arial" w:cs="Arial" w:eastAsia="Arial" w:hAnsi="Arial"/>
          <w:sz w:val="13"/>
          <w:szCs w:val="13"/>
          <w:color w:val="auto"/>
        </w:rPr>
        <w:t>The price per share of our common stock is equal to the closing price of our common stock on the Nasdaq Stock Market on July 2, 2020 ($42.44), the last trading day in fiscal 2020.</w:t>
      </w:r>
    </w:p>
    <w:p>
      <w:pPr>
        <w:spacing w:after="0" w:line="66" w:lineRule="exact"/>
        <w:rPr>
          <w:rFonts w:ascii="Arial" w:cs="Arial" w:eastAsia="Arial" w:hAnsi="Arial"/>
          <w:sz w:val="13"/>
          <w:szCs w:val="13"/>
          <w:color w:val="61C4AF"/>
        </w:rPr>
      </w:pPr>
    </w:p>
    <w:p>
      <w:pPr>
        <w:ind w:left="240" w:right="200" w:hanging="232"/>
        <w:spacing w:after="0" w:line="258" w:lineRule="auto"/>
        <w:tabs>
          <w:tab w:leader="none" w:pos="240" w:val="left"/>
        </w:tabs>
        <w:numPr>
          <w:ilvl w:val="0"/>
          <w:numId w:val="216"/>
        </w:numPr>
        <w:rPr>
          <w:rFonts w:ascii="Arial" w:cs="Arial" w:eastAsia="Arial" w:hAnsi="Arial"/>
          <w:sz w:val="13"/>
          <w:szCs w:val="13"/>
          <w:color w:val="61C4AF"/>
        </w:rPr>
      </w:pPr>
      <w:r>
        <w:rPr>
          <w:rFonts w:ascii="Arial" w:cs="Arial" w:eastAsia="Arial" w:hAnsi="Arial"/>
          <w:sz w:val="13"/>
          <w:szCs w:val="13"/>
          <w:color w:val="auto"/>
        </w:rPr>
        <w:t>In the case of a change in control, our company does not survive the change in control, and all outstanding incentive awards (and corresponding outstanding dividend equivalents for RSUs and PSUs) are cashed out and terminated in the transaction.</w:t>
      </w:r>
    </w:p>
    <w:p>
      <w:pPr>
        <w:spacing w:after="0" w:line="43" w:lineRule="exact"/>
        <w:rPr>
          <w:rFonts w:ascii="Arial" w:cs="Arial" w:eastAsia="Arial" w:hAnsi="Arial"/>
          <w:sz w:val="13"/>
          <w:szCs w:val="13"/>
          <w:color w:val="61C4AF"/>
        </w:rPr>
      </w:pPr>
    </w:p>
    <w:p>
      <w:pPr>
        <w:ind w:left="240" w:right="220" w:hanging="232"/>
        <w:spacing w:after="0" w:line="258" w:lineRule="auto"/>
        <w:tabs>
          <w:tab w:leader="none" w:pos="240" w:val="left"/>
        </w:tabs>
        <w:numPr>
          <w:ilvl w:val="0"/>
          <w:numId w:val="216"/>
        </w:numPr>
        <w:rPr>
          <w:rFonts w:ascii="Arial" w:cs="Arial" w:eastAsia="Arial" w:hAnsi="Arial"/>
          <w:sz w:val="13"/>
          <w:szCs w:val="13"/>
          <w:color w:val="61C4AF"/>
        </w:rPr>
      </w:pPr>
      <w:r>
        <w:rPr>
          <w:rFonts w:ascii="Arial" w:cs="Arial" w:eastAsia="Arial" w:hAnsi="Arial"/>
          <w:sz w:val="13"/>
          <w:szCs w:val="13"/>
          <w:color w:val="auto"/>
        </w:rPr>
        <w:t>Not included in the table below are payments each named executive officer earned or accrued prior to termination, such as the balances under our Deferred Compensation Plan and previously vested equity and non-equity incentive awards, which are more fully described and quantified in the tables and narratives above.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5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04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Change in</w:t>
            </w:r>
          </w:p>
        </w:tc>
        <w:tc>
          <w:tcPr>
            <w:tcW w:w="94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740" w:type="dxa"/>
            <w:vAlign w:val="bottom"/>
          </w:tcPr>
          <w:p>
            <w:pPr>
              <w:spacing w:after="0"/>
              <w:rPr>
                <w:sz w:val="13"/>
                <w:szCs w:val="13"/>
                <w:color w:val="auto"/>
              </w:rPr>
            </w:pPr>
          </w:p>
        </w:tc>
      </w:tr>
      <w:tr>
        <w:trPr>
          <w:trHeight w:val="148"/>
        </w:trPr>
        <w:tc>
          <w:tcPr>
            <w:tcW w:w="15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04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Control-With</w:t>
            </w:r>
          </w:p>
        </w:tc>
        <w:tc>
          <w:tcPr>
            <w:tcW w:w="94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Involuntary</w:t>
            </w:r>
          </w:p>
        </w:tc>
        <w:tc>
          <w:tcPr>
            <w:tcW w:w="86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r>
      <w:tr>
        <w:trPr>
          <w:trHeight w:val="148"/>
        </w:trPr>
        <w:tc>
          <w:tcPr>
            <w:tcW w:w="15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04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Change in</w:t>
            </w:r>
          </w:p>
        </w:tc>
        <w:tc>
          <w:tcPr>
            <w:tcW w:w="9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Termination</w:t>
            </w:r>
          </w:p>
        </w:tc>
        <w:tc>
          <w:tcPr>
            <w:tcW w:w="94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Termination</w:t>
            </w:r>
          </w:p>
        </w:tc>
        <w:tc>
          <w:tcPr>
            <w:tcW w:w="86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r>
      <w:tr>
        <w:trPr>
          <w:trHeight w:val="148"/>
        </w:trPr>
        <w:tc>
          <w:tcPr>
            <w:tcW w:w="15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04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Control-No</w:t>
            </w:r>
          </w:p>
        </w:tc>
        <w:tc>
          <w:tcPr>
            <w:tcW w:w="9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Without</w:t>
            </w:r>
          </w:p>
        </w:tc>
        <w:tc>
          <w:tcPr>
            <w:tcW w:w="94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Without</w:t>
            </w:r>
          </w:p>
        </w:tc>
        <w:tc>
          <w:tcPr>
            <w:tcW w:w="86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r>
      <w:tr>
        <w:trPr>
          <w:trHeight w:val="149"/>
        </w:trPr>
        <w:tc>
          <w:tcPr>
            <w:tcW w:w="15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04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Termination</w:t>
            </w:r>
          </w:p>
        </w:tc>
        <w:tc>
          <w:tcPr>
            <w:tcW w:w="9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Cause</w:t>
            </w:r>
          </w:p>
        </w:tc>
        <w:tc>
          <w:tcPr>
            <w:tcW w:w="94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Cause-No</w:t>
            </w:r>
          </w:p>
        </w:tc>
        <w:tc>
          <w:tcPr>
            <w:tcW w:w="86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r>
      <w:tr>
        <w:trPr>
          <w:trHeight w:val="148"/>
        </w:trPr>
        <w:tc>
          <w:tcPr>
            <w:tcW w:w="15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04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(Awards</w:t>
            </w:r>
          </w:p>
        </w:tc>
        <w:tc>
          <w:tcPr>
            <w:tcW w:w="9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or For Good</w:t>
            </w:r>
          </w:p>
        </w:tc>
        <w:tc>
          <w:tcPr>
            <w:tcW w:w="94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Change in</w:t>
            </w:r>
          </w:p>
        </w:tc>
        <w:tc>
          <w:tcPr>
            <w:tcW w:w="86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Qualified</w:t>
            </w:r>
          </w:p>
        </w:tc>
        <w:tc>
          <w:tcPr>
            <w:tcW w:w="740" w:type="dxa"/>
            <w:vAlign w:val="bottom"/>
          </w:tcPr>
          <w:p>
            <w:pPr>
              <w:spacing w:after="0"/>
              <w:rPr>
                <w:sz w:val="12"/>
                <w:szCs w:val="12"/>
                <w:color w:val="auto"/>
              </w:rPr>
            </w:pPr>
          </w:p>
        </w:tc>
      </w:tr>
      <w:tr>
        <w:trPr>
          <w:trHeight w:val="179"/>
        </w:trPr>
        <w:tc>
          <w:tcPr>
            <w:tcW w:w="15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040" w:type="dxa"/>
            <w:vAlign w:val="bottom"/>
            <w:tcBorders>
              <w:right w:val="single" w:sz="8" w:color="auto"/>
            </w:tcBorders>
          </w:tcPr>
          <w:p>
            <w:pPr>
              <w:spacing w:after="0"/>
              <w:rPr>
                <w:sz w:val="20"/>
                <w:szCs w:val="20"/>
                <w:color w:val="auto"/>
              </w:rPr>
            </w:pPr>
            <w:r>
              <w:rPr>
                <w:rFonts w:ascii="Arial" w:cs="Arial" w:eastAsia="Arial" w:hAnsi="Arial"/>
                <w:sz w:val="13"/>
                <w:szCs w:val="13"/>
                <w:b w:val="1"/>
                <w:bCs w:val="1"/>
                <w:color w:val="auto"/>
              </w:rPr>
              <w:t>Compensation</w:t>
            </w:r>
          </w:p>
        </w:tc>
        <w:tc>
          <w:tcPr>
            <w:tcW w:w="10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Not Assumed)</w:t>
            </w:r>
          </w:p>
        </w:tc>
        <w:tc>
          <w:tcPr>
            <w:tcW w:w="9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Reason</w:t>
            </w:r>
          </w:p>
        </w:tc>
        <w:tc>
          <w:tcPr>
            <w:tcW w:w="94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Control</w:t>
            </w:r>
          </w:p>
        </w:tc>
        <w:tc>
          <w:tcPr>
            <w:tcW w:w="86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Retirement</w:t>
            </w:r>
          </w:p>
        </w:tc>
        <w:tc>
          <w:tcPr>
            <w:tcW w:w="740" w:type="dxa"/>
            <w:vAlign w:val="bottom"/>
          </w:tcPr>
          <w:p>
            <w:pPr>
              <w:jc w:val="right"/>
              <w:ind w:right="13"/>
              <w:spacing w:after="0"/>
              <w:rPr>
                <w:sz w:val="20"/>
                <w:szCs w:val="20"/>
                <w:color w:val="auto"/>
              </w:rPr>
            </w:pPr>
            <w:r>
              <w:rPr>
                <w:rFonts w:ascii="Arial" w:cs="Arial" w:eastAsia="Arial" w:hAnsi="Arial"/>
                <w:sz w:val="13"/>
                <w:szCs w:val="13"/>
                <w:b w:val="1"/>
                <w:bCs w:val="1"/>
                <w:color w:val="auto"/>
              </w:rPr>
              <w:t>Death</w:t>
            </w:r>
          </w:p>
        </w:tc>
      </w:tr>
      <w:tr>
        <w:trPr>
          <w:trHeight w:val="203"/>
        </w:trPr>
        <w:tc>
          <w:tcPr>
            <w:tcW w:w="15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rPr>
              <w:t>Name</w:t>
            </w:r>
          </w:p>
        </w:tc>
        <w:tc>
          <w:tcPr>
            <w:tcW w:w="80" w:type="dxa"/>
            <w:vAlign w:val="bottom"/>
            <w:tcBorders>
              <w:bottom w:val="single" w:sz="8" w:color="auto"/>
            </w:tcBorders>
          </w:tcPr>
          <w:p>
            <w:pPr>
              <w:spacing w:after="0"/>
              <w:rPr>
                <w:sz w:val="17"/>
                <w:szCs w:val="17"/>
                <w:color w:val="auto"/>
              </w:rPr>
            </w:pPr>
          </w:p>
        </w:tc>
        <w:tc>
          <w:tcPr>
            <w:tcW w:w="5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Element</w:t>
            </w:r>
          </w:p>
        </w:tc>
        <w:tc>
          <w:tcPr>
            <w:tcW w:w="1080" w:type="dxa"/>
            <w:vAlign w:val="bottom"/>
            <w:tcBorders>
              <w:bottom w:val="single" w:sz="8" w:color="auto"/>
              <w:right w:val="single" w:sz="8" w:color="auto"/>
            </w:tcBorders>
          </w:tcPr>
          <w:p>
            <w:pPr>
              <w:jc w:val="right"/>
              <w:ind w:right="13"/>
              <w:spacing w:after="0" w:line="203"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2"/>
                <w:szCs w:val="22"/>
                <w:b w:val="1"/>
                <w:bCs w:val="1"/>
                <w:color w:val="auto"/>
                <w:vertAlign w:val="superscript"/>
              </w:rPr>
              <w:t>(1)</w:t>
            </w:r>
          </w:p>
        </w:tc>
        <w:tc>
          <w:tcPr>
            <w:tcW w:w="980" w:type="dxa"/>
            <w:vAlign w:val="bottom"/>
            <w:tcBorders>
              <w:bottom w:val="single" w:sz="8" w:color="auto"/>
              <w:right w:val="single" w:sz="8" w:color="auto"/>
            </w:tcBorders>
          </w:tcPr>
          <w:p>
            <w:pPr>
              <w:jc w:val="right"/>
              <w:ind w:right="13"/>
              <w:spacing w:after="0" w:line="203"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2"/>
                <w:szCs w:val="22"/>
                <w:b w:val="1"/>
                <w:bCs w:val="1"/>
                <w:color w:val="auto"/>
                <w:vertAlign w:val="superscript"/>
              </w:rPr>
              <w:t>(2)</w:t>
            </w:r>
          </w:p>
        </w:tc>
        <w:tc>
          <w:tcPr>
            <w:tcW w:w="940" w:type="dxa"/>
            <w:vAlign w:val="bottom"/>
            <w:tcBorders>
              <w:bottom w:val="single" w:sz="8" w:color="auto"/>
              <w:right w:val="single" w:sz="8" w:color="auto"/>
            </w:tcBorders>
          </w:tcPr>
          <w:p>
            <w:pPr>
              <w:jc w:val="right"/>
              <w:ind w:right="33"/>
              <w:spacing w:after="0" w:line="203"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2"/>
                <w:szCs w:val="22"/>
                <w:b w:val="1"/>
                <w:bCs w:val="1"/>
                <w:color w:val="auto"/>
                <w:vertAlign w:val="superscript"/>
              </w:rPr>
              <w:t>(3)</w:t>
            </w:r>
          </w:p>
        </w:tc>
        <w:tc>
          <w:tcPr>
            <w:tcW w:w="860" w:type="dxa"/>
            <w:vAlign w:val="bottom"/>
            <w:tcBorders>
              <w:bottom w:val="single" w:sz="8" w:color="auto"/>
              <w:right w:val="single" w:sz="8" w:color="auto"/>
            </w:tcBorders>
          </w:tcPr>
          <w:p>
            <w:pPr>
              <w:jc w:val="right"/>
              <w:ind w:right="13"/>
              <w:spacing w:after="0" w:line="203"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2"/>
                <w:szCs w:val="22"/>
                <w:b w:val="1"/>
                <w:bCs w:val="1"/>
                <w:color w:val="auto"/>
                <w:vertAlign w:val="superscript"/>
              </w:rPr>
              <w:t>(4)</w:t>
            </w:r>
          </w:p>
        </w:tc>
        <w:tc>
          <w:tcPr>
            <w:tcW w:w="740" w:type="dxa"/>
            <w:vAlign w:val="bottom"/>
            <w:tcBorders>
              <w:bottom w:val="single" w:sz="8" w:color="auto"/>
            </w:tcBorders>
          </w:tcPr>
          <w:p>
            <w:pPr>
              <w:jc w:val="right"/>
              <w:ind w:right="13"/>
              <w:spacing w:after="0" w:line="203"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2"/>
                <w:szCs w:val="22"/>
                <w:b w:val="1"/>
                <w:bCs w:val="1"/>
                <w:color w:val="auto"/>
                <w:vertAlign w:val="superscript"/>
              </w:rPr>
              <w:t>(5)</w:t>
            </w:r>
          </w:p>
        </w:tc>
      </w:tr>
      <w:tr>
        <w:trPr>
          <w:trHeight w:val="196"/>
        </w:trPr>
        <w:tc>
          <w:tcPr>
            <w:tcW w:w="1600" w:type="dxa"/>
            <w:vAlign w:val="bottom"/>
            <w:gridSpan w:val="2"/>
          </w:tcPr>
          <w:p>
            <w:pPr>
              <w:ind w:left="80"/>
              <w:spacing w:after="0"/>
              <w:rPr>
                <w:sz w:val="20"/>
                <w:szCs w:val="20"/>
                <w:color w:val="auto"/>
              </w:rPr>
            </w:pPr>
            <w:r>
              <w:rPr>
                <w:rFonts w:ascii="Arial" w:cs="Arial" w:eastAsia="Arial" w:hAnsi="Arial"/>
                <w:sz w:val="13"/>
                <w:szCs w:val="13"/>
                <w:b w:val="1"/>
                <w:bCs w:val="1"/>
                <w:color w:val="23628F"/>
              </w:rPr>
              <w:t>David V. Goeckeler</w:t>
            </w:r>
          </w:p>
        </w:tc>
        <w:tc>
          <w:tcPr>
            <w:tcW w:w="5040" w:type="dxa"/>
            <w:vAlign w:val="bottom"/>
          </w:tcPr>
          <w:p>
            <w:pPr>
              <w:spacing w:after="0"/>
              <w:rPr>
                <w:sz w:val="20"/>
                <w:szCs w:val="20"/>
                <w:color w:val="auto"/>
              </w:rPr>
            </w:pPr>
            <w:r>
              <w:rPr>
                <w:rFonts w:ascii="Arial" w:cs="Arial" w:eastAsia="Arial" w:hAnsi="Arial"/>
                <w:sz w:val="13"/>
                <w:szCs w:val="13"/>
                <w:color w:val="auto"/>
              </w:rPr>
              <w:t>Cash Severance</w:t>
            </w:r>
          </w:p>
        </w:tc>
        <w:tc>
          <w:tcPr>
            <w:tcW w:w="10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3"/>
              <w:spacing w:after="0"/>
              <w:rPr>
                <w:sz w:val="20"/>
                <w:szCs w:val="20"/>
                <w:color w:val="auto"/>
              </w:rPr>
            </w:pPr>
            <w:r>
              <w:rPr>
                <w:rFonts w:ascii="Arial" w:cs="Arial" w:eastAsia="Arial" w:hAnsi="Arial"/>
                <w:sz w:val="13"/>
                <w:szCs w:val="13"/>
                <w:color w:val="auto"/>
              </w:rPr>
              <w:t>6,875,000</w:t>
            </w:r>
          </w:p>
        </w:tc>
        <w:tc>
          <w:tcPr>
            <w:tcW w:w="940" w:type="dxa"/>
            <w:vAlign w:val="bottom"/>
          </w:tcPr>
          <w:p>
            <w:pPr>
              <w:jc w:val="right"/>
              <w:ind w:right="33"/>
              <w:spacing w:after="0"/>
              <w:rPr>
                <w:sz w:val="20"/>
                <w:szCs w:val="20"/>
                <w:color w:val="auto"/>
              </w:rPr>
            </w:pPr>
            <w:r>
              <w:rPr>
                <w:rFonts w:ascii="Arial" w:cs="Arial" w:eastAsia="Arial" w:hAnsi="Arial"/>
                <w:sz w:val="13"/>
                <w:szCs w:val="13"/>
                <w:color w:val="auto"/>
              </w:rPr>
              <w:t>3,173,077</w:t>
            </w: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w:t>
            </w:r>
          </w:p>
        </w:tc>
      </w:tr>
      <w:tr>
        <w:trPr>
          <w:trHeight w:val="41"/>
        </w:trPr>
        <w:tc>
          <w:tcPr>
            <w:tcW w:w="1520" w:type="dxa"/>
            <w:vAlign w:val="bottom"/>
          </w:tcPr>
          <w:p>
            <w:pPr>
              <w:spacing w:after="0"/>
              <w:rPr>
                <w:sz w:val="3"/>
                <w:szCs w:val="3"/>
                <w:color w:val="auto"/>
              </w:rPr>
            </w:pPr>
          </w:p>
        </w:tc>
        <w:tc>
          <w:tcPr>
            <w:tcW w:w="80" w:type="dxa"/>
            <w:vAlign w:val="bottom"/>
          </w:tcPr>
          <w:p>
            <w:pPr>
              <w:spacing w:after="0"/>
              <w:rPr>
                <w:sz w:val="3"/>
                <w:szCs w:val="3"/>
                <w:color w:val="auto"/>
              </w:rPr>
            </w:pPr>
          </w:p>
        </w:tc>
        <w:tc>
          <w:tcPr>
            <w:tcW w:w="504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980" w:type="dxa"/>
            <w:vAlign w:val="bottom"/>
            <w:tcBorders>
              <w:bottom w:val="single" w:sz="8" w:color="959595"/>
            </w:tcBorders>
          </w:tcPr>
          <w:p>
            <w:pPr>
              <w:spacing w:after="0"/>
              <w:rPr>
                <w:sz w:val="3"/>
                <w:szCs w:val="3"/>
                <w:color w:val="auto"/>
              </w:rPr>
            </w:pPr>
          </w:p>
        </w:tc>
        <w:tc>
          <w:tcPr>
            <w:tcW w:w="940" w:type="dxa"/>
            <w:vAlign w:val="bottom"/>
            <w:tcBorders>
              <w:bottom w:val="single" w:sz="8" w:color="959595"/>
            </w:tcBorders>
          </w:tcPr>
          <w:p>
            <w:pPr>
              <w:spacing w:after="0"/>
              <w:rPr>
                <w:sz w:val="3"/>
                <w:szCs w:val="3"/>
                <w:color w:val="auto"/>
              </w:rPr>
            </w:pPr>
          </w:p>
        </w:tc>
        <w:tc>
          <w:tcPr>
            <w:tcW w:w="860" w:type="dxa"/>
            <w:vAlign w:val="bottom"/>
            <w:tcBorders>
              <w:bottom w:val="single" w:sz="8" w:color="959595"/>
            </w:tcBorders>
          </w:tcPr>
          <w:p>
            <w:pPr>
              <w:spacing w:after="0"/>
              <w:rPr>
                <w:sz w:val="3"/>
                <w:szCs w:val="3"/>
                <w:color w:val="auto"/>
              </w:rPr>
            </w:pPr>
          </w:p>
        </w:tc>
        <w:tc>
          <w:tcPr>
            <w:tcW w:w="740" w:type="dxa"/>
            <w:vAlign w:val="bottom"/>
            <w:tcBorders>
              <w:bottom w:val="single" w:sz="8" w:color="959595"/>
            </w:tcBorders>
          </w:tcPr>
          <w:p>
            <w:pPr>
              <w:spacing w:after="0"/>
              <w:rPr>
                <w:sz w:val="3"/>
                <w:szCs w:val="3"/>
                <w:color w:val="auto"/>
              </w:rPr>
            </w:pPr>
          </w:p>
        </w:tc>
      </w:tr>
      <w:tr>
        <w:trPr>
          <w:trHeight w:val="290"/>
        </w:trPr>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40" w:type="dxa"/>
            <w:vAlign w:val="bottom"/>
            <w:tcBorders>
              <w:bottom w:val="single" w:sz="8" w:color="959595"/>
            </w:tcBorders>
          </w:tcPr>
          <w:p>
            <w:pPr>
              <w:spacing w:after="0"/>
              <w:rPr>
                <w:sz w:val="20"/>
                <w:szCs w:val="20"/>
                <w:color w:val="auto"/>
              </w:rPr>
            </w:pPr>
            <w:r>
              <w:rPr>
                <w:rFonts w:ascii="Arial" w:cs="Arial" w:eastAsia="Arial" w:hAnsi="Arial"/>
                <w:sz w:val="13"/>
                <w:szCs w:val="13"/>
                <w:color w:val="auto"/>
              </w:rPr>
              <w:t>Option Acceleration</w:t>
            </w:r>
            <w:r>
              <w:rPr>
                <w:rFonts w:ascii="Arial" w:cs="Arial" w:eastAsia="Arial" w:hAnsi="Arial"/>
                <w:sz w:val="22"/>
                <w:szCs w:val="22"/>
                <w:color w:val="auto"/>
                <w:vertAlign w:val="superscript"/>
              </w:rPr>
              <w:t>(6)</w:t>
            </w:r>
          </w:p>
        </w:tc>
        <w:tc>
          <w:tcPr>
            <w:tcW w:w="10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r>
      <w:tr>
        <w:trPr>
          <w:trHeight w:val="291"/>
        </w:trPr>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40" w:type="dxa"/>
            <w:vAlign w:val="bottom"/>
            <w:tcBorders>
              <w:bottom w:val="single" w:sz="8" w:color="959595"/>
            </w:tcBorders>
          </w:tcPr>
          <w:p>
            <w:pPr>
              <w:spacing w:after="0"/>
              <w:rPr>
                <w:sz w:val="20"/>
                <w:szCs w:val="20"/>
                <w:color w:val="auto"/>
              </w:rPr>
            </w:pPr>
            <w:r>
              <w:rPr>
                <w:rFonts w:ascii="Arial" w:cs="Arial" w:eastAsia="Arial" w:hAnsi="Arial"/>
                <w:sz w:val="13"/>
                <w:szCs w:val="13"/>
                <w:color w:val="auto"/>
              </w:rPr>
              <w:t>RSU Acceleration</w:t>
            </w:r>
            <w:r>
              <w:rPr>
                <w:rFonts w:ascii="Arial" w:cs="Arial" w:eastAsia="Arial" w:hAnsi="Arial"/>
                <w:sz w:val="22"/>
                <w:szCs w:val="22"/>
                <w:color w:val="auto"/>
                <w:vertAlign w:val="superscript"/>
              </w:rPr>
              <w:t>(7)</w:t>
            </w:r>
          </w:p>
        </w:tc>
        <w:tc>
          <w:tcPr>
            <w:tcW w:w="10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9,059,351</w:t>
            </w:r>
          </w:p>
        </w:tc>
        <w:tc>
          <w:tcPr>
            <w:tcW w:w="9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9,059,351</w:t>
            </w:r>
          </w:p>
        </w:tc>
        <w:tc>
          <w:tcPr>
            <w:tcW w:w="94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9,059,351</w:t>
            </w:r>
          </w:p>
        </w:tc>
        <w:tc>
          <w:tcPr>
            <w:tcW w:w="8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1,449,992</w:t>
            </w:r>
          </w:p>
        </w:tc>
      </w:tr>
      <w:tr>
        <w:trPr>
          <w:trHeight w:val="291"/>
        </w:trPr>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40" w:type="dxa"/>
            <w:vAlign w:val="bottom"/>
            <w:tcBorders>
              <w:bottom w:val="single" w:sz="8" w:color="959595"/>
            </w:tcBorders>
          </w:tcPr>
          <w:p>
            <w:pPr>
              <w:spacing w:after="0"/>
              <w:rPr>
                <w:sz w:val="20"/>
                <w:szCs w:val="20"/>
                <w:color w:val="auto"/>
              </w:rPr>
            </w:pPr>
            <w:r>
              <w:rPr>
                <w:rFonts w:ascii="Arial" w:cs="Arial" w:eastAsia="Arial" w:hAnsi="Arial"/>
                <w:sz w:val="13"/>
                <w:szCs w:val="13"/>
                <w:color w:val="auto"/>
              </w:rPr>
              <w:t>PSU Acceleration</w:t>
            </w:r>
            <w:r>
              <w:rPr>
                <w:rFonts w:ascii="Arial" w:cs="Arial" w:eastAsia="Arial" w:hAnsi="Arial"/>
                <w:sz w:val="22"/>
                <w:szCs w:val="22"/>
                <w:color w:val="auto"/>
                <w:vertAlign w:val="superscript"/>
              </w:rPr>
              <w:t>(8)</w:t>
            </w:r>
          </w:p>
        </w:tc>
        <w:tc>
          <w:tcPr>
            <w:tcW w:w="10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18,571,691</w:t>
            </w:r>
          </w:p>
        </w:tc>
        <w:tc>
          <w:tcPr>
            <w:tcW w:w="9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18,571,691</w:t>
            </w:r>
          </w:p>
        </w:tc>
        <w:tc>
          <w:tcPr>
            <w:tcW w:w="94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18,571,691</w:t>
            </w:r>
          </w:p>
        </w:tc>
        <w:tc>
          <w:tcPr>
            <w:tcW w:w="8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1,984,372</w:t>
            </w:r>
          </w:p>
        </w:tc>
      </w:tr>
      <w:tr>
        <w:trPr>
          <w:trHeight w:val="290"/>
        </w:trPr>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40" w:type="dxa"/>
            <w:vAlign w:val="bottom"/>
            <w:tcBorders>
              <w:bottom w:val="single" w:sz="8" w:color="959595"/>
            </w:tcBorders>
          </w:tcPr>
          <w:p>
            <w:pPr>
              <w:spacing w:after="0"/>
              <w:rPr>
                <w:sz w:val="20"/>
                <w:szCs w:val="20"/>
                <w:color w:val="auto"/>
              </w:rPr>
            </w:pPr>
            <w:r>
              <w:rPr>
                <w:rFonts w:ascii="Arial" w:cs="Arial" w:eastAsia="Arial" w:hAnsi="Arial"/>
                <w:sz w:val="13"/>
                <w:szCs w:val="13"/>
                <w:color w:val="auto"/>
              </w:rPr>
              <w:t>Continuation of Benefits</w:t>
            </w:r>
            <w:r>
              <w:rPr>
                <w:rFonts w:ascii="Arial" w:cs="Arial" w:eastAsia="Arial" w:hAnsi="Arial"/>
                <w:sz w:val="22"/>
                <w:szCs w:val="22"/>
                <w:color w:val="auto"/>
                <w:vertAlign w:val="superscript"/>
              </w:rPr>
              <w:t>(9)</w:t>
            </w:r>
          </w:p>
        </w:tc>
        <w:tc>
          <w:tcPr>
            <w:tcW w:w="10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47,003</w:t>
            </w:r>
          </w:p>
        </w:tc>
        <w:tc>
          <w:tcPr>
            <w:tcW w:w="94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24,945</w:t>
            </w:r>
          </w:p>
        </w:tc>
        <w:tc>
          <w:tcPr>
            <w:tcW w:w="8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r>
      <w:tr>
        <w:trPr>
          <w:trHeight w:val="196"/>
        </w:trPr>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Arial" w:cs="Arial" w:eastAsia="Arial" w:hAnsi="Arial"/>
                <w:sz w:val="13"/>
                <w:szCs w:val="13"/>
                <w:color w:val="auto"/>
              </w:rPr>
              <w:t>Value of Outplacement Services</w:t>
            </w:r>
          </w:p>
        </w:tc>
        <w:tc>
          <w:tcPr>
            <w:tcW w:w="10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3"/>
              <w:spacing w:after="0"/>
              <w:rPr>
                <w:sz w:val="20"/>
                <w:szCs w:val="20"/>
                <w:color w:val="auto"/>
              </w:rPr>
            </w:pPr>
            <w:r>
              <w:rPr>
                <w:rFonts w:ascii="Arial" w:cs="Arial" w:eastAsia="Arial" w:hAnsi="Arial"/>
                <w:sz w:val="13"/>
                <w:szCs w:val="13"/>
                <w:color w:val="auto"/>
              </w:rPr>
              <w:t>3,200</w:t>
            </w: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w:t>
            </w:r>
          </w:p>
        </w:tc>
      </w:tr>
      <w:tr>
        <w:trPr>
          <w:trHeight w:val="41"/>
        </w:trPr>
        <w:tc>
          <w:tcPr>
            <w:tcW w:w="1520" w:type="dxa"/>
            <w:vAlign w:val="bottom"/>
          </w:tcPr>
          <w:p>
            <w:pPr>
              <w:spacing w:after="0"/>
              <w:rPr>
                <w:sz w:val="3"/>
                <w:szCs w:val="3"/>
                <w:color w:val="auto"/>
              </w:rPr>
            </w:pPr>
          </w:p>
        </w:tc>
        <w:tc>
          <w:tcPr>
            <w:tcW w:w="80" w:type="dxa"/>
            <w:vAlign w:val="bottom"/>
          </w:tcPr>
          <w:p>
            <w:pPr>
              <w:spacing w:after="0"/>
              <w:rPr>
                <w:sz w:val="3"/>
                <w:szCs w:val="3"/>
                <w:color w:val="auto"/>
              </w:rPr>
            </w:pPr>
          </w:p>
        </w:tc>
        <w:tc>
          <w:tcPr>
            <w:tcW w:w="504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980" w:type="dxa"/>
            <w:vAlign w:val="bottom"/>
            <w:tcBorders>
              <w:bottom w:val="single" w:sz="8" w:color="959595"/>
            </w:tcBorders>
          </w:tcPr>
          <w:p>
            <w:pPr>
              <w:spacing w:after="0"/>
              <w:rPr>
                <w:sz w:val="3"/>
                <w:szCs w:val="3"/>
                <w:color w:val="auto"/>
              </w:rPr>
            </w:pPr>
          </w:p>
        </w:tc>
        <w:tc>
          <w:tcPr>
            <w:tcW w:w="940" w:type="dxa"/>
            <w:vAlign w:val="bottom"/>
            <w:tcBorders>
              <w:bottom w:val="single" w:sz="8" w:color="959595"/>
            </w:tcBorders>
          </w:tcPr>
          <w:p>
            <w:pPr>
              <w:spacing w:after="0"/>
              <w:rPr>
                <w:sz w:val="3"/>
                <w:szCs w:val="3"/>
                <w:color w:val="auto"/>
              </w:rPr>
            </w:pPr>
          </w:p>
        </w:tc>
        <w:tc>
          <w:tcPr>
            <w:tcW w:w="860" w:type="dxa"/>
            <w:vAlign w:val="bottom"/>
            <w:tcBorders>
              <w:bottom w:val="single" w:sz="8" w:color="959595"/>
            </w:tcBorders>
          </w:tcPr>
          <w:p>
            <w:pPr>
              <w:spacing w:after="0"/>
              <w:rPr>
                <w:sz w:val="3"/>
                <w:szCs w:val="3"/>
                <w:color w:val="auto"/>
              </w:rPr>
            </w:pPr>
          </w:p>
        </w:tc>
        <w:tc>
          <w:tcPr>
            <w:tcW w:w="740" w:type="dxa"/>
            <w:vAlign w:val="bottom"/>
            <w:tcBorders>
              <w:bottom w:val="single" w:sz="8" w:color="959595"/>
            </w:tcBorders>
          </w:tcPr>
          <w:p>
            <w:pPr>
              <w:spacing w:after="0"/>
              <w:rPr>
                <w:sz w:val="3"/>
                <w:szCs w:val="3"/>
                <w:color w:val="auto"/>
              </w:rPr>
            </w:pPr>
          </w:p>
        </w:tc>
      </w:tr>
      <w:tr>
        <w:trPr>
          <w:trHeight w:val="195"/>
        </w:trPr>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Arial" w:cs="Arial" w:eastAsia="Arial" w:hAnsi="Arial"/>
                <w:sz w:val="13"/>
                <w:szCs w:val="13"/>
                <w:b w:val="1"/>
                <w:bCs w:val="1"/>
                <w:color w:val="auto"/>
              </w:rPr>
              <w:t>TOTAL</w:t>
            </w:r>
          </w:p>
        </w:tc>
        <w:tc>
          <w:tcPr>
            <w:tcW w:w="1080" w:type="dxa"/>
            <w:vAlign w:val="bottom"/>
          </w:tcPr>
          <w:p>
            <w:pPr>
              <w:jc w:val="right"/>
              <w:ind w:right="13"/>
              <w:spacing w:after="0"/>
              <w:rPr>
                <w:sz w:val="20"/>
                <w:szCs w:val="20"/>
                <w:color w:val="auto"/>
              </w:rPr>
            </w:pPr>
            <w:r>
              <w:rPr>
                <w:rFonts w:ascii="Arial" w:cs="Arial" w:eastAsia="Arial" w:hAnsi="Arial"/>
                <w:sz w:val="13"/>
                <w:szCs w:val="13"/>
                <w:color w:val="auto"/>
              </w:rPr>
              <w:t>27,631,042</w:t>
            </w:r>
          </w:p>
        </w:tc>
        <w:tc>
          <w:tcPr>
            <w:tcW w:w="980" w:type="dxa"/>
            <w:vAlign w:val="bottom"/>
          </w:tcPr>
          <w:p>
            <w:pPr>
              <w:jc w:val="right"/>
              <w:ind w:right="13"/>
              <w:spacing w:after="0"/>
              <w:rPr>
                <w:sz w:val="20"/>
                <w:szCs w:val="20"/>
                <w:color w:val="auto"/>
              </w:rPr>
            </w:pPr>
            <w:r>
              <w:rPr>
                <w:rFonts w:ascii="Arial" w:cs="Arial" w:eastAsia="Arial" w:hAnsi="Arial"/>
                <w:sz w:val="13"/>
                <w:szCs w:val="13"/>
                <w:color w:val="auto"/>
              </w:rPr>
              <w:t>34,553,045</w:t>
            </w:r>
          </w:p>
        </w:tc>
        <w:tc>
          <w:tcPr>
            <w:tcW w:w="940" w:type="dxa"/>
            <w:vAlign w:val="bottom"/>
          </w:tcPr>
          <w:p>
            <w:pPr>
              <w:jc w:val="right"/>
              <w:ind w:right="33"/>
              <w:spacing w:after="0"/>
              <w:rPr>
                <w:sz w:val="20"/>
                <w:szCs w:val="20"/>
                <w:color w:val="auto"/>
              </w:rPr>
            </w:pPr>
            <w:r>
              <w:rPr>
                <w:rFonts w:ascii="Arial" w:cs="Arial" w:eastAsia="Arial" w:hAnsi="Arial"/>
                <w:sz w:val="13"/>
                <w:szCs w:val="13"/>
                <w:color w:val="auto"/>
              </w:rPr>
              <w:t>30,832,264</w:t>
            </w: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3,434,364</w:t>
            </w:r>
          </w:p>
        </w:tc>
      </w:tr>
      <w:tr>
        <w:trPr>
          <w:trHeight w:val="41"/>
        </w:trPr>
        <w:tc>
          <w:tcPr>
            <w:tcW w:w="1520" w:type="dxa"/>
            <w:vAlign w:val="bottom"/>
            <w:tcBorders>
              <w:bottom w:val="single" w:sz="8" w:color="959595"/>
            </w:tcBorders>
          </w:tcPr>
          <w:p>
            <w:pPr>
              <w:spacing w:after="0"/>
              <w:rPr>
                <w:sz w:val="3"/>
                <w:szCs w:val="3"/>
                <w:color w:val="auto"/>
              </w:rPr>
            </w:pPr>
          </w:p>
        </w:tc>
        <w:tc>
          <w:tcPr>
            <w:tcW w:w="80" w:type="dxa"/>
            <w:vAlign w:val="bottom"/>
            <w:tcBorders>
              <w:bottom w:val="single" w:sz="8" w:color="959595"/>
            </w:tcBorders>
          </w:tcPr>
          <w:p>
            <w:pPr>
              <w:spacing w:after="0"/>
              <w:rPr>
                <w:sz w:val="3"/>
                <w:szCs w:val="3"/>
                <w:color w:val="auto"/>
              </w:rPr>
            </w:pPr>
          </w:p>
        </w:tc>
        <w:tc>
          <w:tcPr>
            <w:tcW w:w="504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980" w:type="dxa"/>
            <w:vAlign w:val="bottom"/>
            <w:tcBorders>
              <w:bottom w:val="single" w:sz="8" w:color="959595"/>
            </w:tcBorders>
          </w:tcPr>
          <w:p>
            <w:pPr>
              <w:spacing w:after="0"/>
              <w:rPr>
                <w:sz w:val="3"/>
                <w:szCs w:val="3"/>
                <w:color w:val="auto"/>
              </w:rPr>
            </w:pPr>
          </w:p>
        </w:tc>
        <w:tc>
          <w:tcPr>
            <w:tcW w:w="940" w:type="dxa"/>
            <w:vAlign w:val="bottom"/>
            <w:tcBorders>
              <w:bottom w:val="single" w:sz="8" w:color="959595"/>
            </w:tcBorders>
          </w:tcPr>
          <w:p>
            <w:pPr>
              <w:spacing w:after="0"/>
              <w:rPr>
                <w:sz w:val="3"/>
                <w:szCs w:val="3"/>
                <w:color w:val="auto"/>
              </w:rPr>
            </w:pPr>
          </w:p>
        </w:tc>
        <w:tc>
          <w:tcPr>
            <w:tcW w:w="860" w:type="dxa"/>
            <w:vAlign w:val="bottom"/>
            <w:tcBorders>
              <w:bottom w:val="single" w:sz="8" w:color="959595"/>
            </w:tcBorders>
          </w:tcPr>
          <w:p>
            <w:pPr>
              <w:spacing w:after="0"/>
              <w:rPr>
                <w:sz w:val="3"/>
                <w:szCs w:val="3"/>
                <w:color w:val="auto"/>
              </w:rPr>
            </w:pPr>
          </w:p>
        </w:tc>
        <w:tc>
          <w:tcPr>
            <w:tcW w:w="740" w:type="dxa"/>
            <w:vAlign w:val="bottom"/>
            <w:tcBorders>
              <w:bottom w:val="single" w:sz="8" w:color="959595"/>
            </w:tcBorders>
          </w:tcPr>
          <w:p>
            <w:pPr>
              <w:spacing w:after="0"/>
              <w:rPr>
                <w:sz w:val="3"/>
                <w:szCs w:val="3"/>
                <w:color w:val="auto"/>
              </w:rPr>
            </w:pPr>
          </w:p>
        </w:tc>
      </w:tr>
      <w:tr>
        <w:trPr>
          <w:trHeight w:val="196"/>
        </w:trPr>
        <w:tc>
          <w:tcPr>
            <w:tcW w:w="1600" w:type="dxa"/>
            <w:vAlign w:val="bottom"/>
            <w:gridSpan w:val="2"/>
          </w:tcPr>
          <w:p>
            <w:pPr>
              <w:ind w:left="80"/>
              <w:spacing w:after="0"/>
              <w:rPr>
                <w:sz w:val="20"/>
                <w:szCs w:val="20"/>
                <w:color w:val="auto"/>
              </w:rPr>
            </w:pPr>
            <w:r>
              <w:rPr>
                <w:rFonts w:ascii="Arial" w:cs="Arial" w:eastAsia="Arial" w:hAnsi="Arial"/>
                <w:sz w:val="13"/>
                <w:szCs w:val="13"/>
                <w:b w:val="1"/>
                <w:bCs w:val="1"/>
                <w:color w:val="23628F"/>
              </w:rPr>
              <w:t>Robert K. Eulau</w:t>
            </w:r>
          </w:p>
        </w:tc>
        <w:tc>
          <w:tcPr>
            <w:tcW w:w="5040" w:type="dxa"/>
            <w:vAlign w:val="bottom"/>
          </w:tcPr>
          <w:p>
            <w:pPr>
              <w:spacing w:after="0"/>
              <w:rPr>
                <w:sz w:val="20"/>
                <w:szCs w:val="20"/>
                <w:color w:val="auto"/>
              </w:rPr>
            </w:pPr>
            <w:r>
              <w:rPr>
                <w:rFonts w:ascii="Arial" w:cs="Arial" w:eastAsia="Arial" w:hAnsi="Arial"/>
                <w:sz w:val="13"/>
                <w:szCs w:val="13"/>
                <w:color w:val="auto"/>
              </w:rPr>
              <w:t>Cash Severance</w:t>
            </w:r>
          </w:p>
        </w:tc>
        <w:tc>
          <w:tcPr>
            <w:tcW w:w="10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3"/>
              <w:spacing w:after="0"/>
              <w:rPr>
                <w:sz w:val="20"/>
                <w:szCs w:val="20"/>
                <w:color w:val="auto"/>
              </w:rPr>
            </w:pPr>
            <w:r>
              <w:rPr>
                <w:rFonts w:ascii="Arial" w:cs="Arial" w:eastAsia="Arial" w:hAnsi="Arial"/>
                <w:sz w:val="13"/>
                <w:szCs w:val="13"/>
                <w:color w:val="auto"/>
              </w:rPr>
              <w:t>3,003,000</w:t>
            </w:r>
          </w:p>
        </w:tc>
        <w:tc>
          <w:tcPr>
            <w:tcW w:w="940" w:type="dxa"/>
            <w:vAlign w:val="bottom"/>
          </w:tcPr>
          <w:p>
            <w:pPr>
              <w:jc w:val="right"/>
              <w:ind w:right="33"/>
              <w:spacing w:after="0"/>
              <w:rPr>
                <w:sz w:val="20"/>
                <w:szCs w:val="20"/>
                <w:color w:val="auto"/>
              </w:rPr>
            </w:pPr>
            <w:r>
              <w:rPr>
                <w:rFonts w:ascii="Arial" w:cs="Arial" w:eastAsia="Arial" w:hAnsi="Arial"/>
                <w:sz w:val="13"/>
                <w:szCs w:val="13"/>
                <w:color w:val="auto"/>
              </w:rPr>
              <w:t>2,216,500</w:t>
            </w: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w:t>
            </w:r>
          </w:p>
        </w:tc>
      </w:tr>
      <w:tr>
        <w:trPr>
          <w:trHeight w:val="41"/>
        </w:trPr>
        <w:tc>
          <w:tcPr>
            <w:tcW w:w="1520" w:type="dxa"/>
            <w:vAlign w:val="bottom"/>
          </w:tcPr>
          <w:p>
            <w:pPr>
              <w:spacing w:after="0"/>
              <w:rPr>
                <w:sz w:val="3"/>
                <w:szCs w:val="3"/>
                <w:color w:val="auto"/>
              </w:rPr>
            </w:pPr>
          </w:p>
        </w:tc>
        <w:tc>
          <w:tcPr>
            <w:tcW w:w="80" w:type="dxa"/>
            <w:vAlign w:val="bottom"/>
          </w:tcPr>
          <w:p>
            <w:pPr>
              <w:spacing w:after="0"/>
              <w:rPr>
                <w:sz w:val="3"/>
                <w:szCs w:val="3"/>
                <w:color w:val="auto"/>
              </w:rPr>
            </w:pPr>
          </w:p>
        </w:tc>
        <w:tc>
          <w:tcPr>
            <w:tcW w:w="504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980" w:type="dxa"/>
            <w:vAlign w:val="bottom"/>
            <w:tcBorders>
              <w:bottom w:val="single" w:sz="8" w:color="959595"/>
            </w:tcBorders>
          </w:tcPr>
          <w:p>
            <w:pPr>
              <w:spacing w:after="0"/>
              <w:rPr>
                <w:sz w:val="3"/>
                <w:szCs w:val="3"/>
                <w:color w:val="auto"/>
              </w:rPr>
            </w:pPr>
          </w:p>
        </w:tc>
        <w:tc>
          <w:tcPr>
            <w:tcW w:w="940" w:type="dxa"/>
            <w:vAlign w:val="bottom"/>
            <w:tcBorders>
              <w:bottom w:val="single" w:sz="8" w:color="959595"/>
            </w:tcBorders>
          </w:tcPr>
          <w:p>
            <w:pPr>
              <w:spacing w:after="0"/>
              <w:rPr>
                <w:sz w:val="3"/>
                <w:szCs w:val="3"/>
                <w:color w:val="auto"/>
              </w:rPr>
            </w:pPr>
          </w:p>
        </w:tc>
        <w:tc>
          <w:tcPr>
            <w:tcW w:w="860" w:type="dxa"/>
            <w:vAlign w:val="bottom"/>
            <w:tcBorders>
              <w:bottom w:val="single" w:sz="8" w:color="959595"/>
            </w:tcBorders>
          </w:tcPr>
          <w:p>
            <w:pPr>
              <w:spacing w:after="0"/>
              <w:rPr>
                <w:sz w:val="3"/>
                <w:szCs w:val="3"/>
                <w:color w:val="auto"/>
              </w:rPr>
            </w:pPr>
          </w:p>
        </w:tc>
        <w:tc>
          <w:tcPr>
            <w:tcW w:w="740" w:type="dxa"/>
            <w:vAlign w:val="bottom"/>
            <w:tcBorders>
              <w:bottom w:val="single" w:sz="8" w:color="959595"/>
            </w:tcBorders>
          </w:tcPr>
          <w:p>
            <w:pPr>
              <w:spacing w:after="0"/>
              <w:rPr>
                <w:sz w:val="3"/>
                <w:szCs w:val="3"/>
                <w:color w:val="auto"/>
              </w:rPr>
            </w:pPr>
          </w:p>
        </w:tc>
      </w:tr>
      <w:tr>
        <w:trPr>
          <w:trHeight w:val="290"/>
        </w:trPr>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40" w:type="dxa"/>
            <w:vAlign w:val="bottom"/>
            <w:tcBorders>
              <w:bottom w:val="single" w:sz="8" w:color="959595"/>
            </w:tcBorders>
          </w:tcPr>
          <w:p>
            <w:pPr>
              <w:spacing w:after="0"/>
              <w:rPr>
                <w:sz w:val="20"/>
                <w:szCs w:val="20"/>
                <w:color w:val="auto"/>
              </w:rPr>
            </w:pPr>
            <w:r>
              <w:rPr>
                <w:rFonts w:ascii="Arial" w:cs="Arial" w:eastAsia="Arial" w:hAnsi="Arial"/>
                <w:sz w:val="13"/>
                <w:szCs w:val="13"/>
                <w:color w:val="auto"/>
              </w:rPr>
              <w:t>Option Acceleration</w:t>
            </w:r>
            <w:r>
              <w:rPr>
                <w:rFonts w:ascii="Arial" w:cs="Arial" w:eastAsia="Arial" w:hAnsi="Arial"/>
                <w:sz w:val="22"/>
                <w:szCs w:val="22"/>
                <w:color w:val="auto"/>
                <w:vertAlign w:val="superscript"/>
              </w:rPr>
              <w:t>(6)</w:t>
            </w:r>
          </w:p>
        </w:tc>
        <w:tc>
          <w:tcPr>
            <w:tcW w:w="10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r>
      <w:tr>
        <w:trPr>
          <w:trHeight w:val="290"/>
        </w:trPr>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40" w:type="dxa"/>
            <w:vAlign w:val="bottom"/>
            <w:tcBorders>
              <w:bottom w:val="single" w:sz="8" w:color="959595"/>
            </w:tcBorders>
          </w:tcPr>
          <w:p>
            <w:pPr>
              <w:spacing w:after="0"/>
              <w:rPr>
                <w:sz w:val="20"/>
                <w:szCs w:val="20"/>
                <w:color w:val="auto"/>
              </w:rPr>
            </w:pPr>
            <w:r>
              <w:rPr>
                <w:rFonts w:ascii="Arial" w:cs="Arial" w:eastAsia="Arial" w:hAnsi="Arial"/>
                <w:sz w:val="13"/>
                <w:szCs w:val="13"/>
                <w:color w:val="auto"/>
              </w:rPr>
              <w:t>RSU Acceleration</w:t>
            </w:r>
            <w:r>
              <w:rPr>
                <w:rFonts w:ascii="Arial" w:cs="Arial" w:eastAsia="Arial" w:hAnsi="Arial"/>
                <w:sz w:val="22"/>
                <w:szCs w:val="22"/>
                <w:color w:val="auto"/>
                <w:vertAlign w:val="superscript"/>
              </w:rPr>
              <w:t>(7)</w:t>
            </w:r>
          </w:p>
        </w:tc>
        <w:tc>
          <w:tcPr>
            <w:tcW w:w="10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2,688,412</w:t>
            </w:r>
          </w:p>
        </w:tc>
        <w:tc>
          <w:tcPr>
            <w:tcW w:w="9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2,688,412</w:t>
            </w:r>
          </w:p>
        </w:tc>
        <w:tc>
          <w:tcPr>
            <w:tcW w:w="94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387,364</w:t>
            </w:r>
          </w:p>
        </w:tc>
        <w:tc>
          <w:tcPr>
            <w:tcW w:w="8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387,364</w:t>
            </w:r>
          </w:p>
        </w:tc>
      </w:tr>
      <w:tr>
        <w:trPr>
          <w:trHeight w:val="290"/>
        </w:trPr>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40" w:type="dxa"/>
            <w:vAlign w:val="bottom"/>
            <w:tcBorders>
              <w:bottom w:val="single" w:sz="8" w:color="959595"/>
            </w:tcBorders>
          </w:tcPr>
          <w:p>
            <w:pPr>
              <w:spacing w:after="0"/>
              <w:rPr>
                <w:sz w:val="20"/>
                <w:szCs w:val="20"/>
                <w:color w:val="auto"/>
              </w:rPr>
            </w:pPr>
            <w:r>
              <w:rPr>
                <w:rFonts w:ascii="Arial" w:cs="Arial" w:eastAsia="Arial" w:hAnsi="Arial"/>
                <w:sz w:val="13"/>
                <w:szCs w:val="13"/>
                <w:color w:val="auto"/>
              </w:rPr>
              <w:t>PSU Acceleration</w:t>
            </w:r>
            <w:r>
              <w:rPr>
                <w:rFonts w:ascii="Arial" w:cs="Arial" w:eastAsia="Arial" w:hAnsi="Arial"/>
                <w:sz w:val="22"/>
                <w:szCs w:val="22"/>
                <w:color w:val="auto"/>
                <w:vertAlign w:val="superscript"/>
              </w:rPr>
              <w:t>(8)</w:t>
            </w:r>
          </w:p>
        </w:tc>
        <w:tc>
          <w:tcPr>
            <w:tcW w:w="10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1,470,375</w:t>
            </w:r>
          </w:p>
        </w:tc>
        <w:tc>
          <w:tcPr>
            <w:tcW w:w="9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1,470,375</w:t>
            </w:r>
          </w:p>
        </w:tc>
        <w:tc>
          <w:tcPr>
            <w:tcW w:w="94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527,100</w:t>
            </w:r>
          </w:p>
        </w:tc>
        <w:tc>
          <w:tcPr>
            <w:tcW w:w="8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527,100</w:t>
            </w:r>
          </w:p>
        </w:tc>
      </w:tr>
      <w:tr>
        <w:trPr>
          <w:trHeight w:val="291"/>
        </w:trPr>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40" w:type="dxa"/>
            <w:vAlign w:val="bottom"/>
            <w:tcBorders>
              <w:bottom w:val="single" w:sz="8" w:color="959595"/>
            </w:tcBorders>
          </w:tcPr>
          <w:p>
            <w:pPr>
              <w:spacing w:after="0"/>
              <w:rPr>
                <w:sz w:val="20"/>
                <w:szCs w:val="20"/>
                <w:color w:val="auto"/>
              </w:rPr>
            </w:pPr>
            <w:r>
              <w:rPr>
                <w:rFonts w:ascii="Arial" w:cs="Arial" w:eastAsia="Arial" w:hAnsi="Arial"/>
                <w:sz w:val="13"/>
                <w:szCs w:val="13"/>
                <w:color w:val="auto"/>
              </w:rPr>
              <w:t>Continuation of Benefits</w:t>
            </w:r>
            <w:r>
              <w:rPr>
                <w:rFonts w:ascii="Arial" w:cs="Arial" w:eastAsia="Arial" w:hAnsi="Arial"/>
                <w:sz w:val="22"/>
                <w:szCs w:val="22"/>
                <w:color w:val="auto"/>
                <w:vertAlign w:val="superscript"/>
              </w:rPr>
              <w:t>(9)</w:t>
            </w:r>
          </w:p>
        </w:tc>
        <w:tc>
          <w:tcPr>
            <w:tcW w:w="10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46,793</w:t>
            </w:r>
          </w:p>
        </w:tc>
        <w:tc>
          <w:tcPr>
            <w:tcW w:w="94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24,787</w:t>
            </w:r>
          </w:p>
        </w:tc>
        <w:tc>
          <w:tcPr>
            <w:tcW w:w="8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r>
      <w:tr>
        <w:trPr>
          <w:trHeight w:val="195"/>
        </w:trPr>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Arial" w:cs="Arial" w:eastAsia="Arial" w:hAnsi="Arial"/>
                <w:sz w:val="13"/>
                <w:szCs w:val="13"/>
                <w:color w:val="auto"/>
              </w:rPr>
              <w:t>Value of Outplacement Services</w:t>
            </w:r>
          </w:p>
        </w:tc>
        <w:tc>
          <w:tcPr>
            <w:tcW w:w="10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3"/>
              <w:spacing w:after="0"/>
              <w:rPr>
                <w:sz w:val="20"/>
                <w:szCs w:val="20"/>
                <w:color w:val="auto"/>
              </w:rPr>
            </w:pPr>
            <w:r>
              <w:rPr>
                <w:rFonts w:ascii="Arial" w:cs="Arial" w:eastAsia="Arial" w:hAnsi="Arial"/>
                <w:sz w:val="13"/>
                <w:szCs w:val="13"/>
                <w:color w:val="auto"/>
              </w:rPr>
              <w:t>3,200</w:t>
            </w: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w:t>
            </w:r>
          </w:p>
        </w:tc>
      </w:tr>
      <w:tr>
        <w:trPr>
          <w:trHeight w:val="41"/>
        </w:trPr>
        <w:tc>
          <w:tcPr>
            <w:tcW w:w="1520" w:type="dxa"/>
            <w:vAlign w:val="bottom"/>
          </w:tcPr>
          <w:p>
            <w:pPr>
              <w:spacing w:after="0"/>
              <w:rPr>
                <w:sz w:val="3"/>
                <w:szCs w:val="3"/>
                <w:color w:val="auto"/>
              </w:rPr>
            </w:pPr>
          </w:p>
        </w:tc>
        <w:tc>
          <w:tcPr>
            <w:tcW w:w="80" w:type="dxa"/>
            <w:vAlign w:val="bottom"/>
          </w:tcPr>
          <w:p>
            <w:pPr>
              <w:spacing w:after="0"/>
              <w:rPr>
                <w:sz w:val="3"/>
                <w:szCs w:val="3"/>
                <w:color w:val="auto"/>
              </w:rPr>
            </w:pPr>
          </w:p>
        </w:tc>
        <w:tc>
          <w:tcPr>
            <w:tcW w:w="504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980" w:type="dxa"/>
            <w:vAlign w:val="bottom"/>
            <w:tcBorders>
              <w:bottom w:val="single" w:sz="8" w:color="959595"/>
            </w:tcBorders>
          </w:tcPr>
          <w:p>
            <w:pPr>
              <w:spacing w:after="0"/>
              <w:rPr>
                <w:sz w:val="3"/>
                <w:szCs w:val="3"/>
                <w:color w:val="auto"/>
              </w:rPr>
            </w:pPr>
          </w:p>
        </w:tc>
        <w:tc>
          <w:tcPr>
            <w:tcW w:w="940" w:type="dxa"/>
            <w:vAlign w:val="bottom"/>
            <w:tcBorders>
              <w:bottom w:val="single" w:sz="8" w:color="959595"/>
            </w:tcBorders>
          </w:tcPr>
          <w:p>
            <w:pPr>
              <w:spacing w:after="0"/>
              <w:rPr>
                <w:sz w:val="3"/>
                <w:szCs w:val="3"/>
                <w:color w:val="auto"/>
              </w:rPr>
            </w:pPr>
          </w:p>
        </w:tc>
        <w:tc>
          <w:tcPr>
            <w:tcW w:w="860" w:type="dxa"/>
            <w:vAlign w:val="bottom"/>
            <w:tcBorders>
              <w:bottom w:val="single" w:sz="8" w:color="959595"/>
            </w:tcBorders>
          </w:tcPr>
          <w:p>
            <w:pPr>
              <w:spacing w:after="0"/>
              <w:rPr>
                <w:sz w:val="3"/>
                <w:szCs w:val="3"/>
                <w:color w:val="auto"/>
              </w:rPr>
            </w:pPr>
          </w:p>
        </w:tc>
        <w:tc>
          <w:tcPr>
            <w:tcW w:w="740" w:type="dxa"/>
            <w:vAlign w:val="bottom"/>
            <w:tcBorders>
              <w:bottom w:val="single" w:sz="8" w:color="959595"/>
            </w:tcBorders>
          </w:tcPr>
          <w:p>
            <w:pPr>
              <w:spacing w:after="0"/>
              <w:rPr>
                <w:sz w:val="3"/>
                <w:szCs w:val="3"/>
                <w:color w:val="auto"/>
              </w:rPr>
            </w:pPr>
          </w:p>
        </w:tc>
      </w:tr>
      <w:tr>
        <w:trPr>
          <w:trHeight w:val="195"/>
        </w:trPr>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Arial" w:cs="Arial" w:eastAsia="Arial" w:hAnsi="Arial"/>
                <w:sz w:val="13"/>
                <w:szCs w:val="13"/>
                <w:b w:val="1"/>
                <w:bCs w:val="1"/>
                <w:color w:val="auto"/>
              </w:rPr>
              <w:t>TOTAL</w:t>
            </w:r>
          </w:p>
        </w:tc>
        <w:tc>
          <w:tcPr>
            <w:tcW w:w="1080" w:type="dxa"/>
            <w:vAlign w:val="bottom"/>
          </w:tcPr>
          <w:p>
            <w:pPr>
              <w:jc w:val="right"/>
              <w:ind w:right="13"/>
              <w:spacing w:after="0"/>
              <w:rPr>
                <w:sz w:val="20"/>
                <w:szCs w:val="20"/>
                <w:color w:val="auto"/>
              </w:rPr>
            </w:pPr>
            <w:r>
              <w:rPr>
                <w:rFonts w:ascii="Arial" w:cs="Arial" w:eastAsia="Arial" w:hAnsi="Arial"/>
                <w:sz w:val="13"/>
                <w:szCs w:val="13"/>
                <w:color w:val="auto"/>
              </w:rPr>
              <w:t>4,158,787</w:t>
            </w:r>
          </w:p>
        </w:tc>
        <w:tc>
          <w:tcPr>
            <w:tcW w:w="980" w:type="dxa"/>
            <w:vAlign w:val="bottom"/>
          </w:tcPr>
          <w:p>
            <w:pPr>
              <w:jc w:val="right"/>
              <w:ind w:right="13"/>
              <w:spacing w:after="0"/>
              <w:rPr>
                <w:sz w:val="20"/>
                <w:szCs w:val="20"/>
                <w:color w:val="auto"/>
              </w:rPr>
            </w:pPr>
            <w:r>
              <w:rPr>
                <w:rFonts w:ascii="Arial" w:cs="Arial" w:eastAsia="Arial" w:hAnsi="Arial"/>
                <w:sz w:val="13"/>
                <w:szCs w:val="13"/>
                <w:color w:val="auto"/>
              </w:rPr>
              <w:t>7,208,580</w:t>
            </w:r>
          </w:p>
        </w:tc>
        <w:tc>
          <w:tcPr>
            <w:tcW w:w="940" w:type="dxa"/>
            <w:vAlign w:val="bottom"/>
          </w:tcPr>
          <w:p>
            <w:pPr>
              <w:jc w:val="right"/>
              <w:ind w:right="33"/>
              <w:spacing w:after="0"/>
              <w:rPr>
                <w:sz w:val="20"/>
                <w:szCs w:val="20"/>
                <w:color w:val="auto"/>
              </w:rPr>
            </w:pPr>
            <w:r>
              <w:rPr>
                <w:rFonts w:ascii="Arial" w:cs="Arial" w:eastAsia="Arial" w:hAnsi="Arial"/>
                <w:sz w:val="13"/>
                <w:szCs w:val="13"/>
                <w:color w:val="auto"/>
              </w:rPr>
              <w:t>3,158,951</w:t>
            </w: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914,464</w:t>
            </w:r>
          </w:p>
        </w:tc>
      </w:tr>
      <w:tr>
        <w:trPr>
          <w:trHeight w:val="41"/>
        </w:trPr>
        <w:tc>
          <w:tcPr>
            <w:tcW w:w="1520" w:type="dxa"/>
            <w:vAlign w:val="bottom"/>
            <w:tcBorders>
              <w:bottom w:val="single" w:sz="8" w:color="959595"/>
            </w:tcBorders>
          </w:tcPr>
          <w:p>
            <w:pPr>
              <w:spacing w:after="0"/>
              <w:rPr>
                <w:sz w:val="3"/>
                <w:szCs w:val="3"/>
                <w:color w:val="auto"/>
              </w:rPr>
            </w:pPr>
          </w:p>
        </w:tc>
        <w:tc>
          <w:tcPr>
            <w:tcW w:w="80" w:type="dxa"/>
            <w:vAlign w:val="bottom"/>
            <w:tcBorders>
              <w:bottom w:val="single" w:sz="8" w:color="959595"/>
            </w:tcBorders>
          </w:tcPr>
          <w:p>
            <w:pPr>
              <w:spacing w:after="0"/>
              <w:rPr>
                <w:sz w:val="3"/>
                <w:szCs w:val="3"/>
                <w:color w:val="auto"/>
              </w:rPr>
            </w:pPr>
          </w:p>
        </w:tc>
        <w:tc>
          <w:tcPr>
            <w:tcW w:w="504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980" w:type="dxa"/>
            <w:vAlign w:val="bottom"/>
            <w:tcBorders>
              <w:bottom w:val="single" w:sz="8" w:color="959595"/>
            </w:tcBorders>
          </w:tcPr>
          <w:p>
            <w:pPr>
              <w:spacing w:after="0"/>
              <w:rPr>
                <w:sz w:val="3"/>
                <w:szCs w:val="3"/>
                <w:color w:val="auto"/>
              </w:rPr>
            </w:pPr>
          </w:p>
        </w:tc>
        <w:tc>
          <w:tcPr>
            <w:tcW w:w="940" w:type="dxa"/>
            <w:vAlign w:val="bottom"/>
            <w:tcBorders>
              <w:bottom w:val="single" w:sz="8" w:color="959595"/>
            </w:tcBorders>
          </w:tcPr>
          <w:p>
            <w:pPr>
              <w:spacing w:after="0"/>
              <w:rPr>
                <w:sz w:val="3"/>
                <w:szCs w:val="3"/>
                <w:color w:val="auto"/>
              </w:rPr>
            </w:pPr>
          </w:p>
        </w:tc>
        <w:tc>
          <w:tcPr>
            <w:tcW w:w="860" w:type="dxa"/>
            <w:vAlign w:val="bottom"/>
            <w:tcBorders>
              <w:bottom w:val="single" w:sz="8" w:color="959595"/>
            </w:tcBorders>
          </w:tcPr>
          <w:p>
            <w:pPr>
              <w:spacing w:after="0"/>
              <w:rPr>
                <w:sz w:val="3"/>
                <w:szCs w:val="3"/>
                <w:color w:val="auto"/>
              </w:rPr>
            </w:pPr>
          </w:p>
        </w:tc>
        <w:tc>
          <w:tcPr>
            <w:tcW w:w="740" w:type="dxa"/>
            <w:vAlign w:val="bottom"/>
            <w:tcBorders>
              <w:bottom w:val="single" w:sz="8" w:color="959595"/>
            </w:tcBorders>
          </w:tcPr>
          <w:p>
            <w:pPr>
              <w:spacing w:after="0"/>
              <w:rPr>
                <w:sz w:val="3"/>
                <w:szCs w:val="3"/>
                <w:color w:val="auto"/>
              </w:rPr>
            </w:pPr>
          </w:p>
        </w:tc>
      </w:tr>
      <w:tr>
        <w:trPr>
          <w:trHeight w:val="195"/>
        </w:trPr>
        <w:tc>
          <w:tcPr>
            <w:tcW w:w="1600" w:type="dxa"/>
            <w:vAlign w:val="bottom"/>
            <w:gridSpan w:val="2"/>
          </w:tcPr>
          <w:p>
            <w:pPr>
              <w:ind w:left="80"/>
              <w:spacing w:after="0"/>
              <w:rPr>
                <w:sz w:val="20"/>
                <w:szCs w:val="20"/>
                <w:color w:val="auto"/>
              </w:rPr>
            </w:pPr>
            <w:r>
              <w:rPr>
                <w:rFonts w:ascii="Arial" w:cs="Arial" w:eastAsia="Arial" w:hAnsi="Arial"/>
                <w:sz w:val="13"/>
                <w:szCs w:val="13"/>
                <w:b w:val="1"/>
                <w:bCs w:val="1"/>
                <w:color w:val="23628F"/>
              </w:rPr>
              <w:t>Srinivasan Sivaram</w:t>
            </w:r>
          </w:p>
        </w:tc>
        <w:tc>
          <w:tcPr>
            <w:tcW w:w="5040" w:type="dxa"/>
            <w:vAlign w:val="bottom"/>
          </w:tcPr>
          <w:p>
            <w:pPr>
              <w:spacing w:after="0"/>
              <w:rPr>
                <w:sz w:val="20"/>
                <w:szCs w:val="20"/>
                <w:color w:val="auto"/>
              </w:rPr>
            </w:pPr>
            <w:r>
              <w:rPr>
                <w:rFonts w:ascii="Arial" w:cs="Arial" w:eastAsia="Arial" w:hAnsi="Arial"/>
                <w:sz w:val="13"/>
                <w:szCs w:val="13"/>
                <w:color w:val="auto"/>
              </w:rPr>
              <w:t>Cash Severance</w:t>
            </w:r>
          </w:p>
        </w:tc>
        <w:tc>
          <w:tcPr>
            <w:tcW w:w="10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3"/>
              <w:spacing w:after="0"/>
              <w:rPr>
                <w:sz w:val="20"/>
                <w:szCs w:val="20"/>
                <w:color w:val="auto"/>
              </w:rPr>
            </w:pPr>
            <w:r>
              <w:rPr>
                <w:rFonts w:ascii="Arial" w:cs="Arial" w:eastAsia="Arial" w:hAnsi="Arial"/>
                <w:sz w:val="13"/>
                <w:szCs w:val="13"/>
                <w:color w:val="auto"/>
              </w:rPr>
              <w:t>2,940,000</w:t>
            </w:r>
          </w:p>
        </w:tc>
        <w:tc>
          <w:tcPr>
            <w:tcW w:w="940" w:type="dxa"/>
            <w:vAlign w:val="bottom"/>
          </w:tcPr>
          <w:p>
            <w:pPr>
              <w:jc w:val="right"/>
              <w:ind w:right="33"/>
              <w:spacing w:after="0"/>
              <w:rPr>
                <w:sz w:val="20"/>
                <w:szCs w:val="20"/>
                <w:color w:val="auto"/>
              </w:rPr>
            </w:pPr>
            <w:r>
              <w:rPr>
                <w:rFonts w:ascii="Arial" w:cs="Arial" w:eastAsia="Arial" w:hAnsi="Arial"/>
                <w:sz w:val="13"/>
                <w:szCs w:val="13"/>
                <w:color w:val="auto"/>
              </w:rPr>
              <w:t>2,170,000</w:t>
            </w: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w:t>
            </w:r>
          </w:p>
        </w:tc>
      </w:tr>
      <w:tr>
        <w:trPr>
          <w:trHeight w:val="41"/>
        </w:trPr>
        <w:tc>
          <w:tcPr>
            <w:tcW w:w="1520" w:type="dxa"/>
            <w:vAlign w:val="bottom"/>
          </w:tcPr>
          <w:p>
            <w:pPr>
              <w:spacing w:after="0"/>
              <w:rPr>
                <w:sz w:val="3"/>
                <w:szCs w:val="3"/>
                <w:color w:val="auto"/>
              </w:rPr>
            </w:pPr>
          </w:p>
        </w:tc>
        <w:tc>
          <w:tcPr>
            <w:tcW w:w="80" w:type="dxa"/>
            <w:vAlign w:val="bottom"/>
          </w:tcPr>
          <w:p>
            <w:pPr>
              <w:spacing w:after="0"/>
              <w:rPr>
                <w:sz w:val="3"/>
                <w:szCs w:val="3"/>
                <w:color w:val="auto"/>
              </w:rPr>
            </w:pPr>
          </w:p>
        </w:tc>
        <w:tc>
          <w:tcPr>
            <w:tcW w:w="504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980" w:type="dxa"/>
            <w:vAlign w:val="bottom"/>
            <w:tcBorders>
              <w:bottom w:val="single" w:sz="8" w:color="959595"/>
            </w:tcBorders>
          </w:tcPr>
          <w:p>
            <w:pPr>
              <w:spacing w:after="0"/>
              <w:rPr>
                <w:sz w:val="3"/>
                <w:szCs w:val="3"/>
                <w:color w:val="auto"/>
              </w:rPr>
            </w:pPr>
          </w:p>
        </w:tc>
        <w:tc>
          <w:tcPr>
            <w:tcW w:w="940" w:type="dxa"/>
            <w:vAlign w:val="bottom"/>
            <w:tcBorders>
              <w:bottom w:val="single" w:sz="8" w:color="959595"/>
            </w:tcBorders>
          </w:tcPr>
          <w:p>
            <w:pPr>
              <w:spacing w:after="0"/>
              <w:rPr>
                <w:sz w:val="3"/>
                <w:szCs w:val="3"/>
                <w:color w:val="auto"/>
              </w:rPr>
            </w:pPr>
          </w:p>
        </w:tc>
        <w:tc>
          <w:tcPr>
            <w:tcW w:w="860" w:type="dxa"/>
            <w:vAlign w:val="bottom"/>
            <w:tcBorders>
              <w:bottom w:val="single" w:sz="8" w:color="959595"/>
            </w:tcBorders>
          </w:tcPr>
          <w:p>
            <w:pPr>
              <w:spacing w:after="0"/>
              <w:rPr>
                <w:sz w:val="3"/>
                <w:szCs w:val="3"/>
                <w:color w:val="auto"/>
              </w:rPr>
            </w:pPr>
          </w:p>
        </w:tc>
        <w:tc>
          <w:tcPr>
            <w:tcW w:w="740" w:type="dxa"/>
            <w:vAlign w:val="bottom"/>
            <w:tcBorders>
              <w:bottom w:val="single" w:sz="8" w:color="959595"/>
            </w:tcBorders>
          </w:tcPr>
          <w:p>
            <w:pPr>
              <w:spacing w:after="0"/>
              <w:rPr>
                <w:sz w:val="3"/>
                <w:szCs w:val="3"/>
                <w:color w:val="auto"/>
              </w:rPr>
            </w:pPr>
          </w:p>
        </w:tc>
      </w:tr>
      <w:tr>
        <w:trPr>
          <w:trHeight w:val="290"/>
        </w:trPr>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40" w:type="dxa"/>
            <w:vAlign w:val="bottom"/>
            <w:tcBorders>
              <w:bottom w:val="single" w:sz="8" w:color="959595"/>
            </w:tcBorders>
          </w:tcPr>
          <w:p>
            <w:pPr>
              <w:spacing w:after="0"/>
              <w:rPr>
                <w:sz w:val="20"/>
                <w:szCs w:val="20"/>
                <w:color w:val="auto"/>
              </w:rPr>
            </w:pPr>
            <w:r>
              <w:rPr>
                <w:rFonts w:ascii="Arial" w:cs="Arial" w:eastAsia="Arial" w:hAnsi="Arial"/>
                <w:sz w:val="13"/>
                <w:szCs w:val="13"/>
                <w:color w:val="auto"/>
              </w:rPr>
              <w:t>Option Acceleration</w:t>
            </w:r>
            <w:r>
              <w:rPr>
                <w:rFonts w:ascii="Arial" w:cs="Arial" w:eastAsia="Arial" w:hAnsi="Arial"/>
                <w:sz w:val="22"/>
                <w:szCs w:val="22"/>
                <w:color w:val="auto"/>
                <w:vertAlign w:val="superscript"/>
              </w:rPr>
              <w:t>(6)</w:t>
            </w:r>
          </w:p>
        </w:tc>
        <w:tc>
          <w:tcPr>
            <w:tcW w:w="10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r>
      <w:tr>
        <w:trPr>
          <w:trHeight w:val="291"/>
        </w:trPr>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40" w:type="dxa"/>
            <w:vAlign w:val="bottom"/>
            <w:tcBorders>
              <w:bottom w:val="single" w:sz="8" w:color="959595"/>
            </w:tcBorders>
          </w:tcPr>
          <w:p>
            <w:pPr>
              <w:spacing w:after="0"/>
              <w:rPr>
                <w:sz w:val="20"/>
                <w:szCs w:val="20"/>
                <w:color w:val="auto"/>
              </w:rPr>
            </w:pPr>
            <w:r>
              <w:rPr>
                <w:rFonts w:ascii="Arial" w:cs="Arial" w:eastAsia="Arial" w:hAnsi="Arial"/>
                <w:sz w:val="13"/>
                <w:szCs w:val="13"/>
                <w:color w:val="auto"/>
              </w:rPr>
              <w:t>RSU Acceleration</w:t>
            </w:r>
            <w:r>
              <w:rPr>
                <w:rFonts w:ascii="Arial" w:cs="Arial" w:eastAsia="Arial" w:hAnsi="Arial"/>
                <w:sz w:val="22"/>
                <w:szCs w:val="22"/>
                <w:color w:val="auto"/>
                <w:vertAlign w:val="superscript"/>
              </w:rPr>
              <w:t>(7)</w:t>
            </w:r>
          </w:p>
        </w:tc>
        <w:tc>
          <w:tcPr>
            <w:tcW w:w="10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4,181,830</w:t>
            </w:r>
          </w:p>
        </w:tc>
        <w:tc>
          <w:tcPr>
            <w:tcW w:w="9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4,181,830</w:t>
            </w:r>
          </w:p>
        </w:tc>
        <w:tc>
          <w:tcPr>
            <w:tcW w:w="94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2,319,590</w:t>
            </w:r>
          </w:p>
        </w:tc>
        <w:tc>
          <w:tcPr>
            <w:tcW w:w="8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2,100,304</w:t>
            </w:r>
          </w:p>
        </w:tc>
      </w:tr>
      <w:tr>
        <w:trPr>
          <w:trHeight w:val="290"/>
        </w:trPr>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40" w:type="dxa"/>
            <w:vAlign w:val="bottom"/>
            <w:tcBorders>
              <w:bottom w:val="single" w:sz="8" w:color="959595"/>
            </w:tcBorders>
          </w:tcPr>
          <w:p>
            <w:pPr>
              <w:spacing w:after="0"/>
              <w:rPr>
                <w:sz w:val="20"/>
                <w:szCs w:val="20"/>
                <w:color w:val="auto"/>
              </w:rPr>
            </w:pPr>
            <w:r>
              <w:rPr>
                <w:rFonts w:ascii="Arial" w:cs="Arial" w:eastAsia="Arial" w:hAnsi="Arial"/>
                <w:sz w:val="13"/>
                <w:szCs w:val="13"/>
                <w:color w:val="auto"/>
              </w:rPr>
              <w:t>PSU Acceleration</w:t>
            </w:r>
            <w:r>
              <w:rPr>
                <w:rFonts w:ascii="Arial" w:cs="Arial" w:eastAsia="Arial" w:hAnsi="Arial"/>
                <w:sz w:val="22"/>
                <w:szCs w:val="22"/>
                <w:color w:val="auto"/>
                <w:vertAlign w:val="superscript"/>
              </w:rPr>
              <w:t>(8)</w:t>
            </w:r>
          </w:p>
        </w:tc>
        <w:tc>
          <w:tcPr>
            <w:tcW w:w="10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2,592,327</w:t>
            </w:r>
          </w:p>
        </w:tc>
        <w:tc>
          <w:tcPr>
            <w:tcW w:w="9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2,592,327</w:t>
            </w:r>
          </w:p>
        </w:tc>
        <w:tc>
          <w:tcPr>
            <w:tcW w:w="94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1,324,494</w:t>
            </w:r>
          </w:p>
        </w:tc>
        <w:tc>
          <w:tcPr>
            <w:tcW w:w="8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1,324,494</w:t>
            </w:r>
          </w:p>
        </w:tc>
      </w:tr>
      <w:tr>
        <w:trPr>
          <w:trHeight w:val="290"/>
        </w:trPr>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40" w:type="dxa"/>
            <w:vAlign w:val="bottom"/>
            <w:tcBorders>
              <w:bottom w:val="single" w:sz="8" w:color="959595"/>
            </w:tcBorders>
          </w:tcPr>
          <w:p>
            <w:pPr>
              <w:spacing w:after="0"/>
              <w:rPr>
                <w:sz w:val="20"/>
                <w:szCs w:val="20"/>
                <w:color w:val="auto"/>
              </w:rPr>
            </w:pPr>
            <w:r>
              <w:rPr>
                <w:rFonts w:ascii="Arial" w:cs="Arial" w:eastAsia="Arial" w:hAnsi="Arial"/>
                <w:sz w:val="13"/>
                <w:szCs w:val="13"/>
                <w:color w:val="auto"/>
              </w:rPr>
              <w:t>Continuation of Benefits</w:t>
            </w:r>
            <w:r>
              <w:rPr>
                <w:rFonts w:ascii="Arial" w:cs="Arial" w:eastAsia="Arial" w:hAnsi="Arial"/>
                <w:sz w:val="22"/>
                <w:szCs w:val="22"/>
                <w:color w:val="auto"/>
                <w:vertAlign w:val="superscript"/>
              </w:rPr>
              <w:t>(9)</w:t>
            </w:r>
          </w:p>
        </w:tc>
        <w:tc>
          <w:tcPr>
            <w:tcW w:w="10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118,068</w:t>
            </w:r>
          </w:p>
        </w:tc>
        <w:tc>
          <w:tcPr>
            <w:tcW w:w="94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36,375</w:t>
            </w:r>
          </w:p>
        </w:tc>
        <w:tc>
          <w:tcPr>
            <w:tcW w:w="8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r>
      <w:tr>
        <w:trPr>
          <w:trHeight w:val="195"/>
        </w:trPr>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Arial" w:cs="Arial" w:eastAsia="Arial" w:hAnsi="Arial"/>
                <w:sz w:val="13"/>
                <w:szCs w:val="13"/>
                <w:color w:val="auto"/>
              </w:rPr>
              <w:t>Value of Outplacement Services</w:t>
            </w:r>
          </w:p>
        </w:tc>
        <w:tc>
          <w:tcPr>
            <w:tcW w:w="10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3"/>
              <w:spacing w:after="0"/>
              <w:rPr>
                <w:sz w:val="20"/>
                <w:szCs w:val="20"/>
                <w:color w:val="auto"/>
              </w:rPr>
            </w:pPr>
            <w:r>
              <w:rPr>
                <w:rFonts w:ascii="Arial" w:cs="Arial" w:eastAsia="Arial" w:hAnsi="Arial"/>
                <w:sz w:val="13"/>
                <w:szCs w:val="13"/>
                <w:color w:val="auto"/>
              </w:rPr>
              <w:t>3,200</w:t>
            </w: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w:t>
            </w:r>
          </w:p>
        </w:tc>
      </w:tr>
      <w:tr>
        <w:trPr>
          <w:trHeight w:val="41"/>
        </w:trPr>
        <w:tc>
          <w:tcPr>
            <w:tcW w:w="1520" w:type="dxa"/>
            <w:vAlign w:val="bottom"/>
          </w:tcPr>
          <w:p>
            <w:pPr>
              <w:spacing w:after="0"/>
              <w:rPr>
                <w:sz w:val="3"/>
                <w:szCs w:val="3"/>
                <w:color w:val="auto"/>
              </w:rPr>
            </w:pPr>
          </w:p>
        </w:tc>
        <w:tc>
          <w:tcPr>
            <w:tcW w:w="80" w:type="dxa"/>
            <w:vAlign w:val="bottom"/>
          </w:tcPr>
          <w:p>
            <w:pPr>
              <w:spacing w:after="0"/>
              <w:rPr>
                <w:sz w:val="3"/>
                <w:szCs w:val="3"/>
                <w:color w:val="auto"/>
              </w:rPr>
            </w:pPr>
          </w:p>
        </w:tc>
        <w:tc>
          <w:tcPr>
            <w:tcW w:w="504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980" w:type="dxa"/>
            <w:vAlign w:val="bottom"/>
            <w:tcBorders>
              <w:bottom w:val="single" w:sz="8" w:color="959595"/>
            </w:tcBorders>
          </w:tcPr>
          <w:p>
            <w:pPr>
              <w:spacing w:after="0"/>
              <w:rPr>
                <w:sz w:val="3"/>
                <w:szCs w:val="3"/>
                <w:color w:val="auto"/>
              </w:rPr>
            </w:pPr>
          </w:p>
        </w:tc>
        <w:tc>
          <w:tcPr>
            <w:tcW w:w="940" w:type="dxa"/>
            <w:vAlign w:val="bottom"/>
            <w:tcBorders>
              <w:bottom w:val="single" w:sz="8" w:color="959595"/>
            </w:tcBorders>
          </w:tcPr>
          <w:p>
            <w:pPr>
              <w:spacing w:after="0"/>
              <w:rPr>
                <w:sz w:val="3"/>
                <w:szCs w:val="3"/>
                <w:color w:val="auto"/>
              </w:rPr>
            </w:pPr>
          </w:p>
        </w:tc>
        <w:tc>
          <w:tcPr>
            <w:tcW w:w="860" w:type="dxa"/>
            <w:vAlign w:val="bottom"/>
            <w:tcBorders>
              <w:bottom w:val="single" w:sz="8" w:color="959595"/>
            </w:tcBorders>
          </w:tcPr>
          <w:p>
            <w:pPr>
              <w:spacing w:after="0"/>
              <w:rPr>
                <w:sz w:val="3"/>
                <w:szCs w:val="3"/>
                <w:color w:val="auto"/>
              </w:rPr>
            </w:pPr>
          </w:p>
        </w:tc>
        <w:tc>
          <w:tcPr>
            <w:tcW w:w="740" w:type="dxa"/>
            <w:vAlign w:val="bottom"/>
            <w:tcBorders>
              <w:bottom w:val="single" w:sz="8" w:color="959595"/>
            </w:tcBorders>
          </w:tcPr>
          <w:p>
            <w:pPr>
              <w:spacing w:after="0"/>
              <w:rPr>
                <w:sz w:val="3"/>
                <w:szCs w:val="3"/>
                <w:color w:val="auto"/>
              </w:rPr>
            </w:pPr>
          </w:p>
        </w:tc>
      </w:tr>
      <w:tr>
        <w:trPr>
          <w:trHeight w:val="196"/>
        </w:trPr>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Arial" w:cs="Arial" w:eastAsia="Arial" w:hAnsi="Arial"/>
                <w:sz w:val="13"/>
                <w:szCs w:val="13"/>
                <w:b w:val="1"/>
                <w:bCs w:val="1"/>
                <w:color w:val="auto"/>
              </w:rPr>
              <w:t>TOTAL</w:t>
            </w:r>
          </w:p>
        </w:tc>
        <w:tc>
          <w:tcPr>
            <w:tcW w:w="1080" w:type="dxa"/>
            <w:vAlign w:val="bottom"/>
          </w:tcPr>
          <w:p>
            <w:pPr>
              <w:jc w:val="right"/>
              <w:ind w:right="13"/>
              <w:spacing w:after="0"/>
              <w:rPr>
                <w:sz w:val="20"/>
                <w:szCs w:val="20"/>
                <w:color w:val="auto"/>
              </w:rPr>
            </w:pPr>
            <w:r>
              <w:rPr>
                <w:rFonts w:ascii="Arial" w:cs="Arial" w:eastAsia="Arial" w:hAnsi="Arial"/>
                <w:sz w:val="13"/>
                <w:szCs w:val="13"/>
                <w:color w:val="auto"/>
              </w:rPr>
              <w:t>6,774,157</w:t>
            </w:r>
          </w:p>
        </w:tc>
        <w:tc>
          <w:tcPr>
            <w:tcW w:w="980" w:type="dxa"/>
            <w:vAlign w:val="bottom"/>
          </w:tcPr>
          <w:p>
            <w:pPr>
              <w:jc w:val="right"/>
              <w:ind w:right="13"/>
              <w:spacing w:after="0"/>
              <w:rPr>
                <w:sz w:val="20"/>
                <w:szCs w:val="20"/>
                <w:color w:val="auto"/>
              </w:rPr>
            </w:pPr>
            <w:r>
              <w:rPr>
                <w:rFonts w:ascii="Arial" w:cs="Arial" w:eastAsia="Arial" w:hAnsi="Arial"/>
                <w:sz w:val="13"/>
                <w:szCs w:val="13"/>
                <w:color w:val="auto"/>
              </w:rPr>
              <w:t>9,832,225</w:t>
            </w:r>
          </w:p>
        </w:tc>
        <w:tc>
          <w:tcPr>
            <w:tcW w:w="940" w:type="dxa"/>
            <w:vAlign w:val="bottom"/>
          </w:tcPr>
          <w:p>
            <w:pPr>
              <w:jc w:val="right"/>
              <w:ind w:right="33"/>
              <w:spacing w:after="0"/>
              <w:rPr>
                <w:sz w:val="20"/>
                <w:szCs w:val="20"/>
                <w:color w:val="auto"/>
              </w:rPr>
            </w:pPr>
            <w:r>
              <w:rPr>
                <w:rFonts w:ascii="Arial" w:cs="Arial" w:eastAsia="Arial" w:hAnsi="Arial"/>
                <w:sz w:val="13"/>
                <w:szCs w:val="13"/>
                <w:color w:val="auto"/>
              </w:rPr>
              <w:t>5,853,659</w:t>
            </w: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3,424,798</w:t>
            </w:r>
          </w:p>
        </w:tc>
      </w:tr>
      <w:tr>
        <w:trPr>
          <w:trHeight w:val="41"/>
        </w:trPr>
        <w:tc>
          <w:tcPr>
            <w:tcW w:w="1520" w:type="dxa"/>
            <w:vAlign w:val="bottom"/>
            <w:tcBorders>
              <w:bottom w:val="single" w:sz="8" w:color="959595"/>
            </w:tcBorders>
          </w:tcPr>
          <w:p>
            <w:pPr>
              <w:spacing w:after="0"/>
              <w:rPr>
                <w:sz w:val="3"/>
                <w:szCs w:val="3"/>
                <w:color w:val="auto"/>
              </w:rPr>
            </w:pPr>
          </w:p>
        </w:tc>
        <w:tc>
          <w:tcPr>
            <w:tcW w:w="80" w:type="dxa"/>
            <w:vAlign w:val="bottom"/>
            <w:tcBorders>
              <w:bottom w:val="single" w:sz="8" w:color="959595"/>
            </w:tcBorders>
          </w:tcPr>
          <w:p>
            <w:pPr>
              <w:spacing w:after="0"/>
              <w:rPr>
                <w:sz w:val="3"/>
                <w:szCs w:val="3"/>
                <w:color w:val="auto"/>
              </w:rPr>
            </w:pPr>
          </w:p>
        </w:tc>
        <w:tc>
          <w:tcPr>
            <w:tcW w:w="504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980" w:type="dxa"/>
            <w:vAlign w:val="bottom"/>
            <w:tcBorders>
              <w:bottom w:val="single" w:sz="8" w:color="959595"/>
            </w:tcBorders>
          </w:tcPr>
          <w:p>
            <w:pPr>
              <w:spacing w:after="0"/>
              <w:rPr>
                <w:sz w:val="3"/>
                <w:szCs w:val="3"/>
                <w:color w:val="auto"/>
              </w:rPr>
            </w:pPr>
          </w:p>
        </w:tc>
        <w:tc>
          <w:tcPr>
            <w:tcW w:w="940" w:type="dxa"/>
            <w:vAlign w:val="bottom"/>
            <w:tcBorders>
              <w:bottom w:val="single" w:sz="8" w:color="959595"/>
            </w:tcBorders>
          </w:tcPr>
          <w:p>
            <w:pPr>
              <w:spacing w:after="0"/>
              <w:rPr>
                <w:sz w:val="3"/>
                <w:szCs w:val="3"/>
                <w:color w:val="auto"/>
              </w:rPr>
            </w:pPr>
          </w:p>
        </w:tc>
        <w:tc>
          <w:tcPr>
            <w:tcW w:w="860" w:type="dxa"/>
            <w:vAlign w:val="bottom"/>
            <w:tcBorders>
              <w:bottom w:val="single" w:sz="8" w:color="959595"/>
            </w:tcBorders>
          </w:tcPr>
          <w:p>
            <w:pPr>
              <w:spacing w:after="0"/>
              <w:rPr>
                <w:sz w:val="3"/>
                <w:szCs w:val="3"/>
                <w:color w:val="auto"/>
              </w:rPr>
            </w:pPr>
          </w:p>
        </w:tc>
        <w:tc>
          <w:tcPr>
            <w:tcW w:w="740" w:type="dxa"/>
            <w:vAlign w:val="bottom"/>
            <w:tcBorders>
              <w:bottom w:val="single" w:sz="8" w:color="959595"/>
            </w:tcBorders>
          </w:tcPr>
          <w:p>
            <w:pPr>
              <w:spacing w:after="0"/>
              <w:rPr>
                <w:sz w:val="3"/>
                <w:szCs w:val="3"/>
                <w:color w:val="auto"/>
              </w:rPr>
            </w:pPr>
          </w:p>
        </w:tc>
      </w:tr>
      <w:tr>
        <w:trPr>
          <w:trHeight w:val="195"/>
        </w:trPr>
        <w:tc>
          <w:tcPr>
            <w:tcW w:w="1600" w:type="dxa"/>
            <w:vAlign w:val="bottom"/>
            <w:gridSpan w:val="2"/>
          </w:tcPr>
          <w:p>
            <w:pPr>
              <w:ind w:left="80"/>
              <w:spacing w:after="0"/>
              <w:rPr>
                <w:sz w:val="20"/>
                <w:szCs w:val="20"/>
                <w:color w:val="auto"/>
              </w:rPr>
            </w:pPr>
            <w:r>
              <w:rPr>
                <w:rFonts w:ascii="Arial" w:cs="Arial" w:eastAsia="Arial" w:hAnsi="Arial"/>
                <w:sz w:val="13"/>
                <w:szCs w:val="13"/>
                <w:b w:val="1"/>
                <w:bCs w:val="1"/>
                <w:color w:val="23628F"/>
              </w:rPr>
              <w:t>Michael C. Ray</w:t>
            </w:r>
          </w:p>
        </w:tc>
        <w:tc>
          <w:tcPr>
            <w:tcW w:w="5040" w:type="dxa"/>
            <w:vAlign w:val="bottom"/>
          </w:tcPr>
          <w:p>
            <w:pPr>
              <w:spacing w:after="0"/>
              <w:rPr>
                <w:sz w:val="20"/>
                <w:szCs w:val="20"/>
                <w:color w:val="auto"/>
              </w:rPr>
            </w:pPr>
            <w:r>
              <w:rPr>
                <w:rFonts w:ascii="Arial" w:cs="Arial" w:eastAsia="Arial" w:hAnsi="Arial"/>
                <w:sz w:val="13"/>
                <w:szCs w:val="13"/>
                <w:color w:val="auto"/>
              </w:rPr>
              <w:t>Cash Severance</w:t>
            </w:r>
          </w:p>
        </w:tc>
        <w:tc>
          <w:tcPr>
            <w:tcW w:w="10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3"/>
              <w:spacing w:after="0"/>
              <w:rPr>
                <w:sz w:val="20"/>
                <w:szCs w:val="20"/>
                <w:color w:val="auto"/>
              </w:rPr>
            </w:pPr>
            <w:r>
              <w:rPr>
                <w:rFonts w:ascii="Arial" w:cs="Arial" w:eastAsia="Arial" w:hAnsi="Arial"/>
                <w:sz w:val="13"/>
                <w:szCs w:val="13"/>
                <w:color w:val="auto"/>
              </w:rPr>
              <w:t>2,312,500</w:t>
            </w:r>
          </w:p>
        </w:tc>
        <w:tc>
          <w:tcPr>
            <w:tcW w:w="940" w:type="dxa"/>
            <w:vAlign w:val="bottom"/>
          </w:tcPr>
          <w:p>
            <w:pPr>
              <w:jc w:val="right"/>
              <w:ind w:right="33"/>
              <w:spacing w:after="0"/>
              <w:rPr>
                <w:sz w:val="20"/>
                <w:szCs w:val="20"/>
                <w:color w:val="auto"/>
              </w:rPr>
            </w:pPr>
            <w:r>
              <w:rPr>
                <w:rFonts w:ascii="Arial" w:cs="Arial" w:eastAsia="Arial" w:hAnsi="Arial"/>
                <w:sz w:val="13"/>
                <w:szCs w:val="13"/>
                <w:color w:val="auto"/>
              </w:rPr>
              <w:t>1,781,250</w:t>
            </w: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w:t>
            </w:r>
          </w:p>
        </w:tc>
      </w:tr>
      <w:tr>
        <w:trPr>
          <w:trHeight w:val="41"/>
        </w:trPr>
        <w:tc>
          <w:tcPr>
            <w:tcW w:w="1520" w:type="dxa"/>
            <w:vAlign w:val="bottom"/>
          </w:tcPr>
          <w:p>
            <w:pPr>
              <w:spacing w:after="0"/>
              <w:rPr>
                <w:sz w:val="3"/>
                <w:szCs w:val="3"/>
                <w:color w:val="auto"/>
              </w:rPr>
            </w:pPr>
          </w:p>
        </w:tc>
        <w:tc>
          <w:tcPr>
            <w:tcW w:w="80" w:type="dxa"/>
            <w:vAlign w:val="bottom"/>
          </w:tcPr>
          <w:p>
            <w:pPr>
              <w:spacing w:after="0"/>
              <w:rPr>
                <w:sz w:val="3"/>
                <w:szCs w:val="3"/>
                <w:color w:val="auto"/>
              </w:rPr>
            </w:pPr>
          </w:p>
        </w:tc>
        <w:tc>
          <w:tcPr>
            <w:tcW w:w="504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980" w:type="dxa"/>
            <w:vAlign w:val="bottom"/>
            <w:tcBorders>
              <w:bottom w:val="single" w:sz="8" w:color="959595"/>
            </w:tcBorders>
          </w:tcPr>
          <w:p>
            <w:pPr>
              <w:spacing w:after="0"/>
              <w:rPr>
                <w:sz w:val="3"/>
                <w:szCs w:val="3"/>
                <w:color w:val="auto"/>
              </w:rPr>
            </w:pPr>
          </w:p>
        </w:tc>
        <w:tc>
          <w:tcPr>
            <w:tcW w:w="940" w:type="dxa"/>
            <w:vAlign w:val="bottom"/>
            <w:tcBorders>
              <w:bottom w:val="single" w:sz="8" w:color="959595"/>
            </w:tcBorders>
          </w:tcPr>
          <w:p>
            <w:pPr>
              <w:spacing w:after="0"/>
              <w:rPr>
                <w:sz w:val="3"/>
                <w:szCs w:val="3"/>
                <w:color w:val="auto"/>
              </w:rPr>
            </w:pPr>
          </w:p>
        </w:tc>
        <w:tc>
          <w:tcPr>
            <w:tcW w:w="860" w:type="dxa"/>
            <w:vAlign w:val="bottom"/>
            <w:tcBorders>
              <w:bottom w:val="single" w:sz="8" w:color="959595"/>
            </w:tcBorders>
          </w:tcPr>
          <w:p>
            <w:pPr>
              <w:spacing w:after="0"/>
              <w:rPr>
                <w:sz w:val="3"/>
                <w:szCs w:val="3"/>
                <w:color w:val="auto"/>
              </w:rPr>
            </w:pPr>
          </w:p>
        </w:tc>
        <w:tc>
          <w:tcPr>
            <w:tcW w:w="740" w:type="dxa"/>
            <w:vAlign w:val="bottom"/>
            <w:tcBorders>
              <w:bottom w:val="single" w:sz="8" w:color="959595"/>
            </w:tcBorders>
          </w:tcPr>
          <w:p>
            <w:pPr>
              <w:spacing w:after="0"/>
              <w:rPr>
                <w:sz w:val="3"/>
                <w:szCs w:val="3"/>
                <w:color w:val="auto"/>
              </w:rPr>
            </w:pPr>
          </w:p>
        </w:tc>
      </w:tr>
      <w:tr>
        <w:trPr>
          <w:trHeight w:val="291"/>
        </w:trPr>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40" w:type="dxa"/>
            <w:vAlign w:val="bottom"/>
            <w:tcBorders>
              <w:bottom w:val="single" w:sz="8" w:color="959595"/>
            </w:tcBorders>
          </w:tcPr>
          <w:p>
            <w:pPr>
              <w:spacing w:after="0"/>
              <w:rPr>
                <w:sz w:val="20"/>
                <w:szCs w:val="20"/>
                <w:color w:val="auto"/>
              </w:rPr>
            </w:pPr>
            <w:r>
              <w:rPr>
                <w:rFonts w:ascii="Arial" w:cs="Arial" w:eastAsia="Arial" w:hAnsi="Arial"/>
                <w:sz w:val="13"/>
                <w:szCs w:val="13"/>
                <w:color w:val="auto"/>
              </w:rPr>
              <w:t>Option Acceleration</w:t>
            </w:r>
            <w:r>
              <w:rPr>
                <w:rFonts w:ascii="Arial" w:cs="Arial" w:eastAsia="Arial" w:hAnsi="Arial"/>
                <w:sz w:val="22"/>
                <w:szCs w:val="22"/>
                <w:color w:val="auto"/>
                <w:vertAlign w:val="superscript"/>
              </w:rPr>
              <w:t>(6)</w:t>
            </w:r>
          </w:p>
        </w:tc>
        <w:tc>
          <w:tcPr>
            <w:tcW w:w="10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r>
      <w:tr>
        <w:trPr>
          <w:trHeight w:val="290"/>
        </w:trPr>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40" w:type="dxa"/>
            <w:vAlign w:val="bottom"/>
            <w:tcBorders>
              <w:bottom w:val="single" w:sz="8" w:color="959595"/>
            </w:tcBorders>
          </w:tcPr>
          <w:p>
            <w:pPr>
              <w:spacing w:after="0"/>
              <w:rPr>
                <w:sz w:val="20"/>
                <w:szCs w:val="20"/>
                <w:color w:val="auto"/>
              </w:rPr>
            </w:pPr>
            <w:r>
              <w:rPr>
                <w:rFonts w:ascii="Arial" w:cs="Arial" w:eastAsia="Arial" w:hAnsi="Arial"/>
                <w:sz w:val="13"/>
                <w:szCs w:val="13"/>
                <w:color w:val="auto"/>
              </w:rPr>
              <w:t>RSU Acceleration</w:t>
            </w:r>
            <w:r>
              <w:rPr>
                <w:rFonts w:ascii="Arial" w:cs="Arial" w:eastAsia="Arial" w:hAnsi="Arial"/>
                <w:sz w:val="22"/>
                <w:szCs w:val="22"/>
                <w:color w:val="auto"/>
                <w:vertAlign w:val="superscript"/>
              </w:rPr>
              <w:t>(7)</w:t>
            </w:r>
          </w:p>
        </w:tc>
        <w:tc>
          <w:tcPr>
            <w:tcW w:w="10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2,328,721</w:t>
            </w:r>
          </w:p>
        </w:tc>
        <w:tc>
          <w:tcPr>
            <w:tcW w:w="9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2,328,721</w:t>
            </w:r>
          </w:p>
        </w:tc>
        <w:tc>
          <w:tcPr>
            <w:tcW w:w="94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920,974</w:t>
            </w:r>
          </w:p>
        </w:tc>
        <w:tc>
          <w:tcPr>
            <w:tcW w:w="8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853,426</w:t>
            </w:r>
          </w:p>
        </w:tc>
      </w:tr>
      <w:tr>
        <w:trPr>
          <w:trHeight w:val="290"/>
        </w:trPr>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40" w:type="dxa"/>
            <w:vAlign w:val="bottom"/>
            <w:tcBorders>
              <w:bottom w:val="single" w:sz="8" w:color="959595"/>
            </w:tcBorders>
          </w:tcPr>
          <w:p>
            <w:pPr>
              <w:spacing w:after="0"/>
              <w:rPr>
                <w:sz w:val="20"/>
                <w:szCs w:val="20"/>
                <w:color w:val="auto"/>
              </w:rPr>
            </w:pPr>
            <w:r>
              <w:rPr>
                <w:rFonts w:ascii="Arial" w:cs="Arial" w:eastAsia="Arial" w:hAnsi="Arial"/>
                <w:sz w:val="13"/>
                <w:szCs w:val="13"/>
                <w:color w:val="auto"/>
              </w:rPr>
              <w:t>PSU Acceleration</w:t>
            </w:r>
            <w:r>
              <w:rPr>
                <w:rFonts w:ascii="Arial" w:cs="Arial" w:eastAsia="Arial" w:hAnsi="Arial"/>
                <w:sz w:val="22"/>
                <w:szCs w:val="22"/>
                <w:color w:val="auto"/>
                <w:vertAlign w:val="superscript"/>
              </w:rPr>
              <w:t>(8)</w:t>
            </w:r>
          </w:p>
        </w:tc>
        <w:tc>
          <w:tcPr>
            <w:tcW w:w="10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1,871,280</w:t>
            </w:r>
          </w:p>
        </w:tc>
        <w:tc>
          <w:tcPr>
            <w:tcW w:w="9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1,871,280</w:t>
            </w:r>
          </w:p>
        </w:tc>
        <w:tc>
          <w:tcPr>
            <w:tcW w:w="94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925,325</w:t>
            </w:r>
          </w:p>
        </w:tc>
        <w:tc>
          <w:tcPr>
            <w:tcW w:w="8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925,325</w:t>
            </w:r>
          </w:p>
        </w:tc>
      </w:tr>
      <w:tr>
        <w:trPr>
          <w:trHeight w:val="290"/>
        </w:trPr>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40" w:type="dxa"/>
            <w:vAlign w:val="bottom"/>
            <w:tcBorders>
              <w:bottom w:val="single" w:sz="8" w:color="959595"/>
            </w:tcBorders>
          </w:tcPr>
          <w:p>
            <w:pPr>
              <w:spacing w:after="0"/>
              <w:rPr>
                <w:sz w:val="20"/>
                <w:szCs w:val="20"/>
                <w:color w:val="auto"/>
              </w:rPr>
            </w:pPr>
            <w:r>
              <w:rPr>
                <w:rFonts w:ascii="Arial" w:cs="Arial" w:eastAsia="Arial" w:hAnsi="Arial"/>
                <w:sz w:val="13"/>
                <w:szCs w:val="13"/>
                <w:color w:val="auto"/>
              </w:rPr>
              <w:t>Continuation of Benefits</w:t>
            </w:r>
            <w:r>
              <w:rPr>
                <w:rFonts w:ascii="Arial" w:cs="Arial" w:eastAsia="Arial" w:hAnsi="Arial"/>
                <w:sz w:val="22"/>
                <w:szCs w:val="22"/>
                <w:color w:val="auto"/>
                <w:vertAlign w:val="superscript"/>
              </w:rPr>
              <w:t>(9)</w:t>
            </w:r>
          </w:p>
        </w:tc>
        <w:tc>
          <w:tcPr>
            <w:tcW w:w="10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62,096</w:t>
            </w:r>
          </w:p>
        </w:tc>
        <w:tc>
          <w:tcPr>
            <w:tcW w:w="94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24,787</w:t>
            </w:r>
          </w:p>
        </w:tc>
        <w:tc>
          <w:tcPr>
            <w:tcW w:w="8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r>
      <w:tr>
        <w:trPr>
          <w:trHeight w:val="195"/>
        </w:trPr>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Arial" w:cs="Arial" w:eastAsia="Arial" w:hAnsi="Arial"/>
                <w:sz w:val="13"/>
                <w:szCs w:val="13"/>
                <w:color w:val="auto"/>
              </w:rPr>
              <w:t>Value of Outplacement Services</w:t>
            </w:r>
          </w:p>
        </w:tc>
        <w:tc>
          <w:tcPr>
            <w:tcW w:w="10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3"/>
              <w:spacing w:after="0"/>
              <w:rPr>
                <w:sz w:val="20"/>
                <w:szCs w:val="20"/>
                <w:color w:val="auto"/>
              </w:rPr>
            </w:pPr>
            <w:r>
              <w:rPr>
                <w:rFonts w:ascii="Arial" w:cs="Arial" w:eastAsia="Arial" w:hAnsi="Arial"/>
                <w:sz w:val="13"/>
                <w:szCs w:val="13"/>
                <w:color w:val="auto"/>
              </w:rPr>
              <w:t>3,200</w:t>
            </w: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w:t>
            </w:r>
          </w:p>
        </w:tc>
      </w:tr>
      <w:tr>
        <w:trPr>
          <w:trHeight w:val="41"/>
        </w:trPr>
        <w:tc>
          <w:tcPr>
            <w:tcW w:w="1520" w:type="dxa"/>
            <w:vAlign w:val="bottom"/>
          </w:tcPr>
          <w:p>
            <w:pPr>
              <w:spacing w:after="0"/>
              <w:rPr>
                <w:sz w:val="3"/>
                <w:szCs w:val="3"/>
                <w:color w:val="auto"/>
              </w:rPr>
            </w:pPr>
          </w:p>
        </w:tc>
        <w:tc>
          <w:tcPr>
            <w:tcW w:w="80" w:type="dxa"/>
            <w:vAlign w:val="bottom"/>
          </w:tcPr>
          <w:p>
            <w:pPr>
              <w:spacing w:after="0"/>
              <w:rPr>
                <w:sz w:val="3"/>
                <w:szCs w:val="3"/>
                <w:color w:val="auto"/>
              </w:rPr>
            </w:pPr>
          </w:p>
        </w:tc>
        <w:tc>
          <w:tcPr>
            <w:tcW w:w="504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980" w:type="dxa"/>
            <w:vAlign w:val="bottom"/>
            <w:tcBorders>
              <w:bottom w:val="single" w:sz="8" w:color="959595"/>
            </w:tcBorders>
          </w:tcPr>
          <w:p>
            <w:pPr>
              <w:spacing w:after="0"/>
              <w:rPr>
                <w:sz w:val="3"/>
                <w:szCs w:val="3"/>
                <w:color w:val="auto"/>
              </w:rPr>
            </w:pPr>
          </w:p>
        </w:tc>
        <w:tc>
          <w:tcPr>
            <w:tcW w:w="940" w:type="dxa"/>
            <w:vAlign w:val="bottom"/>
            <w:tcBorders>
              <w:bottom w:val="single" w:sz="8" w:color="959595"/>
            </w:tcBorders>
          </w:tcPr>
          <w:p>
            <w:pPr>
              <w:spacing w:after="0"/>
              <w:rPr>
                <w:sz w:val="3"/>
                <w:szCs w:val="3"/>
                <w:color w:val="auto"/>
              </w:rPr>
            </w:pPr>
          </w:p>
        </w:tc>
        <w:tc>
          <w:tcPr>
            <w:tcW w:w="860" w:type="dxa"/>
            <w:vAlign w:val="bottom"/>
            <w:tcBorders>
              <w:bottom w:val="single" w:sz="8" w:color="959595"/>
            </w:tcBorders>
          </w:tcPr>
          <w:p>
            <w:pPr>
              <w:spacing w:after="0"/>
              <w:rPr>
                <w:sz w:val="3"/>
                <w:szCs w:val="3"/>
                <w:color w:val="auto"/>
              </w:rPr>
            </w:pPr>
          </w:p>
        </w:tc>
        <w:tc>
          <w:tcPr>
            <w:tcW w:w="740" w:type="dxa"/>
            <w:vAlign w:val="bottom"/>
            <w:tcBorders>
              <w:bottom w:val="single" w:sz="8" w:color="959595"/>
            </w:tcBorders>
          </w:tcPr>
          <w:p>
            <w:pPr>
              <w:spacing w:after="0"/>
              <w:rPr>
                <w:sz w:val="3"/>
                <w:szCs w:val="3"/>
                <w:color w:val="auto"/>
              </w:rPr>
            </w:pPr>
          </w:p>
        </w:tc>
      </w:tr>
      <w:tr>
        <w:trPr>
          <w:trHeight w:val="196"/>
        </w:trPr>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Arial" w:cs="Arial" w:eastAsia="Arial" w:hAnsi="Arial"/>
                <w:sz w:val="13"/>
                <w:szCs w:val="13"/>
                <w:b w:val="1"/>
                <w:bCs w:val="1"/>
                <w:color w:val="auto"/>
              </w:rPr>
              <w:t>TOTAL</w:t>
            </w:r>
          </w:p>
        </w:tc>
        <w:tc>
          <w:tcPr>
            <w:tcW w:w="1080" w:type="dxa"/>
            <w:vAlign w:val="bottom"/>
          </w:tcPr>
          <w:p>
            <w:pPr>
              <w:jc w:val="right"/>
              <w:ind w:right="13"/>
              <w:spacing w:after="0"/>
              <w:rPr>
                <w:sz w:val="20"/>
                <w:szCs w:val="20"/>
                <w:color w:val="auto"/>
              </w:rPr>
            </w:pPr>
            <w:r>
              <w:rPr>
                <w:rFonts w:ascii="Arial" w:cs="Arial" w:eastAsia="Arial" w:hAnsi="Arial"/>
                <w:sz w:val="13"/>
                <w:szCs w:val="13"/>
                <w:color w:val="auto"/>
              </w:rPr>
              <w:t>4,200,001</w:t>
            </w:r>
          </w:p>
        </w:tc>
        <w:tc>
          <w:tcPr>
            <w:tcW w:w="980" w:type="dxa"/>
            <w:vAlign w:val="bottom"/>
          </w:tcPr>
          <w:p>
            <w:pPr>
              <w:jc w:val="right"/>
              <w:ind w:right="13"/>
              <w:spacing w:after="0"/>
              <w:rPr>
                <w:sz w:val="20"/>
                <w:szCs w:val="20"/>
                <w:color w:val="auto"/>
              </w:rPr>
            </w:pPr>
            <w:r>
              <w:rPr>
                <w:rFonts w:ascii="Arial" w:cs="Arial" w:eastAsia="Arial" w:hAnsi="Arial"/>
                <w:sz w:val="13"/>
                <w:szCs w:val="13"/>
                <w:color w:val="auto"/>
              </w:rPr>
              <w:t>6,574,597</w:t>
            </w:r>
          </w:p>
        </w:tc>
        <w:tc>
          <w:tcPr>
            <w:tcW w:w="940" w:type="dxa"/>
            <w:vAlign w:val="bottom"/>
          </w:tcPr>
          <w:p>
            <w:pPr>
              <w:jc w:val="right"/>
              <w:ind w:right="33"/>
              <w:spacing w:after="0"/>
              <w:rPr>
                <w:sz w:val="20"/>
                <w:szCs w:val="20"/>
                <w:color w:val="auto"/>
              </w:rPr>
            </w:pPr>
            <w:r>
              <w:rPr>
                <w:rFonts w:ascii="Arial" w:cs="Arial" w:eastAsia="Arial" w:hAnsi="Arial"/>
                <w:sz w:val="13"/>
                <w:szCs w:val="13"/>
                <w:color w:val="auto"/>
              </w:rPr>
              <w:t>3,655,536</w:t>
            </w: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1,778,751</w:t>
            </w:r>
          </w:p>
        </w:tc>
      </w:tr>
      <w:tr>
        <w:trPr>
          <w:trHeight w:val="41"/>
        </w:trPr>
        <w:tc>
          <w:tcPr>
            <w:tcW w:w="1520" w:type="dxa"/>
            <w:vAlign w:val="bottom"/>
            <w:tcBorders>
              <w:bottom w:val="single" w:sz="8" w:color="959595"/>
            </w:tcBorders>
          </w:tcPr>
          <w:p>
            <w:pPr>
              <w:spacing w:after="0"/>
              <w:rPr>
                <w:sz w:val="3"/>
                <w:szCs w:val="3"/>
                <w:color w:val="auto"/>
              </w:rPr>
            </w:pPr>
          </w:p>
        </w:tc>
        <w:tc>
          <w:tcPr>
            <w:tcW w:w="80" w:type="dxa"/>
            <w:vAlign w:val="bottom"/>
            <w:tcBorders>
              <w:bottom w:val="single" w:sz="8" w:color="959595"/>
            </w:tcBorders>
          </w:tcPr>
          <w:p>
            <w:pPr>
              <w:spacing w:after="0"/>
              <w:rPr>
                <w:sz w:val="3"/>
                <w:szCs w:val="3"/>
                <w:color w:val="auto"/>
              </w:rPr>
            </w:pPr>
          </w:p>
        </w:tc>
        <w:tc>
          <w:tcPr>
            <w:tcW w:w="504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980" w:type="dxa"/>
            <w:vAlign w:val="bottom"/>
            <w:tcBorders>
              <w:bottom w:val="single" w:sz="8" w:color="959595"/>
            </w:tcBorders>
          </w:tcPr>
          <w:p>
            <w:pPr>
              <w:spacing w:after="0"/>
              <w:rPr>
                <w:sz w:val="3"/>
                <w:szCs w:val="3"/>
                <w:color w:val="auto"/>
              </w:rPr>
            </w:pPr>
          </w:p>
        </w:tc>
        <w:tc>
          <w:tcPr>
            <w:tcW w:w="940" w:type="dxa"/>
            <w:vAlign w:val="bottom"/>
            <w:tcBorders>
              <w:bottom w:val="single" w:sz="8" w:color="959595"/>
            </w:tcBorders>
          </w:tcPr>
          <w:p>
            <w:pPr>
              <w:spacing w:after="0"/>
              <w:rPr>
                <w:sz w:val="3"/>
                <w:szCs w:val="3"/>
                <w:color w:val="auto"/>
              </w:rPr>
            </w:pPr>
          </w:p>
        </w:tc>
        <w:tc>
          <w:tcPr>
            <w:tcW w:w="860" w:type="dxa"/>
            <w:vAlign w:val="bottom"/>
            <w:tcBorders>
              <w:bottom w:val="single" w:sz="8" w:color="959595"/>
            </w:tcBorders>
          </w:tcPr>
          <w:p>
            <w:pPr>
              <w:spacing w:after="0"/>
              <w:rPr>
                <w:sz w:val="3"/>
                <w:szCs w:val="3"/>
                <w:color w:val="auto"/>
              </w:rPr>
            </w:pPr>
          </w:p>
        </w:tc>
        <w:tc>
          <w:tcPr>
            <w:tcW w:w="740" w:type="dxa"/>
            <w:vAlign w:val="bottom"/>
            <w:tcBorders>
              <w:bottom w:val="single" w:sz="8" w:color="959595"/>
            </w:tcBorders>
          </w:tcPr>
          <w:p>
            <w:pPr>
              <w:spacing w:after="0"/>
              <w:rPr>
                <w:sz w:val="3"/>
                <w:szCs w:val="3"/>
                <w:color w:val="auto"/>
              </w:rPr>
            </w:pPr>
          </w:p>
        </w:tc>
      </w:tr>
    </w:tbl>
    <w:p>
      <w:pPr>
        <w:spacing w:after="0" w:line="197"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23628F"/>
        </w:rPr>
        <w:t>2020 PROXY STATEMENT</w:t>
      </w:r>
      <w:r>
        <w:rPr>
          <w:sz w:val="20"/>
          <w:szCs w:val="20"/>
          <w:color w:val="auto"/>
        </w:rPr>
        <w:tab/>
      </w:r>
      <w:r>
        <w:rPr>
          <w:rFonts w:ascii="Arial" w:cs="Arial" w:eastAsia="Arial" w:hAnsi="Arial"/>
          <w:sz w:val="16"/>
          <w:szCs w:val="16"/>
          <w:b w:val="1"/>
          <w:bCs w:val="1"/>
          <w:color w:val="23628F"/>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153275" cy="215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23628F"/>
        </w:rPr>
        <w:t>COMPENSATION DISCUSSION AND ANALYSIS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5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04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Change in</w:t>
            </w:r>
          </w:p>
        </w:tc>
        <w:tc>
          <w:tcPr>
            <w:tcW w:w="94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740" w:type="dxa"/>
            <w:vAlign w:val="bottom"/>
          </w:tcPr>
          <w:p>
            <w:pPr>
              <w:spacing w:after="0"/>
              <w:rPr>
                <w:sz w:val="13"/>
                <w:szCs w:val="13"/>
                <w:color w:val="auto"/>
              </w:rPr>
            </w:pPr>
          </w:p>
        </w:tc>
      </w:tr>
      <w:tr>
        <w:trPr>
          <w:trHeight w:val="148"/>
        </w:trPr>
        <w:tc>
          <w:tcPr>
            <w:tcW w:w="15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04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Control-With</w:t>
            </w:r>
          </w:p>
        </w:tc>
        <w:tc>
          <w:tcPr>
            <w:tcW w:w="94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Involuntary</w:t>
            </w:r>
          </w:p>
        </w:tc>
        <w:tc>
          <w:tcPr>
            <w:tcW w:w="86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r>
      <w:tr>
        <w:trPr>
          <w:trHeight w:val="149"/>
        </w:trPr>
        <w:tc>
          <w:tcPr>
            <w:tcW w:w="15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04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Change in</w:t>
            </w:r>
          </w:p>
        </w:tc>
        <w:tc>
          <w:tcPr>
            <w:tcW w:w="9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Termination</w:t>
            </w:r>
          </w:p>
        </w:tc>
        <w:tc>
          <w:tcPr>
            <w:tcW w:w="94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Termination</w:t>
            </w:r>
          </w:p>
        </w:tc>
        <w:tc>
          <w:tcPr>
            <w:tcW w:w="86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r>
      <w:tr>
        <w:trPr>
          <w:trHeight w:val="148"/>
        </w:trPr>
        <w:tc>
          <w:tcPr>
            <w:tcW w:w="15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04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Control-No</w:t>
            </w:r>
          </w:p>
        </w:tc>
        <w:tc>
          <w:tcPr>
            <w:tcW w:w="9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Without</w:t>
            </w:r>
          </w:p>
        </w:tc>
        <w:tc>
          <w:tcPr>
            <w:tcW w:w="94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Without</w:t>
            </w:r>
          </w:p>
        </w:tc>
        <w:tc>
          <w:tcPr>
            <w:tcW w:w="86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r>
      <w:tr>
        <w:trPr>
          <w:trHeight w:val="148"/>
        </w:trPr>
        <w:tc>
          <w:tcPr>
            <w:tcW w:w="15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04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Termination</w:t>
            </w:r>
          </w:p>
        </w:tc>
        <w:tc>
          <w:tcPr>
            <w:tcW w:w="9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Cause</w:t>
            </w:r>
          </w:p>
        </w:tc>
        <w:tc>
          <w:tcPr>
            <w:tcW w:w="94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Cause-No</w:t>
            </w:r>
          </w:p>
        </w:tc>
        <w:tc>
          <w:tcPr>
            <w:tcW w:w="86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r>
      <w:tr>
        <w:trPr>
          <w:trHeight w:val="148"/>
        </w:trPr>
        <w:tc>
          <w:tcPr>
            <w:tcW w:w="15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04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(Awards</w:t>
            </w:r>
          </w:p>
        </w:tc>
        <w:tc>
          <w:tcPr>
            <w:tcW w:w="9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or For Good</w:t>
            </w:r>
          </w:p>
        </w:tc>
        <w:tc>
          <w:tcPr>
            <w:tcW w:w="94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Change in</w:t>
            </w:r>
          </w:p>
        </w:tc>
        <w:tc>
          <w:tcPr>
            <w:tcW w:w="86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Qualified</w:t>
            </w:r>
          </w:p>
        </w:tc>
        <w:tc>
          <w:tcPr>
            <w:tcW w:w="740" w:type="dxa"/>
            <w:vAlign w:val="bottom"/>
          </w:tcPr>
          <w:p>
            <w:pPr>
              <w:spacing w:after="0"/>
              <w:rPr>
                <w:sz w:val="12"/>
                <w:szCs w:val="12"/>
                <w:color w:val="auto"/>
              </w:rPr>
            </w:pPr>
          </w:p>
        </w:tc>
      </w:tr>
      <w:tr>
        <w:trPr>
          <w:trHeight w:val="179"/>
        </w:trPr>
        <w:tc>
          <w:tcPr>
            <w:tcW w:w="15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040" w:type="dxa"/>
            <w:vAlign w:val="bottom"/>
            <w:tcBorders>
              <w:right w:val="single" w:sz="8" w:color="auto"/>
            </w:tcBorders>
          </w:tcPr>
          <w:p>
            <w:pPr>
              <w:spacing w:after="0"/>
              <w:rPr>
                <w:sz w:val="20"/>
                <w:szCs w:val="20"/>
                <w:color w:val="auto"/>
              </w:rPr>
            </w:pPr>
            <w:r>
              <w:rPr>
                <w:rFonts w:ascii="Arial" w:cs="Arial" w:eastAsia="Arial" w:hAnsi="Arial"/>
                <w:sz w:val="13"/>
                <w:szCs w:val="13"/>
                <w:b w:val="1"/>
                <w:bCs w:val="1"/>
                <w:color w:val="auto"/>
              </w:rPr>
              <w:t>Compensation</w:t>
            </w:r>
          </w:p>
        </w:tc>
        <w:tc>
          <w:tcPr>
            <w:tcW w:w="10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Not Assumed)</w:t>
            </w:r>
          </w:p>
        </w:tc>
        <w:tc>
          <w:tcPr>
            <w:tcW w:w="9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Reason</w:t>
            </w:r>
          </w:p>
        </w:tc>
        <w:tc>
          <w:tcPr>
            <w:tcW w:w="94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Control</w:t>
            </w:r>
          </w:p>
        </w:tc>
        <w:tc>
          <w:tcPr>
            <w:tcW w:w="86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Retirement</w:t>
            </w:r>
          </w:p>
        </w:tc>
        <w:tc>
          <w:tcPr>
            <w:tcW w:w="740" w:type="dxa"/>
            <w:vAlign w:val="bottom"/>
          </w:tcPr>
          <w:p>
            <w:pPr>
              <w:jc w:val="right"/>
              <w:ind w:right="13"/>
              <w:spacing w:after="0"/>
              <w:rPr>
                <w:sz w:val="20"/>
                <w:szCs w:val="20"/>
                <w:color w:val="auto"/>
              </w:rPr>
            </w:pPr>
            <w:r>
              <w:rPr>
                <w:rFonts w:ascii="Arial" w:cs="Arial" w:eastAsia="Arial" w:hAnsi="Arial"/>
                <w:sz w:val="13"/>
                <w:szCs w:val="13"/>
                <w:b w:val="1"/>
                <w:bCs w:val="1"/>
                <w:color w:val="auto"/>
              </w:rPr>
              <w:t>Death</w:t>
            </w:r>
          </w:p>
        </w:tc>
      </w:tr>
      <w:tr>
        <w:trPr>
          <w:trHeight w:val="203"/>
        </w:trPr>
        <w:tc>
          <w:tcPr>
            <w:tcW w:w="15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rPr>
              <w:t>Name</w:t>
            </w:r>
          </w:p>
        </w:tc>
        <w:tc>
          <w:tcPr>
            <w:tcW w:w="80" w:type="dxa"/>
            <w:vAlign w:val="bottom"/>
            <w:tcBorders>
              <w:bottom w:val="single" w:sz="8" w:color="auto"/>
            </w:tcBorders>
          </w:tcPr>
          <w:p>
            <w:pPr>
              <w:spacing w:after="0"/>
              <w:rPr>
                <w:sz w:val="17"/>
                <w:szCs w:val="17"/>
                <w:color w:val="auto"/>
              </w:rPr>
            </w:pPr>
          </w:p>
        </w:tc>
        <w:tc>
          <w:tcPr>
            <w:tcW w:w="5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Element</w:t>
            </w:r>
          </w:p>
        </w:tc>
        <w:tc>
          <w:tcPr>
            <w:tcW w:w="1080" w:type="dxa"/>
            <w:vAlign w:val="bottom"/>
            <w:tcBorders>
              <w:bottom w:val="single" w:sz="8" w:color="auto"/>
              <w:right w:val="single" w:sz="8" w:color="auto"/>
            </w:tcBorders>
          </w:tcPr>
          <w:p>
            <w:pPr>
              <w:jc w:val="right"/>
              <w:ind w:right="13"/>
              <w:spacing w:after="0" w:line="203"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2"/>
                <w:szCs w:val="22"/>
                <w:b w:val="1"/>
                <w:bCs w:val="1"/>
                <w:color w:val="auto"/>
                <w:vertAlign w:val="superscript"/>
              </w:rPr>
              <w:t>(1)</w:t>
            </w:r>
          </w:p>
        </w:tc>
        <w:tc>
          <w:tcPr>
            <w:tcW w:w="980" w:type="dxa"/>
            <w:vAlign w:val="bottom"/>
            <w:tcBorders>
              <w:bottom w:val="single" w:sz="8" w:color="auto"/>
              <w:right w:val="single" w:sz="8" w:color="auto"/>
            </w:tcBorders>
          </w:tcPr>
          <w:p>
            <w:pPr>
              <w:jc w:val="right"/>
              <w:ind w:right="13"/>
              <w:spacing w:after="0" w:line="203"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2"/>
                <w:szCs w:val="22"/>
                <w:b w:val="1"/>
                <w:bCs w:val="1"/>
                <w:color w:val="auto"/>
                <w:vertAlign w:val="superscript"/>
              </w:rPr>
              <w:t>(2)</w:t>
            </w:r>
          </w:p>
        </w:tc>
        <w:tc>
          <w:tcPr>
            <w:tcW w:w="940" w:type="dxa"/>
            <w:vAlign w:val="bottom"/>
            <w:tcBorders>
              <w:bottom w:val="single" w:sz="8" w:color="auto"/>
              <w:right w:val="single" w:sz="8" w:color="auto"/>
            </w:tcBorders>
          </w:tcPr>
          <w:p>
            <w:pPr>
              <w:jc w:val="right"/>
              <w:ind w:right="33"/>
              <w:spacing w:after="0" w:line="203"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2"/>
                <w:szCs w:val="22"/>
                <w:b w:val="1"/>
                <w:bCs w:val="1"/>
                <w:color w:val="auto"/>
                <w:vertAlign w:val="superscript"/>
              </w:rPr>
              <w:t>(3)</w:t>
            </w:r>
          </w:p>
        </w:tc>
        <w:tc>
          <w:tcPr>
            <w:tcW w:w="860" w:type="dxa"/>
            <w:vAlign w:val="bottom"/>
            <w:tcBorders>
              <w:bottom w:val="single" w:sz="8" w:color="auto"/>
              <w:right w:val="single" w:sz="8" w:color="auto"/>
            </w:tcBorders>
          </w:tcPr>
          <w:p>
            <w:pPr>
              <w:jc w:val="right"/>
              <w:ind w:right="13"/>
              <w:spacing w:after="0" w:line="203"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2"/>
                <w:szCs w:val="22"/>
                <w:b w:val="1"/>
                <w:bCs w:val="1"/>
                <w:color w:val="auto"/>
                <w:vertAlign w:val="superscript"/>
              </w:rPr>
              <w:t>(4)</w:t>
            </w:r>
          </w:p>
        </w:tc>
        <w:tc>
          <w:tcPr>
            <w:tcW w:w="740" w:type="dxa"/>
            <w:vAlign w:val="bottom"/>
            <w:tcBorders>
              <w:bottom w:val="single" w:sz="8" w:color="auto"/>
            </w:tcBorders>
          </w:tcPr>
          <w:p>
            <w:pPr>
              <w:jc w:val="right"/>
              <w:ind w:right="13"/>
              <w:spacing w:after="0" w:line="203"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2"/>
                <w:szCs w:val="22"/>
                <w:b w:val="1"/>
                <w:bCs w:val="1"/>
                <w:color w:val="auto"/>
                <w:vertAlign w:val="superscript"/>
              </w:rPr>
              <w:t>(5)</w:t>
            </w:r>
          </w:p>
        </w:tc>
      </w:tr>
      <w:tr>
        <w:trPr>
          <w:trHeight w:val="196"/>
        </w:trPr>
        <w:tc>
          <w:tcPr>
            <w:tcW w:w="1600" w:type="dxa"/>
            <w:vAlign w:val="bottom"/>
            <w:gridSpan w:val="2"/>
          </w:tcPr>
          <w:p>
            <w:pPr>
              <w:ind w:left="80"/>
              <w:spacing w:after="0"/>
              <w:rPr>
                <w:sz w:val="20"/>
                <w:szCs w:val="20"/>
                <w:color w:val="auto"/>
              </w:rPr>
            </w:pPr>
            <w:r>
              <w:rPr>
                <w:rFonts w:ascii="Arial" w:cs="Arial" w:eastAsia="Arial" w:hAnsi="Arial"/>
                <w:sz w:val="13"/>
                <w:szCs w:val="13"/>
                <w:b w:val="1"/>
                <w:bCs w:val="1"/>
                <w:color w:val="23628F"/>
              </w:rPr>
              <w:t>Lori S. Sundberg</w:t>
            </w:r>
          </w:p>
        </w:tc>
        <w:tc>
          <w:tcPr>
            <w:tcW w:w="5040" w:type="dxa"/>
            <w:vAlign w:val="bottom"/>
          </w:tcPr>
          <w:p>
            <w:pPr>
              <w:spacing w:after="0"/>
              <w:rPr>
                <w:sz w:val="20"/>
                <w:szCs w:val="20"/>
                <w:color w:val="auto"/>
              </w:rPr>
            </w:pPr>
            <w:r>
              <w:rPr>
                <w:rFonts w:ascii="Arial" w:cs="Arial" w:eastAsia="Arial" w:hAnsi="Arial"/>
                <w:sz w:val="13"/>
                <w:szCs w:val="13"/>
                <w:color w:val="auto"/>
              </w:rPr>
              <w:t>Cash Severance</w:t>
            </w:r>
          </w:p>
        </w:tc>
        <w:tc>
          <w:tcPr>
            <w:tcW w:w="10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3"/>
              <w:spacing w:after="0"/>
              <w:rPr>
                <w:sz w:val="20"/>
                <w:szCs w:val="20"/>
                <w:color w:val="auto"/>
              </w:rPr>
            </w:pPr>
            <w:r>
              <w:rPr>
                <w:rFonts w:ascii="Arial" w:cs="Arial" w:eastAsia="Arial" w:hAnsi="Arial"/>
                <w:sz w:val="13"/>
                <w:szCs w:val="13"/>
                <w:color w:val="auto"/>
              </w:rPr>
              <w:t>1,942,500</w:t>
            </w:r>
          </w:p>
        </w:tc>
        <w:tc>
          <w:tcPr>
            <w:tcW w:w="940" w:type="dxa"/>
            <w:vAlign w:val="bottom"/>
          </w:tcPr>
          <w:p>
            <w:pPr>
              <w:jc w:val="right"/>
              <w:ind w:right="33"/>
              <w:spacing w:after="0"/>
              <w:rPr>
                <w:sz w:val="20"/>
                <w:szCs w:val="20"/>
                <w:color w:val="auto"/>
              </w:rPr>
            </w:pPr>
            <w:r>
              <w:rPr>
                <w:rFonts w:ascii="Arial" w:cs="Arial" w:eastAsia="Arial" w:hAnsi="Arial"/>
                <w:sz w:val="13"/>
                <w:szCs w:val="13"/>
                <w:color w:val="auto"/>
              </w:rPr>
              <w:t>1,496,250</w:t>
            </w: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w:t>
            </w:r>
          </w:p>
        </w:tc>
      </w:tr>
      <w:tr>
        <w:trPr>
          <w:trHeight w:val="41"/>
        </w:trPr>
        <w:tc>
          <w:tcPr>
            <w:tcW w:w="1520" w:type="dxa"/>
            <w:vAlign w:val="bottom"/>
          </w:tcPr>
          <w:p>
            <w:pPr>
              <w:spacing w:after="0"/>
              <w:rPr>
                <w:sz w:val="3"/>
                <w:szCs w:val="3"/>
                <w:color w:val="auto"/>
              </w:rPr>
            </w:pPr>
          </w:p>
        </w:tc>
        <w:tc>
          <w:tcPr>
            <w:tcW w:w="80" w:type="dxa"/>
            <w:vAlign w:val="bottom"/>
          </w:tcPr>
          <w:p>
            <w:pPr>
              <w:spacing w:after="0"/>
              <w:rPr>
                <w:sz w:val="3"/>
                <w:szCs w:val="3"/>
                <w:color w:val="auto"/>
              </w:rPr>
            </w:pPr>
          </w:p>
        </w:tc>
        <w:tc>
          <w:tcPr>
            <w:tcW w:w="504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980" w:type="dxa"/>
            <w:vAlign w:val="bottom"/>
            <w:tcBorders>
              <w:bottom w:val="single" w:sz="8" w:color="959595"/>
            </w:tcBorders>
          </w:tcPr>
          <w:p>
            <w:pPr>
              <w:spacing w:after="0"/>
              <w:rPr>
                <w:sz w:val="3"/>
                <w:szCs w:val="3"/>
                <w:color w:val="auto"/>
              </w:rPr>
            </w:pPr>
          </w:p>
        </w:tc>
        <w:tc>
          <w:tcPr>
            <w:tcW w:w="940" w:type="dxa"/>
            <w:vAlign w:val="bottom"/>
            <w:tcBorders>
              <w:bottom w:val="single" w:sz="8" w:color="959595"/>
            </w:tcBorders>
          </w:tcPr>
          <w:p>
            <w:pPr>
              <w:spacing w:after="0"/>
              <w:rPr>
                <w:sz w:val="3"/>
                <w:szCs w:val="3"/>
                <w:color w:val="auto"/>
              </w:rPr>
            </w:pPr>
          </w:p>
        </w:tc>
        <w:tc>
          <w:tcPr>
            <w:tcW w:w="860" w:type="dxa"/>
            <w:vAlign w:val="bottom"/>
            <w:tcBorders>
              <w:bottom w:val="single" w:sz="8" w:color="959595"/>
            </w:tcBorders>
          </w:tcPr>
          <w:p>
            <w:pPr>
              <w:spacing w:after="0"/>
              <w:rPr>
                <w:sz w:val="3"/>
                <w:szCs w:val="3"/>
                <w:color w:val="auto"/>
              </w:rPr>
            </w:pPr>
          </w:p>
        </w:tc>
        <w:tc>
          <w:tcPr>
            <w:tcW w:w="740" w:type="dxa"/>
            <w:vAlign w:val="bottom"/>
            <w:tcBorders>
              <w:bottom w:val="single" w:sz="8" w:color="959595"/>
            </w:tcBorders>
          </w:tcPr>
          <w:p>
            <w:pPr>
              <w:spacing w:after="0"/>
              <w:rPr>
                <w:sz w:val="3"/>
                <w:szCs w:val="3"/>
                <w:color w:val="auto"/>
              </w:rPr>
            </w:pPr>
          </w:p>
        </w:tc>
      </w:tr>
      <w:tr>
        <w:trPr>
          <w:trHeight w:val="291"/>
        </w:trPr>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40" w:type="dxa"/>
            <w:vAlign w:val="bottom"/>
            <w:tcBorders>
              <w:bottom w:val="single" w:sz="8" w:color="959595"/>
            </w:tcBorders>
          </w:tcPr>
          <w:p>
            <w:pPr>
              <w:spacing w:after="0"/>
              <w:rPr>
                <w:sz w:val="20"/>
                <w:szCs w:val="20"/>
                <w:color w:val="auto"/>
              </w:rPr>
            </w:pPr>
            <w:r>
              <w:rPr>
                <w:rFonts w:ascii="Arial" w:cs="Arial" w:eastAsia="Arial" w:hAnsi="Arial"/>
                <w:sz w:val="13"/>
                <w:szCs w:val="13"/>
                <w:color w:val="auto"/>
              </w:rPr>
              <w:t>Option Acceleration</w:t>
            </w:r>
            <w:r>
              <w:rPr>
                <w:rFonts w:ascii="Arial" w:cs="Arial" w:eastAsia="Arial" w:hAnsi="Arial"/>
                <w:sz w:val="22"/>
                <w:szCs w:val="22"/>
                <w:color w:val="auto"/>
                <w:vertAlign w:val="superscript"/>
              </w:rPr>
              <w:t>(6)</w:t>
            </w:r>
          </w:p>
        </w:tc>
        <w:tc>
          <w:tcPr>
            <w:tcW w:w="10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r>
      <w:tr>
        <w:trPr>
          <w:trHeight w:val="290"/>
        </w:trPr>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40" w:type="dxa"/>
            <w:vAlign w:val="bottom"/>
            <w:tcBorders>
              <w:bottom w:val="single" w:sz="8" w:color="959595"/>
            </w:tcBorders>
          </w:tcPr>
          <w:p>
            <w:pPr>
              <w:spacing w:after="0"/>
              <w:rPr>
                <w:sz w:val="20"/>
                <w:szCs w:val="20"/>
                <w:color w:val="auto"/>
              </w:rPr>
            </w:pPr>
            <w:r>
              <w:rPr>
                <w:rFonts w:ascii="Arial" w:cs="Arial" w:eastAsia="Arial" w:hAnsi="Arial"/>
                <w:sz w:val="13"/>
                <w:szCs w:val="13"/>
                <w:color w:val="auto"/>
              </w:rPr>
              <w:t>RSU Acceleration</w:t>
            </w:r>
            <w:r>
              <w:rPr>
                <w:rFonts w:ascii="Arial" w:cs="Arial" w:eastAsia="Arial" w:hAnsi="Arial"/>
                <w:sz w:val="22"/>
                <w:szCs w:val="22"/>
                <w:color w:val="auto"/>
                <w:vertAlign w:val="superscript"/>
              </w:rPr>
              <w:t>(7)</w:t>
            </w:r>
          </w:p>
        </w:tc>
        <w:tc>
          <w:tcPr>
            <w:tcW w:w="10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1,773,017</w:t>
            </w:r>
          </w:p>
        </w:tc>
        <w:tc>
          <w:tcPr>
            <w:tcW w:w="9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1,773,017</w:t>
            </w:r>
          </w:p>
        </w:tc>
        <w:tc>
          <w:tcPr>
            <w:tcW w:w="94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329,073</w:t>
            </w:r>
          </w:p>
        </w:tc>
        <w:tc>
          <w:tcPr>
            <w:tcW w:w="8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384,644</w:t>
            </w:r>
          </w:p>
        </w:tc>
      </w:tr>
      <w:tr>
        <w:trPr>
          <w:trHeight w:val="291"/>
        </w:trPr>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40" w:type="dxa"/>
            <w:vAlign w:val="bottom"/>
            <w:tcBorders>
              <w:bottom w:val="single" w:sz="8" w:color="959595"/>
            </w:tcBorders>
          </w:tcPr>
          <w:p>
            <w:pPr>
              <w:spacing w:after="0"/>
              <w:rPr>
                <w:sz w:val="20"/>
                <w:szCs w:val="20"/>
                <w:color w:val="auto"/>
              </w:rPr>
            </w:pPr>
            <w:r>
              <w:rPr>
                <w:rFonts w:ascii="Arial" w:cs="Arial" w:eastAsia="Arial" w:hAnsi="Arial"/>
                <w:sz w:val="13"/>
                <w:szCs w:val="13"/>
                <w:color w:val="auto"/>
              </w:rPr>
              <w:t>PSU Acceleration</w:t>
            </w:r>
            <w:r>
              <w:rPr>
                <w:rFonts w:ascii="Arial" w:cs="Arial" w:eastAsia="Arial" w:hAnsi="Arial"/>
                <w:sz w:val="22"/>
                <w:szCs w:val="22"/>
                <w:color w:val="auto"/>
                <w:vertAlign w:val="superscript"/>
              </w:rPr>
              <w:t>(8)</w:t>
            </w:r>
          </w:p>
        </w:tc>
        <w:tc>
          <w:tcPr>
            <w:tcW w:w="10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1,455,328</w:t>
            </w:r>
          </w:p>
        </w:tc>
        <w:tc>
          <w:tcPr>
            <w:tcW w:w="9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1,455,328</w:t>
            </w:r>
          </w:p>
        </w:tc>
        <w:tc>
          <w:tcPr>
            <w:tcW w:w="94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743,006</w:t>
            </w:r>
          </w:p>
        </w:tc>
        <w:tc>
          <w:tcPr>
            <w:tcW w:w="8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743,006</w:t>
            </w:r>
          </w:p>
        </w:tc>
      </w:tr>
      <w:tr>
        <w:trPr>
          <w:trHeight w:val="290"/>
        </w:trPr>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40" w:type="dxa"/>
            <w:vAlign w:val="bottom"/>
            <w:tcBorders>
              <w:bottom w:val="single" w:sz="8" w:color="959595"/>
            </w:tcBorders>
          </w:tcPr>
          <w:p>
            <w:pPr>
              <w:spacing w:after="0"/>
              <w:rPr>
                <w:sz w:val="20"/>
                <w:szCs w:val="20"/>
                <w:color w:val="auto"/>
              </w:rPr>
            </w:pPr>
            <w:r>
              <w:rPr>
                <w:rFonts w:ascii="Arial" w:cs="Arial" w:eastAsia="Arial" w:hAnsi="Arial"/>
                <w:sz w:val="13"/>
                <w:szCs w:val="13"/>
                <w:color w:val="auto"/>
              </w:rPr>
              <w:t>Continuation of Benefits</w:t>
            </w:r>
            <w:r>
              <w:rPr>
                <w:rFonts w:ascii="Arial" w:cs="Arial" w:eastAsia="Arial" w:hAnsi="Arial"/>
                <w:sz w:val="22"/>
                <w:szCs w:val="22"/>
                <w:color w:val="auto"/>
                <w:vertAlign w:val="superscript"/>
              </w:rPr>
              <w:t>(9)</w:t>
            </w:r>
          </w:p>
        </w:tc>
        <w:tc>
          <w:tcPr>
            <w:tcW w:w="10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87,768</w:t>
            </w:r>
          </w:p>
        </w:tc>
        <w:tc>
          <w:tcPr>
            <w:tcW w:w="94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36,375</w:t>
            </w:r>
          </w:p>
        </w:tc>
        <w:tc>
          <w:tcPr>
            <w:tcW w:w="8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r>
      <w:tr>
        <w:trPr>
          <w:trHeight w:val="196"/>
        </w:trPr>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Arial" w:cs="Arial" w:eastAsia="Arial" w:hAnsi="Arial"/>
                <w:sz w:val="13"/>
                <w:szCs w:val="13"/>
                <w:color w:val="auto"/>
              </w:rPr>
              <w:t>Value of Outplacement Services</w:t>
            </w:r>
          </w:p>
        </w:tc>
        <w:tc>
          <w:tcPr>
            <w:tcW w:w="10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3"/>
              <w:spacing w:after="0"/>
              <w:rPr>
                <w:sz w:val="20"/>
                <w:szCs w:val="20"/>
                <w:color w:val="auto"/>
              </w:rPr>
            </w:pPr>
            <w:r>
              <w:rPr>
                <w:rFonts w:ascii="Arial" w:cs="Arial" w:eastAsia="Arial" w:hAnsi="Arial"/>
                <w:sz w:val="13"/>
                <w:szCs w:val="13"/>
                <w:color w:val="auto"/>
              </w:rPr>
              <w:t>3,200</w:t>
            </w: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w:t>
            </w:r>
          </w:p>
        </w:tc>
      </w:tr>
      <w:tr>
        <w:trPr>
          <w:trHeight w:val="41"/>
        </w:trPr>
        <w:tc>
          <w:tcPr>
            <w:tcW w:w="1520" w:type="dxa"/>
            <w:vAlign w:val="bottom"/>
          </w:tcPr>
          <w:p>
            <w:pPr>
              <w:spacing w:after="0"/>
              <w:rPr>
                <w:sz w:val="3"/>
                <w:szCs w:val="3"/>
                <w:color w:val="auto"/>
              </w:rPr>
            </w:pPr>
          </w:p>
        </w:tc>
        <w:tc>
          <w:tcPr>
            <w:tcW w:w="80" w:type="dxa"/>
            <w:vAlign w:val="bottom"/>
          </w:tcPr>
          <w:p>
            <w:pPr>
              <w:spacing w:after="0"/>
              <w:rPr>
                <w:sz w:val="3"/>
                <w:szCs w:val="3"/>
                <w:color w:val="auto"/>
              </w:rPr>
            </w:pPr>
          </w:p>
        </w:tc>
        <w:tc>
          <w:tcPr>
            <w:tcW w:w="504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980" w:type="dxa"/>
            <w:vAlign w:val="bottom"/>
            <w:tcBorders>
              <w:bottom w:val="single" w:sz="8" w:color="959595"/>
            </w:tcBorders>
          </w:tcPr>
          <w:p>
            <w:pPr>
              <w:spacing w:after="0"/>
              <w:rPr>
                <w:sz w:val="3"/>
                <w:szCs w:val="3"/>
                <w:color w:val="auto"/>
              </w:rPr>
            </w:pPr>
          </w:p>
        </w:tc>
        <w:tc>
          <w:tcPr>
            <w:tcW w:w="940" w:type="dxa"/>
            <w:vAlign w:val="bottom"/>
            <w:tcBorders>
              <w:bottom w:val="single" w:sz="8" w:color="959595"/>
            </w:tcBorders>
          </w:tcPr>
          <w:p>
            <w:pPr>
              <w:spacing w:after="0"/>
              <w:rPr>
                <w:sz w:val="3"/>
                <w:szCs w:val="3"/>
                <w:color w:val="auto"/>
              </w:rPr>
            </w:pPr>
          </w:p>
        </w:tc>
        <w:tc>
          <w:tcPr>
            <w:tcW w:w="860" w:type="dxa"/>
            <w:vAlign w:val="bottom"/>
            <w:tcBorders>
              <w:bottom w:val="single" w:sz="8" w:color="959595"/>
            </w:tcBorders>
          </w:tcPr>
          <w:p>
            <w:pPr>
              <w:spacing w:after="0"/>
              <w:rPr>
                <w:sz w:val="3"/>
                <w:szCs w:val="3"/>
                <w:color w:val="auto"/>
              </w:rPr>
            </w:pPr>
          </w:p>
        </w:tc>
        <w:tc>
          <w:tcPr>
            <w:tcW w:w="740" w:type="dxa"/>
            <w:vAlign w:val="bottom"/>
            <w:tcBorders>
              <w:bottom w:val="single" w:sz="8" w:color="959595"/>
            </w:tcBorders>
          </w:tcPr>
          <w:p>
            <w:pPr>
              <w:spacing w:after="0"/>
              <w:rPr>
                <w:sz w:val="3"/>
                <w:szCs w:val="3"/>
                <w:color w:val="auto"/>
              </w:rPr>
            </w:pPr>
          </w:p>
        </w:tc>
      </w:tr>
      <w:tr>
        <w:trPr>
          <w:trHeight w:val="196"/>
        </w:trPr>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Arial" w:cs="Arial" w:eastAsia="Arial" w:hAnsi="Arial"/>
                <w:sz w:val="13"/>
                <w:szCs w:val="13"/>
                <w:b w:val="1"/>
                <w:bCs w:val="1"/>
                <w:color w:val="auto"/>
              </w:rPr>
              <w:t>TOTAL</w:t>
            </w:r>
          </w:p>
        </w:tc>
        <w:tc>
          <w:tcPr>
            <w:tcW w:w="1080" w:type="dxa"/>
            <w:vAlign w:val="bottom"/>
          </w:tcPr>
          <w:p>
            <w:pPr>
              <w:jc w:val="right"/>
              <w:ind w:right="13"/>
              <w:spacing w:after="0"/>
              <w:rPr>
                <w:sz w:val="20"/>
                <w:szCs w:val="20"/>
                <w:color w:val="auto"/>
              </w:rPr>
            </w:pPr>
            <w:r>
              <w:rPr>
                <w:rFonts w:ascii="Arial" w:cs="Arial" w:eastAsia="Arial" w:hAnsi="Arial"/>
                <w:sz w:val="13"/>
                <w:szCs w:val="13"/>
                <w:color w:val="auto"/>
              </w:rPr>
              <w:t>3,228,345</w:t>
            </w:r>
          </w:p>
        </w:tc>
        <w:tc>
          <w:tcPr>
            <w:tcW w:w="980" w:type="dxa"/>
            <w:vAlign w:val="bottom"/>
          </w:tcPr>
          <w:p>
            <w:pPr>
              <w:jc w:val="right"/>
              <w:ind w:right="13"/>
              <w:spacing w:after="0"/>
              <w:rPr>
                <w:sz w:val="20"/>
                <w:szCs w:val="20"/>
                <w:color w:val="auto"/>
              </w:rPr>
            </w:pPr>
            <w:r>
              <w:rPr>
                <w:rFonts w:ascii="Arial" w:cs="Arial" w:eastAsia="Arial" w:hAnsi="Arial"/>
                <w:sz w:val="13"/>
                <w:szCs w:val="13"/>
                <w:color w:val="auto"/>
              </w:rPr>
              <w:t>5,258,613</w:t>
            </w:r>
          </w:p>
        </w:tc>
        <w:tc>
          <w:tcPr>
            <w:tcW w:w="940" w:type="dxa"/>
            <w:vAlign w:val="bottom"/>
          </w:tcPr>
          <w:p>
            <w:pPr>
              <w:jc w:val="right"/>
              <w:ind w:right="33"/>
              <w:spacing w:after="0"/>
              <w:rPr>
                <w:sz w:val="20"/>
                <w:szCs w:val="20"/>
                <w:color w:val="auto"/>
              </w:rPr>
            </w:pPr>
            <w:r>
              <w:rPr>
                <w:rFonts w:ascii="Arial" w:cs="Arial" w:eastAsia="Arial" w:hAnsi="Arial"/>
                <w:sz w:val="13"/>
                <w:szCs w:val="13"/>
                <w:color w:val="auto"/>
              </w:rPr>
              <w:t>2,607,904</w:t>
            </w: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1,127,650</w:t>
            </w:r>
          </w:p>
        </w:tc>
      </w:tr>
      <w:tr>
        <w:trPr>
          <w:trHeight w:val="41"/>
        </w:trPr>
        <w:tc>
          <w:tcPr>
            <w:tcW w:w="1520" w:type="dxa"/>
            <w:vAlign w:val="bottom"/>
            <w:tcBorders>
              <w:bottom w:val="single" w:sz="8" w:color="959595"/>
            </w:tcBorders>
          </w:tcPr>
          <w:p>
            <w:pPr>
              <w:spacing w:after="0"/>
              <w:rPr>
                <w:sz w:val="3"/>
                <w:szCs w:val="3"/>
                <w:color w:val="auto"/>
              </w:rPr>
            </w:pPr>
          </w:p>
        </w:tc>
        <w:tc>
          <w:tcPr>
            <w:tcW w:w="80" w:type="dxa"/>
            <w:vAlign w:val="bottom"/>
            <w:tcBorders>
              <w:bottom w:val="single" w:sz="8" w:color="959595"/>
            </w:tcBorders>
          </w:tcPr>
          <w:p>
            <w:pPr>
              <w:spacing w:after="0"/>
              <w:rPr>
                <w:sz w:val="3"/>
                <w:szCs w:val="3"/>
                <w:color w:val="auto"/>
              </w:rPr>
            </w:pPr>
          </w:p>
        </w:tc>
        <w:tc>
          <w:tcPr>
            <w:tcW w:w="504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980" w:type="dxa"/>
            <w:vAlign w:val="bottom"/>
            <w:tcBorders>
              <w:bottom w:val="single" w:sz="8" w:color="959595"/>
            </w:tcBorders>
          </w:tcPr>
          <w:p>
            <w:pPr>
              <w:spacing w:after="0"/>
              <w:rPr>
                <w:sz w:val="3"/>
                <w:szCs w:val="3"/>
                <w:color w:val="auto"/>
              </w:rPr>
            </w:pPr>
          </w:p>
        </w:tc>
        <w:tc>
          <w:tcPr>
            <w:tcW w:w="940" w:type="dxa"/>
            <w:vAlign w:val="bottom"/>
            <w:tcBorders>
              <w:bottom w:val="single" w:sz="8" w:color="959595"/>
            </w:tcBorders>
          </w:tcPr>
          <w:p>
            <w:pPr>
              <w:spacing w:after="0"/>
              <w:rPr>
                <w:sz w:val="3"/>
                <w:szCs w:val="3"/>
                <w:color w:val="auto"/>
              </w:rPr>
            </w:pPr>
          </w:p>
        </w:tc>
        <w:tc>
          <w:tcPr>
            <w:tcW w:w="860" w:type="dxa"/>
            <w:vAlign w:val="bottom"/>
            <w:tcBorders>
              <w:bottom w:val="single" w:sz="8" w:color="959595"/>
            </w:tcBorders>
          </w:tcPr>
          <w:p>
            <w:pPr>
              <w:spacing w:after="0"/>
              <w:rPr>
                <w:sz w:val="3"/>
                <w:szCs w:val="3"/>
                <w:color w:val="auto"/>
              </w:rPr>
            </w:pPr>
          </w:p>
        </w:tc>
        <w:tc>
          <w:tcPr>
            <w:tcW w:w="740" w:type="dxa"/>
            <w:vAlign w:val="bottom"/>
            <w:tcBorders>
              <w:bottom w:val="single" w:sz="8" w:color="959595"/>
            </w:tcBorders>
          </w:tcPr>
          <w:p>
            <w:pPr>
              <w:spacing w:after="0"/>
              <w:rPr>
                <w:sz w:val="3"/>
                <w:szCs w:val="3"/>
                <w:color w:val="auto"/>
              </w:rPr>
            </w:pPr>
          </w:p>
        </w:tc>
      </w:tr>
      <w:tr>
        <w:trPr>
          <w:trHeight w:val="196"/>
        </w:trPr>
        <w:tc>
          <w:tcPr>
            <w:tcW w:w="1600" w:type="dxa"/>
            <w:vAlign w:val="bottom"/>
            <w:gridSpan w:val="2"/>
          </w:tcPr>
          <w:p>
            <w:pPr>
              <w:ind w:left="80"/>
              <w:spacing w:after="0"/>
              <w:rPr>
                <w:sz w:val="20"/>
                <w:szCs w:val="20"/>
                <w:color w:val="auto"/>
              </w:rPr>
            </w:pPr>
            <w:r>
              <w:rPr>
                <w:rFonts w:ascii="Arial" w:cs="Arial" w:eastAsia="Arial" w:hAnsi="Arial"/>
                <w:sz w:val="13"/>
                <w:szCs w:val="13"/>
                <w:b w:val="1"/>
                <w:bCs w:val="1"/>
                <w:color w:val="23628F"/>
              </w:rPr>
              <w:t>Stephen D. Milligan</w:t>
            </w:r>
          </w:p>
        </w:tc>
        <w:tc>
          <w:tcPr>
            <w:tcW w:w="5040" w:type="dxa"/>
            <w:vAlign w:val="bottom"/>
          </w:tcPr>
          <w:p>
            <w:pPr>
              <w:spacing w:after="0"/>
              <w:rPr>
                <w:sz w:val="20"/>
                <w:szCs w:val="20"/>
                <w:color w:val="auto"/>
              </w:rPr>
            </w:pPr>
            <w:r>
              <w:rPr>
                <w:rFonts w:ascii="Arial" w:cs="Arial" w:eastAsia="Arial" w:hAnsi="Arial"/>
                <w:sz w:val="13"/>
                <w:szCs w:val="13"/>
                <w:color w:val="auto"/>
              </w:rPr>
              <w:t>Cash Severance</w:t>
            </w:r>
          </w:p>
        </w:tc>
        <w:tc>
          <w:tcPr>
            <w:tcW w:w="10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3"/>
              <w:spacing w:after="0"/>
              <w:rPr>
                <w:sz w:val="20"/>
                <w:szCs w:val="20"/>
                <w:color w:val="auto"/>
              </w:rPr>
            </w:pPr>
            <w:r>
              <w:rPr>
                <w:rFonts w:ascii="Arial" w:cs="Arial" w:eastAsia="Arial" w:hAnsi="Arial"/>
                <w:sz w:val="13"/>
                <w:szCs w:val="13"/>
                <w:color w:val="auto"/>
              </w:rPr>
              <w:t>6,250,000</w:t>
            </w:r>
          </w:p>
        </w:tc>
        <w:tc>
          <w:tcPr>
            <w:tcW w:w="940" w:type="dxa"/>
            <w:vAlign w:val="bottom"/>
          </w:tcPr>
          <w:p>
            <w:pPr>
              <w:jc w:val="right"/>
              <w:ind w:right="33"/>
              <w:spacing w:after="0"/>
              <w:rPr>
                <w:sz w:val="20"/>
                <w:szCs w:val="20"/>
                <w:color w:val="auto"/>
              </w:rPr>
            </w:pPr>
            <w:r>
              <w:rPr>
                <w:rFonts w:ascii="Arial" w:cs="Arial" w:eastAsia="Arial" w:hAnsi="Arial"/>
                <w:sz w:val="13"/>
                <w:szCs w:val="13"/>
                <w:color w:val="auto"/>
              </w:rPr>
              <w:t>4,375,000</w:t>
            </w: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w:t>
            </w:r>
          </w:p>
        </w:tc>
      </w:tr>
      <w:tr>
        <w:trPr>
          <w:trHeight w:val="41"/>
        </w:trPr>
        <w:tc>
          <w:tcPr>
            <w:tcW w:w="1520" w:type="dxa"/>
            <w:vAlign w:val="bottom"/>
          </w:tcPr>
          <w:p>
            <w:pPr>
              <w:spacing w:after="0"/>
              <w:rPr>
                <w:sz w:val="3"/>
                <w:szCs w:val="3"/>
                <w:color w:val="auto"/>
              </w:rPr>
            </w:pPr>
          </w:p>
        </w:tc>
        <w:tc>
          <w:tcPr>
            <w:tcW w:w="80" w:type="dxa"/>
            <w:vAlign w:val="bottom"/>
          </w:tcPr>
          <w:p>
            <w:pPr>
              <w:spacing w:after="0"/>
              <w:rPr>
                <w:sz w:val="3"/>
                <w:szCs w:val="3"/>
                <w:color w:val="auto"/>
              </w:rPr>
            </w:pPr>
          </w:p>
        </w:tc>
        <w:tc>
          <w:tcPr>
            <w:tcW w:w="504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980" w:type="dxa"/>
            <w:vAlign w:val="bottom"/>
            <w:tcBorders>
              <w:bottom w:val="single" w:sz="8" w:color="959595"/>
            </w:tcBorders>
          </w:tcPr>
          <w:p>
            <w:pPr>
              <w:spacing w:after="0"/>
              <w:rPr>
                <w:sz w:val="3"/>
                <w:szCs w:val="3"/>
                <w:color w:val="auto"/>
              </w:rPr>
            </w:pPr>
          </w:p>
        </w:tc>
        <w:tc>
          <w:tcPr>
            <w:tcW w:w="940" w:type="dxa"/>
            <w:vAlign w:val="bottom"/>
            <w:tcBorders>
              <w:bottom w:val="single" w:sz="8" w:color="959595"/>
            </w:tcBorders>
          </w:tcPr>
          <w:p>
            <w:pPr>
              <w:spacing w:after="0"/>
              <w:rPr>
                <w:sz w:val="3"/>
                <w:szCs w:val="3"/>
                <w:color w:val="auto"/>
              </w:rPr>
            </w:pPr>
          </w:p>
        </w:tc>
        <w:tc>
          <w:tcPr>
            <w:tcW w:w="860" w:type="dxa"/>
            <w:vAlign w:val="bottom"/>
            <w:tcBorders>
              <w:bottom w:val="single" w:sz="8" w:color="959595"/>
            </w:tcBorders>
          </w:tcPr>
          <w:p>
            <w:pPr>
              <w:spacing w:after="0"/>
              <w:rPr>
                <w:sz w:val="3"/>
                <w:szCs w:val="3"/>
                <w:color w:val="auto"/>
              </w:rPr>
            </w:pPr>
          </w:p>
        </w:tc>
        <w:tc>
          <w:tcPr>
            <w:tcW w:w="740" w:type="dxa"/>
            <w:vAlign w:val="bottom"/>
            <w:tcBorders>
              <w:bottom w:val="single" w:sz="8" w:color="959595"/>
            </w:tcBorders>
          </w:tcPr>
          <w:p>
            <w:pPr>
              <w:spacing w:after="0"/>
              <w:rPr>
                <w:sz w:val="3"/>
                <w:szCs w:val="3"/>
                <w:color w:val="auto"/>
              </w:rPr>
            </w:pPr>
          </w:p>
        </w:tc>
      </w:tr>
      <w:tr>
        <w:trPr>
          <w:trHeight w:val="290"/>
        </w:trPr>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40" w:type="dxa"/>
            <w:vAlign w:val="bottom"/>
            <w:tcBorders>
              <w:bottom w:val="single" w:sz="8" w:color="959595"/>
            </w:tcBorders>
          </w:tcPr>
          <w:p>
            <w:pPr>
              <w:spacing w:after="0"/>
              <w:rPr>
                <w:sz w:val="20"/>
                <w:szCs w:val="20"/>
                <w:color w:val="auto"/>
              </w:rPr>
            </w:pPr>
            <w:r>
              <w:rPr>
                <w:rFonts w:ascii="Arial" w:cs="Arial" w:eastAsia="Arial" w:hAnsi="Arial"/>
                <w:sz w:val="13"/>
                <w:szCs w:val="13"/>
                <w:color w:val="auto"/>
              </w:rPr>
              <w:t>Option Acceleration</w:t>
            </w:r>
            <w:r>
              <w:rPr>
                <w:rFonts w:ascii="Arial" w:cs="Arial" w:eastAsia="Arial" w:hAnsi="Arial"/>
                <w:sz w:val="22"/>
                <w:szCs w:val="22"/>
                <w:color w:val="auto"/>
                <w:vertAlign w:val="superscript"/>
              </w:rPr>
              <w:t>(6)</w:t>
            </w:r>
          </w:p>
        </w:tc>
        <w:tc>
          <w:tcPr>
            <w:tcW w:w="10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r>
      <w:tr>
        <w:trPr>
          <w:trHeight w:val="291"/>
        </w:trPr>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40" w:type="dxa"/>
            <w:vAlign w:val="bottom"/>
            <w:tcBorders>
              <w:bottom w:val="single" w:sz="8" w:color="959595"/>
            </w:tcBorders>
          </w:tcPr>
          <w:p>
            <w:pPr>
              <w:spacing w:after="0"/>
              <w:rPr>
                <w:sz w:val="20"/>
                <w:szCs w:val="20"/>
                <w:color w:val="auto"/>
              </w:rPr>
            </w:pPr>
            <w:r>
              <w:rPr>
                <w:rFonts w:ascii="Arial" w:cs="Arial" w:eastAsia="Arial" w:hAnsi="Arial"/>
                <w:sz w:val="13"/>
                <w:szCs w:val="13"/>
                <w:color w:val="auto"/>
              </w:rPr>
              <w:t>RSU Acceleration</w:t>
            </w:r>
            <w:r>
              <w:rPr>
                <w:rFonts w:ascii="Arial" w:cs="Arial" w:eastAsia="Arial" w:hAnsi="Arial"/>
                <w:sz w:val="22"/>
                <w:szCs w:val="22"/>
                <w:color w:val="auto"/>
                <w:vertAlign w:val="superscript"/>
              </w:rPr>
              <w:t>(7)</w:t>
            </w:r>
          </w:p>
        </w:tc>
        <w:tc>
          <w:tcPr>
            <w:tcW w:w="10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7,403,936</w:t>
            </w:r>
          </w:p>
        </w:tc>
        <w:tc>
          <w:tcPr>
            <w:tcW w:w="9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7,403,936</w:t>
            </w:r>
          </w:p>
        </w:tc>
        <w:tc>
          <w:tcPr>
            <w:tcW w:w="94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2,240,395</w:t>
            </w:r>
          </w:p>
        </w:tc>
        <w:tc>
          <w:tcPr>
            <w:tcW w:w="8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1,474,769</w:t>
            </w:r>
          </w:p>
        </w:tc>
        <w:tc>
          <w:tcPr>
            <w:tcW w:w="74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2,066,639</w:t>
            </w:r>
          </w:p>
        </w:tc>
      </w:tr>
      <w:tr>
        <w:trPr>
          <w:trHeight w:val="290"/>
        </w:trPr>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40" w:type="dxa"/>
            <w:vAlign w:val="bottom"/>
            <w:tcBorders>
              <w:bottom w:val="single" w:sz="8" w:color="959595"/>
            </w:tcBorders>
          </w:tcPr>
          <w:p>
            <w:pPr>
              <w:spacing w:after="0"/>
              <w:rPr>
                <w:sz w:val="20"/>
                <w:szCs w:val="20"/>
                <w:color w:val="auto"/>
              </w:rPr>
            </w:pPr>
            <w:r>
              <w:rPr>
                <w:rFonts w:ascii="Arial" w:cs="Arial" w:eastAsia="Arial" w:hAnsi="Arial"/>
                <w:sz w:val="13"/>
                <w:szCs w:val="13"/>
                <w:color w:val="auto"/>
              </w:rPr>
              <w:t>PSU Acceleration</w:t>
            </w:r>
            <w:r>
              <w:rPr>
                <w:rFonts w:ascii="Arial" w:cs="Arial" w:eastAsia="Arial" w:hAnsi="Arial"/>
                <w:sz w:val="22"/>
                <w:szCs w:val="22"/>
                <w:color w:val="auto"/>
                <w:vertAlign w:val="superscript"/>
              </w:rPr>
              <w:t>(8)</w:t>
            </w:r>
          </w:p>
        </w:tc>
        <w:tc>
          <w:tcPr>
            <w:tcW w:w="10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10,463,915</w:t>
            </w:r>
          </w:p>
        </w:tc>
        <w:tc>
          <w:tcPr>
            <w:tcW w:w="9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10,463,915</w:t>
            </w:r>
          </w:p>
        </w:tc>
        <w:tc>
          <w:tcPr>
            <w:tcW w:w="94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5,572,309</w:t>
            </w:r>
          </w:p>
        </w:tc>
        <w:tc>
          <w:tcPr>
            <w:tcW w:w="8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5,572,309</w:t>
            </w:r>
          </w:p>
        </w:tc>
        <w:tc>
          <w:tcPr>
            <w:tcW w:w="74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5,572,309</w:t>
            </w:r>
          </w:p>
        </w:tc>
      </w:tr>
      <w:tr>
        <w:trPr>
          <w:trHeight w:val="291"/>
        </w:trPr>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40" w:type="dxa"/>
            <w:vAlign w:val="bottom"/>
            <w:tcBorders>
              <w:bottom w:val="single" w:sz="8" w:color="959595"/>
            </w:tcBorders>
          </w:tcPr>
          <w:p>
            <w:pPr>
              <w:spacing w:after="0"/>
              <w:rPr>
                <w:sz w:val="20"/>
                <w:szCs w:val="20"/>
                <w:color w:val="auto"/>
              </w:rPr>
            </w:pPr>
            <w:r>
              <w:rPr>
                <w:rFonts w:ascii="Arial" w:cs="Arial" w:eastAsia="Arial" w:hAnsi="Arial"/>
                <w:sz w:val="13"/>
                <w:szCs w:val="13"/>
                <w:color w:val="auto"/>
              </w:rPr>
              <w:t>Continuation of Benefits</w:t>
            </w:r>
            <w:r>
              <w:rPr>
                <w:rFonts w:ascii="Arial" w:cs="Arial" w:eastAsia="Arial" w:hAnsi="Arial"/>
                <w:sz w:val="22"/>
                <w:szCs w:val="22"/>
                <w:color w:val="auto"/>
                <w:vertAlign w:val="superscript"/>
              </w:rPr>
              <w:t>(9)</w:t>
            </w:r>
          </w:p>
        </w:tc>
        <w:tc>
          <w:tcPr>
            <w:tcW w:w="10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98,357</w:t>
            </w:r>
          </w:p>
        </w:tc>
        <w:tc>
          <w:tcPr>
            <w:tcW w:w="94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36,088</w:t>
            </w:r>
          </w:p>
        </w:tc>
        <w:tc>
          <w:tcPr>
            <w:tcW w:w="8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r>
      <w:tr>
        <w:trPr>
          <w:trHeight w:val="196"/>
        </w:trPr>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Arial" w:cs="Arial" w:eastAsia="Arial" w:hAnsi="Arial"/>
                <w:sz w:val="13"/>
                <w:szCs w:val="13"/>
                <w:color w:val="auto"/>
              </w:rPr>
              <w:t>Value of Outplacement Services</w:t>
            </w:r>
          </w:p>
        </w:tc>
        <w:tc>
          <w:tcPr>
            <w:tcW w:w="10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3"/>
              <w:spacing w:after="0"/>
              <w:rPr>
                <w:sz w:val="20"/>
                <w:szCs w:val="20"/>
                <w:color w:val="auto"/>
              </w:rPr>
            </w:pPr>
            <w:r>
              <w:rPr>
                <w:rFonts w:ascii="Arial" w:cs="Arial" w:eastAsia="Arial" w:hAnsi="Arial"/>
                <w:sz w:val="13"/>
                <w:szCs w:val="13"/>
                <w:color w:val="auto"/>
              </w:rPr>
              <w:t>3,200</w:t>
            </w: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w:t>
            </w:r>
          </w:p>
        </w:tc>
      </w:tr>
      <w:tr>
        <w:trPr>
          <w:trHeight w:val="41"/>
        </w:trPr>
        <w:tc>
          <w:tcPr>
            <w:tcW w:w="1520" w:type="dxa"/>
            <w:vAlign w:val="bottom"/>
          </w:tcPr>
          <w:p>
            <w:pPr>
              <w:spacing w:after="0"/>
              <w:rPr>
                <w:sz w:val="3"/>
                <w:szCs w:val="3"/>
                <w:color w:val="auto"/>
              </w:rPr>
            </w:pPr>
          </w:p>
        </w:tc>
        <w:tc>
          <w:tcPr>
            <w:tcW w:w="80" w:type="dxa"/>
            <w:vAlign w:val="bottom"/>
          </w:tcPr>
          <w:p>
            <w:pPr>
              <w:spacing w:after="0"/>
              <w:rPr>
                <w:sz w:val="3"/>
                <w:szCs w:val="3"/>
                <w:color w:val="auto"/>
              </w:rPr>
            </w:pPr>
          </w:p>
        </w:tc>
        <w:tc>
          <w:tcPr>
            <w:tcW w:w="504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980" w:type="dxa"/>
            <w:vAlign w:val="bottom"/>
            <w:tcBorders>
              <w:bottom w:val="single" w:sz="8" w:color="959595"/>
            </w:tcBorders>
          </w:tcPr>
          <w:p>
            <w:pPr>
              <w:spacing w:after="0"/>
              <w:rPr>
                <w:sz w:val="3"/>
                <w:szCs w:val="3"/>
                <w:color w:val="auto"/>
              </w:rPr>
            </w:pPr>
          </w:p>
        </w:tc>
        <w:tc>
          <w:tcPr>
            <w:tcW w:w="940" w:type="dxa"/>
            <w:vAlign w:val="bottom"/>
            <w:tcBorders>
              <w:bottom w:val="single" w:sz="8" w:color="959595"/>
            </w:tcBorders>
          </w:tcPr>
          <w:p>
            <w:pPr>
              <w:spacing w:after="0"/>
              <w:rPr>
                <w:sz w:val="3"/>
                <w:szCs w:val="3"/>
                <w:color w:val="auto"/>
              </w:rPr>
            </w:pPr>
          </w:p>
        </w:tc>
        <w:tc>
          <w:tcPr>
            <w:tcW w:w="860" w:type="dxa"/>
            <w:vAlign w:val="bottom"/>
            <w:tcBorders>
              <w:bottom w:val="single" w:sz="8" w:color="959595"/>
            </w:tcBorders>
          </w:tcPr>
          <w:p>
            <w:pPr>
              <w:spacing w:after="0"/>
              <w:rPr>
                <w:sz w:val="3"/>
                <w:szCs w:val="3"/>
                <w:color w:val="auto"/>
              </w:rPr>
            </w:pPr>
          </w:p>
        </w:tc>
        <w:tc>
          <w:tcPr>
            <w:tcW w:w="740" w:type="dxa"/>
            <w:vAlign w:val="bottom"/>
            <w:tcBorders>
              <w:bottom w:val="single" w:sz="8" w:color="959595"/>
            </w:tcBorders>
          </w:tcPr>
          <w:p>
            <w:pPr>
              <w:spacing w:after="0"/>
              <w:rPr>
                <w:sz w:val="3"/>
                <w:szCs w:val="3"/>
                <w:color w:val="auto"/>
              </w:rPr>
            </w:pPr>
          </w:p>
        </w:tc>
      </w:tr>
      <w:tr>
        <w:trPr>
          <w:trHeight w:val="195"/>
        </w:trPr>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Arial" w:cs="Arial" w:eastAsia="Arial" w:hAnsi="Arial"/>
                <w:sz w:val="13"/>
                <w:szCs w:val="13"/>
                <w:b w:val="1"/>
                <w:bCs w:val="1"/>
                <w:color w:val="auto"/>
              </w:rPr>
              <w:t>TOTAL</w:t>
            </w:r>
          </w:p>
        </w:tc>
        <w:tc>
          <w:tcPr>
            <w:tcW w:w="1080" w:type="dxa"/>
            <w:vAlign w:val="bottom"/>
          </w:tcPr>
          <w:p>
            <w:pPr>
              <w:jc w:val="right"/>
              <w:ind w:right="13"/>
              <w:spacing w:after="0"/>
              <w:rPr>
                <w:sz w:val="20"/>
                <w:szCs w:val="20"/>
                <w:color w:val="auto"/>
              </w:rPr>
            </w:pPr>
            <w:r>
              <w:rPr>
                <w:rFonts w:ascii="Arial" w:cs="Arial" w:eastAsia="Arial" w:hAnsi="Arial"/>
                <w:sz w:val="13"/>
                <w:szCs w:val="13"/>
                <w:color w:val="auto"/>
              </w:rPr>
              <w:t>17,867,851</w:t>
            </w:r>
          </w:p>
        </w:tc>
        <w:tc>
          <w:tcPr>
            <w:tcW w:w="980" w:type="dxa"/>
            <w:vAlign w:val="bottom"/>
          </w:tcPr>
          <w:p>
            <w:pPr>
              <w:jc w:val="right"/>
              <w:ind w:right="13"/>
              <w:spacing w:after="0"/>
              <w:rPr>
                <w:sz w:val="20"/>
                <w:szCs w:val="20"/>
                <w:color w:val="auto"/>
              </w:rPr>
            </w:pPr>
            <w:r>
              <w:rPr>
                <w:rFonts w:ascii="Arial" w:cs="Arial" w:eastAsia="Arial" w:hAnsi="Arial"/>
                <w:sz w:val="13"/>
                <w:szCs w:val="13"/>
                <w:color w:val="auto"/>
              </w:rPr>
              <w:t>24,216,208</w:t>
            </w:r>
          </w:p>
        </w:tc>
        <w:tc>
          <w:tcPr>
            <w:tcW w:w="940" w:type="dxa"/>
            <w:vAlign w:val="bottom"/>
          </w:tcPr>
          <w:p>
            <w:pPr>
              <w:jc w:val="right"/>
              <w:ind w:right="33"/>
              <w:spacing w:after="0"/>
              <w:rPr>
                <w:sz w:val="20"/>
                <w:szCs w:val="20"/>
                <w:color w:val="auto"/>
              </w:rPr>
            </w:pPr>
            <w:r>
              <w:rPr>
                <w:rFonts w:ascii="Arial" w:cs="Arial" w:eastAsia="Arial" w:hAnsi="Arial"/>
                <w:sz w:val="13"/>
                <w:szCs w:val="13"/>
                <w:color w:val="auto"/>
              </w:rPr>
              <w:t>12,226,992</w:t>
            </w: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7,047,078</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7,638,948</w:t>
            </w:r>
          </w:p>
        </w:tc>
      </w:tr>
      <w:tr>
        <w:trPr>
          <w:trHeight w:val="41"/>
        </w:trPr>
        <w:tc>
          <w:tcPr>
            <w:tcW w:w="1520" w:type="dxa"/>
            <w:vAlign w:val="bottom"/>
            <w:tcBorders>
              <w:bottom w:val="single" w:sz="8" w:color="959595"/>
            </w:tcBorders>
          </w:tcPr>
          <w:p>
            <w:pPr>
              <w:spacing w:after="0"/>
              <w:rPr>
                <w:sz w:val="3"/>
                <w:szCs w:val="3"/>
                <w:color w:val="auto"/>
              </w:rPr>
            </w:pPr>
          </w:p>
        </w:tc>
        <w:tc>
          <w:tcPr>
            <w:tcW w:w="80" w:type="dxa"/>
            <w:vAlign w:val="bottom"/>
            <w:tcBorders>
              <w:bottom w:val="single" w:sz="8" w:color="959595"/>
            </w:tcBorders>
          </w:tcPr>
          <w:p>
            <w:pPr>
              <w:spacing w:after="0"/>
              <w:rPr>
                <w:sz w:val="3"/>
                <w:szCs w:val="3"/>
                <w:color w:val="auto"/>
              </w:rPr>
            </w:pPr>
          </w:p>
        </w:tc>
        <w:tc>
          <w:tcPr>
            <w:tcW w:w="5040" w:type="dxa"/>
            <w:vAlign w:val="bottom"/>
            <w:tcBorders>
              <w:bottom w:val="single" w:sz="8" w:color="959595"/>
            </w:tcBorders>
          </w:tcPr>
          <w:p>
            <w:pPr>
              <w:spacing w:after="0"/>
              <w:rPr>
                <w:sz w:val="3"/>
                <w:szCs w:val="3"/>
                <w:color w:val="auto"/>
              </w:rPr>
            </w:pPr>
          </w:p>
        </w:tc>
        <w:tc>
          <w:tcPr>
            <w:tcW w:w="1080" w:type="dxa"/>
            <w:vAlign w:val="bottom"/>
            <w:tcBorders>
              <w:bottom w:val="single" w:sz="8" w:color="959595"/>
            </w:tcBorders>
          </w:tcPr>
          <w:p>
            <w:pPr>
              <w:spacing w:after="0"/>
              <w:rPr>
                <w:sz w:val="3"/>
                <w:szCs w:val="3"/>
                <w:color w:val="auto"/>
              </w:rPr>
            </w:pPr>
          </w:p>
        </w:tc>
        <w:tc>
          <w:tcPr>
            <w:tcW w:w="980" w:type="dxa"/>
            <w:vAlign w:val="bottom"/>
            <w:tcBorders>
              <w:bottom w:val="single" w:sz="8" w:color="959595"/>
            </w:tcBorders>
          </w:tcPr>
          <w:p>
            <w:pPr>
              <w:spacing w:after="0"/>
              <w:rPr>
                <w:sz w:val="3"/>
                <w:szCs w:val="3"/>
                <w:color w:val="auto"/>
              </w:rPr>
            </w:pPr>
          </w:p>
        </w:tc>
        <w:tc>
          <w:tcPr>
            <w:tcW w:w="940" w:type="dxa"/>
            <w:vAlign w:val="bottom"/>
            <w:tcBorders>
              <w:bottom w:val="single" w:sz="8" w:color="959595"/>
            </w:tcBorders>
          </w:tcPr>
          <w:p>
            <w:pPr>
              <w:spacing w:after="0"/>
              <w:rPr>
                <w:sz w:val="3"/>
                <w:szCs w:val="3"/>
                <w:color w:val="auto"/>
              </w:rPr>
            </w:pPr>
          </w:p>
        </w:tc>
        <w:tc>
          <w:tcPr>
            <w:tcW w:w="860" w:type="dxa"/>
            <w:vAlign w:val="bottom"/>
            <w:tcBorders>
              <w:bottom w:val="single" w:sz="8" w:color="959595"/>
            </w:tcBorders>
          </w:tcPr>
          <w:p>
            <w:pPr>
              <w:spacing w:after="0"/>
              <w:rPr>
                <w:sz w:val="3"/>
                <w:szCs w:val="3"/>
                <w:color w:val="auto"/>
              </w:rPr>
            </w:pPr>
          </w:p>
        </w:tc>
        <w:tc>
          <w:tcPr>
            <w:tcW w:w="740" w:type="dxa"/>
            <w:vAlign w:val="bottom"/>
            <w:tcBorders>
              <w:bottom w:val="single" w:sz="8" w:color="959595"/>
            </w:tcBorders>
          </w:tcPr>
          <w:p>
            <w:pPr>
              <w:spacing w:after="0"/>
              <w:rPr>
                <w:sz w:val="3"/>
                <w:szCs w:val="3"/>
                <w:color w:val="auto"/>
              </w:rPr>
            </w:pPr>
          </w:p>
        </w:tc>
      </w:tr>
    </w:tbl>
    <w:p>
      <w:pPr>
        <w:spacing w:after="0" w:line="107" w:lineRule="exact"/>
        <w:rPr>
          <w:sz w:val="20"/>
          <w:szCs w:val="20"/>
          <w:color w:val="auto"/>
        </w:rPr>
      </w:pPr>
    </w:p>
    <w:p>
      <w:pPr>
        <w:ind w:left="260" w:right="20" w:hanging="252"/>
        <w:spacing w:after="0" w:line="238" w:lineRule="auto"/>
        <w:tabs>
          <w:tab w:leader="none" w:pos="260" w:val="left"/>
        </w:tabs>
        <w:numPr>
          <w:ilvl w:val="0"/>
          <w:numId w:val="217"/>
        </w:numPr>
        <w:rPr>
          <w:rFonts w:ascii="Arial" w:cs="Arial" w:eastAsia="Arial" w:hAnsi="Arial"/>
          <w:sz w:val="11"/>
          <w:szCs w:val="11"/>
          <w:color w:val="auto"/>
        </w:rPr>
      </w:pPr>
      <w:r>
        <w:rPr>
          <w:rFonts w:ascii="Arial" w:cs="Arial" w:eastAsia="Arial" w:hAnsi="Arial"/>
          <w:sz w:val="13"/>
          <w:szCs w:val="13"/>
          <w:color w:val="auto"/>
        </w:rPr>
        <w:t>As described above, none of our equity awards will automatically vest because a change in control event occurs. The amounts shown represent the estimated value of the acceleration of outstanding equity incentive compensation under our incentive compensation plans in connection with a change in control (regardless of whether a termination of employment also occurs), as such acceleration is described more fully above, assuming that the awards were to be terminated in connection with the change in control and the Compensation and Talent Committee had not provided for the assumption, substitution or other continuation of the awards.</w:t>
      </w:r>
    </w:p>
    <w:p>
      <w:pPr>
        <w:spacing w:after="0" w:line="1" w:lineRule="exact"/>
        <w:rPr>
          <w:rFonts w:ascii="Arial" w:cs="Arial" w:eastAsia="Arial" w:hAnsi="Arial"/>
          <w:sz w:val="11"/>
          <w:szCs w:val="11"/>
          <w:color w:val="auto"/>
        </w:rPr>
      </w:pPr>
    </w:p>
    <w:p>
      <w:pPr>
        <w:jc w:val="both"/>
        <w:ind w:left="260" w:right="320" w:hanging="252"/>
        <w:spacing w:after="0" w:line="238" w:lineRule="auto"/>
        <w:tabs>
          <w:tab w:leader="none" w:pos="260" w:val="left"/>
        </w:tabs>
        <w:numPr>
          <w:ilvl w:val="0"/>
          <w:numId w:val="217"/>
        </w:numPr>
        <w:rPr>
          <w:rFonts w:ascii="Arial" w:cs="Arial" w:eastAsia="Arial" w:hAnsi="Arial"/>
          <w:sz w:val="11"/>
          <w:szCs w:val="11"/>
          <w:color w:val="auto"/>
        </w:rPr>
      </w:pPr>
      <w:r>
        <w:rPr>
          <w:rFonts w:ascii="Arial" w:cs="Arial" w:eastAsia="Arial" w:hAnsi="Arial"/>
          <w:sz w:val="13"/>
          <w:szCs w:val="13"/>
          <w:color w:val="auto"/>
        </w:rPr>
        <w:t>The amounts shown represent the estimated value of the severance benefits payable under our Change of Control Severance Plan (and the estimated value of equity acceleration under our equity plans for awards not covered under our Change of Control Severance Plan) in the event of a qualifying termination of employment in connection with a change in control, as such benefits are described more fully above.</w:t>
      </w:r>
    </w:p>
    <w:p>
      <w:pPr>
        <w:ind w:left="260" w:right="200" w:hanging="252"/>
        <w:spacing w:after="0" w:line="238" w:lineRule="auto"/>
        <w:tabs>
          <w:tab w:leader="none" w:pos="260" w:val="left"/>
        </w:tabs>
        <w:numPr>
          <w:ilvl w:val="0"/>
          <w:numId w:val="217"/>
        </w:numPr>
        <w:rPr>
          <w:rFonts w:ascii="Arial" w:cs="Arial" w:eastAsia="Arial" w:hAnsi="Arial"/>
          <w:sz w:val="11"/>
          <w:szCs w:val="11"/>
          <w:color w:val="auto"/>
        </w:rPr>
      </w:pPr>
      <w:r>
        <w:rPr>
          <w:rFonts w:ascii="Arial" w:cs="Arial" w:eastAsia="Arial" w:hAnsi="Arial"/>
          <w:sz w:val="13"/>
          <w:szCs w:val="13"/>
          <w:color w:val="auto"/>
        </w:rPr>
        <w:t>The amounts shown represent the estimated value of the severance benefits payable under our Executive Severance Plan in the event of a termination of employment by us without cause, as such benefits are described more fully above.</w:t>
      </w:r>
    </w:p>
    <w:p>
      <w:pPr>
        <w:ind w:left="260" w:right="240" w:hanging="252"/>
        <w:spacing w:after="0" w:line="238" w:lineRule="auto"/>
        <w:tabs>
          <w:tab w:leader="none" w:pos="260" w:val="left"/>
        </w:tabs>
        <w:numPr>
          <w:ilvl w:val="0"/>
          <w:numId w:val="217"/>
        </w:numPr>
        <w:rPr>
          <w:rFonts w:ascii="Arial" w:cs="Arial" w:eastAsia="Arial" w:hAnsi="Arial"/>
          <w:sz w:val="11"/>
          <w:szCs w:val="11"/>
          <w:color w:val="auto"/>
        </w:rPr>
      </w:pPr>
      <w:r>
        <w:rPr>
          <w:rFonts w:ascii="Arial" w:cs="Arial" w:eastAsia="Arial" w:hAnsi="Arial"/>
          <w:sz w:val="13"/>
          <w:szCs w:val="13"/>
          <w:color w:val="auto"/>
        </w:rPr>
        <w:t>As of July 3, 2020, none of our named executive officers met the requirements for a “qualified retiree” as described above with respect to stock options and only Mr. Milligan met the requirements for a “qualified retiree” with respect to RSUs and PSUs.</w:t>
      </w:r>
    </w:p>
    <w:p>
      <w:pPr>
        <w:ind w:left="260" w:right="240" w:hanging="252"/>
        <w:spacing w:after="0" w:line="238" w:lineRule="auto"/>
        <w:tabs>
          <w:tab w:leader="none" w:pos="260" w:val="left"/>
        </w:tabs>
        <w:numPr>
          <w:ilvl w:val="0"/>
          <w:numId w:val="217"/>
        </w:numPr>
        <w:rPr>
          <w:rFonts w:ascii="Arial" w:cs="Arial" w:eastAsia="Arial" w:hAnsi="Arial"/>
          <w:sz w:val="11"/>
          <w:szCs w:val="11"/>
          <w:color w:val="auto"/>
        </w:rPr>
      </w:pPr>
      <w:r>
        <w:rPr>
          <w:rFonts w:ascii="Arial" w:cs="Arial" w:eastAsia="Arial" w:hAnsi="Arial"/>
          <w:sz w:val="13"/>
          <w:szCs w:val="13"/>
          <w:color w:val="auto"/>
        </w:rPr>
        <w:t>The amounts shown represent the estimated value of the acceleration of outstanding equity and non-equity incentive compensation under our incentive compensation plans in connection with the executive’s death, as such acceleration is described more fully above. For the PSU awards, where applicable, the amounts assume achievement at 100% of the target level of performance for the performance period, subject to proration.</w:t>
      </w:r>
    </w:p>
    <w:p>
      <w:pPr>
        <w:ind w:left="260" w:hanging="252"/>
        <w:spacing w:after="0" w:line="238" w:lineRule="auto"/>
        <w:tabs>
          <w:tab w:leader="none" w:pos="260" w:val="left"/>
        </w:tabs>
        <w:numPr>
          <w:ilvl w:val="0"/>
          <w:numId w:val="217"/>
        </w:numPr>
        <w:rPr>
          <w:rFonts w:ascii="Arial" w:cs="Arial" w:eastAsia="Arial" w:hAnsi="Arial"/>
          <w:sz w:val="11"/>
          <w:szCs w:val="11"/>
          <w:color w:val="auto"/>
        </w:rPr>
      </w:pPr>
      <w:r>
        <w:rPr>
          <w:rFonts w:ascii="Arial" w:cs="Arial" w:eastAsia="Arial" w:hAnsi="Arial"/>
          <w:sz w:val="13"/>
          <w:szCs w:val="13"/>
          <w:color w:val="auto"/>
        </w:rPr>
        <w:t>The amounts shown represent the portion of the stock option award that would have accelerated in connection with the termination or change in control event and are based on the intrinsic value of that portion of the stock option as of July 3, 2020. These intrinsic values were calculated by multiplying (i) the difference between the closing price of our common stock on the Nasdaq Stock Market on July 2, 2020 ($42.44), the last trading day in fiscal 2020, and the applicable exercise price, by (ii) the number of shares subject to stock options vesting on an accelerated basis on July 3, 2020. As a result, the amounts shown do not include any value for the acceleration of stock options that have an exercise price greater than $42.44 or for stock options that were already vested as of July 3, 2020. Also not included in the table above is any potential value attributable to the extension of a stock option term in connection with certain terminations of employment.</w:t>
      </w:r>
    </w:p>
    <w:p>
      <w:pPr>
        <w:spacing w:after="0" w:line="1" w:lineRule="exact"/>
        <w:rPr>
          <w:rFonts w:ascii="Arial" w:cs="Arial" w:eastAsia="Arial" w:hAnsi="Arial"/>
          <w:sz w:val="11"/>
          <w:szCs w:val="11"/>
          <w:color w:val="auto"/>
        </w:rPr>
      </w:pPr>
    </w:p>
    <w:p>
      <w:pPr>
        <w:ind w:left="260" w:right="40" w:hanging="252"/>
        <w:spacing w:after="0" w:line="238" w:lineRule="auto"/>
        <w:tabs>
          <w:tab w:leader="none" w:pos="260" w:val="left"/>
        </w:tabs>
        <w:numPr>
          <w:ilvl w:val="0"/>
          <w:numId w:val="217"/>
        </w:numPr>
        <w:rPr>
          <w:rFonts w:ascii="Arial" w:cs="Arial" w:eastAsia="Arial" w:hAnsi="Arial"/>
          <w:sz w:val="11"/>
          <w:szCs w:val="11"/>
          <w:color w:val="auto"/>
        </w:rPr>
      </w:pPr>
      <w:r>
        <w:rPr>
          <w:rFonts w:ascii="Arial" w:cs="Arial" w:eastAsia="Arial" w:hAnsi="Arial"/>
          <w:sz w:val="13"/>
          <w:szCs w:val="13"/>
          <w:color w:val="auto"/>
        </w:rPr>
        <w:t>The amounts shown represent the portion of the RSU award that would have accelerated in connection with the termination event and are based on the intrinsic value of that portion as of July 3, 2020. These intrinsic values were calculated by multiplying (i) the closing price of our common stock on the Nasdaq Stock Market on July 2, 2020 ($42.44), the last trading day in fiscal 2020, by (ii) the number of stock units that would have vested on an accelerated basis on July 3, 2020.</w:t>
      </w:r>
    </w:p>
    <w:p>
      <w:pPr>
        <w:ind w:left="260" w:hanging="252"/>
        <w:spacing w:after="0" w:line="238" w:lineRule="auto"/>
        <w:tabs>
          <w:tab w:leader="none" w:pos="260" w:val="left"/>
        </w:tabs>
        <w:numPr>
          <w:ilvl w:val="0"/>
          <w:numId w:val="217"/>
        </w:numPr>
        <w:rPr>
          <w:rFonts w:ascii="Arial" w:cs="Arial" w:eastAsia="Arial" w:hAnsi="Arial"/>
          <w:sz w:val="11"/>
          <w:szCs w:val="11"/>
          <w:color w:val="auto"/>
        </w:rPr>
      </w:pPr>
      <w:r>
        <w:rPr>
          <w:rFonts w:ascii="Arial" w:cs="Arial" w:eastAsia="Arial" w:hAnsi="Arial"/>
          <w:sz w:val="13"/>
          <w:szCs w:val="13"/>
          <w:color w:val="auto"/>
        </w:rPr>
        <w:t>The amounts shown represent the target number of PSUs subject to the award that would have remained outstanding and eligible to vest in connection with the termination event and are based on the intrinsic value of those stock units as of July 3, 2020. These intrinsic values were calculated by multiplying (i) the closing price of our common stock on the Nasdaq Stock Market on July 2, 2020 ($42.44), the last trading day in fiscal 2020, by (ii) the target number of PSUs that would have remained outstanding and eligible to vest as of July 3, 2020.</w:t>
      </w:r>
    </w:p>
    <w:p>
      <w:pPr>
        <w:ind w:left="260" w:right="80" w:hanging="252"/>
        <w:spacing w:after="0" w:line="258" w:lineRule="auto"/>
        <w:tabs>
          <w:tab w:leader="none" w:pos="260" w:val="left"/>
        </w:tabs>
        <w:numPr>
          <w:ilvl w:val="0"/>
          <w:numId w:val="217"/>
        </w:numPr>
        <w:rPr>
          <w:rFonts w:ascii="Arial" w:cs="Arial" w:eastAsia="Arial" w:hAnsi="Arial"/>
          <w:sz w:val="11"/>
          <w:szCs w:val="11"/>
          <w:color w:val="auto"/>
        </w:rPr>
      </w:pPr>
      <w:r>
        <w:rPr>
          <w:rFonts w:ascii="Arial" w:cs="Arial" w:eastAsia="Arial" w:hAnsi="Arial"/>
          <w:sz w:val="13"/>
          <w:szCs w:val="13"/>
          <w:color w:val="auto"/>
        </w:rPr>
        <w:t>For purposes of the calculation for these amounts, expected costs have not been adjusted for any actuarial assumptions related to mortality, likelihood that the named executive officer will find other employment or discount rates for determining present value.</w:t>
      </w:r>
    </w:p>
    <w:p>
      <w:pPr>
        <w:spacing w:after="0" w:line="187" w:lineRule="exact"/>
        <w:rPr>
          <w:sz w:val="20"/>
          <w:szCs w:val="20"/>
          <w:color w:val="auto"/>
        </w:rPr>
      </w:pPr>
    </w:p>
    <w:p>
      <w:pPr>
        <w:ind w:left="440" w:hanging="432"/>
        <w:spacing w:after="0"/>
        <w:tabs>
          <w:tab w:leader="none" w:pos="440" w:val="left"/>
        </w:tabs>
        <w:numPr>
          <w:ilvl w:val="0"/>
          <w:numId w:val="218"/>
        </w:numPr>
        <w:rPr>
          <w:rFonts w:ascii="Arial" w:cs="Arial" w:eastAsia="Arial" w:hAnsi="Arial"/>
          <w:sz w:val="18"/>
          <w:szCs w:val="18"/>
          <w:b w:val="1"/>
          <w:bCs w:val="1"/>
          <w:color w:val="23628F"/>
        </w:rPr>
      </w:pPr>
      <w:r>
        <w:rPr>
          <w:rFonts w:ascii="Arial" w:cs="Arial" w:eastAsia="Arial" w:hAnsi="Arial"/>
          <w:sz w:val="13"/>
          <w:szCs w:val="13"/>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153275" cy="215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right"/>
        <w:spacing w:after="0"/>
        <w:rPr>
          <w:sz w:val="20"/>
          <w:szCs w:val="20"/>
          <w:color w:val="auto"/>
        </w:rPr>
      </w:pPr>
      <w:r>
        <w:rPr>
          <w:rFonts w:ascii="Arial" w:cs="Arial" w:eastAsia="Arial" w:hAnsi="Arial"/>
          <w:sz w:val="13"/>
          <w:szCs w:val="13"/>
          <w:color w:val="23628F"/>
        </w:rPr>
        <w:t>COMPENSATION DISCUSSION AND ANALYSIS</w:t>
      </w:r>
    </w:p>
    <w:p>
      <w:pPr>
        <w:spacing w:after="0" w:line="182"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Stephen D. Milligan Retirement</w:t>
      </w:r>
    </w:p>
    <w:p>
      <w:pPr>
        <w:spacing w:after="0" w:line="257" w:lineRule="exact"/>
        <w:rPr>
          <w:sz w:val="20"/>
          <w:szCs w:val="20"/>
          <w:color w:val="auto"/>
        </w:rPr>
      </w:pPr>
    </w:p>
    <w:p>
      <w:pPr>
        <w:ind w:right="80"/>
        <w:spacing w:after="0" w:line="243" w:lineRule="auto"/>
        <w:rPr>
          <w:sz w:val="20"/>
          <w:szCs w:val="20"/>
          <w:color w:val="auto"/>
        </w:rPr>
      </w:pPr>
      <w:r>
        <w:rPr>
          <w:rFonts w:ascii="Arial" w:cs="Arial" w:eastAsia="Arial" w:hAnsi="Arial"/>
          <w:sz w:val="13"/>
          <w:szCs w:val="13"/>
          <w:color w:val="auto"/>
        </w:rPr>
        <w:t>Mr. Milligan stepped down as Chief Executive Officer upon the appointment of Mr. Goeckeler as our Chief Executive Officer in March 2020. Mr. Milligan served in an advisory role until his retirement in September 2020 to ensure a smooth leadership transition. Mr. Milligan received no severance benefits in connection with his retirement. As a long-serving executive, Mr. Milligan satisfied the age and service requirements for retirement treatment under his applicable equity awards. These awards generally provide for pro rata vesting based on Mr. Milligan’s service during the applicable performance or vesting period. Please see the section entitled “Qualified Retirement” on page 88 above for a summary of retirement benefits for Mr. Milligan’s applicable equity awards.</w:t>
      </w:r>
    </w:p>
    <w:p>
      <w:pPr>
        <w:spacing w:after="0" w:line="168"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Michael D. Cordano Separation</w:t>
      </w:r>
    </w:p>
    <w:p>
      <w:pPr>
        <w:spacing w:after="0" w:line="257" w:lineRule="exact"/>
        <w:rPr>
          <w:sz w:val="20"/>
          <w:szCs w:val="20"/>
          <w:color w:val="auto"/>
        </w:rPr>
      </w:pPr>
    </w:p>
    <w:p>
      <w:pPr>
        <w:ind w:right="20"/>
        <w:spacing w:after="0"/>
        <w:rPr>
          <w:sz w:val="20"/>
          <w:szCs w:val="20"/>
          <w:color w:val="auto"/>
        </w:rPr>
      </w:pPr>
      <w:r>
        <w:rPr>
          <w:rFonts w:ascii="Arial" w:cs="Arial" w:eastAsia="Arial" w:hAnsi="Arial"/>
          <w:sz w:val="13"/>
          <w:szCs w:val="13"/>
          <w:color w:val="auto"/>
        </w:rPr>
        <w:t>Mr. Cordano ceased serving as our President and Chief Operating Officer in April 2020 and was subsequently terminated in August 2020. In connection with his departure from our company, Mr. Cordano received Tier I severance benefits as required under our Executive Severance Plan and as set forth in the Separation Agreement and General Release we entered into with Mr. Cordano, as follows: (i) cash severance of $1,715,385, consisting of 24 months of base salary in the amount of $1,600,000 and a pro rata fiscal 2021 STI award payment in the amount of $115,385; (ii) accelerated vesting of his then-outstanding RSUs granted on August 30 ,2018 as if he had remained employed through February 14, 2021, the six-month anniversary of his separation date; (iii) accelerated vesting on a pro rata basis of his then-outstanding RSUs granted on September 4, 2019; (iv) his PSUs granted in August 2018 and September 2019 will vest pro rata subject to actual performances under the awards; (v) a lump sum payment of $36,375, the cash equivalent of a continuation of COBRA benefits for 18 months; and (vi) up to 12 months of outplacement services at our expense. The value of the accelerated vesting of his RSUs was approximately $714,514 and the value of his PSUs that remained outstanding and eligible to vest was approximately $1,658,419. The amount for the accelerated vesting of the RSUs and PSUs was calculated by multiplying the number of shares underlying such awards by the closing price of our common stock on the Nasdaq Stock Market on August 14, 2020 ($35.74), the date of his termination. Mr. Cordano did not receive any additional compensation outside of what he was entitled to under our Executive Severance Plan or the applicable award agreements.</w:t>
      </w:r>
    </w:p>
    <w:p>
      <w:pPr>
        <w:spacing w:after="0" w:line="188"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23628F"/>
        </w:rPr>
        <w:t>2020 PROXY STATEMENT</w:t>
      </w:r>
      <w:r>
        <w:rPr>
          <w:sz w:val="20"/>
          <w:szCs w:val="20"/>
          <w:color w:val="auto"/>
        </w:rPr>
        <w:tab/>
      </w:r>
      <w:r>
        <w:rPr>
          <w:rFonts w:ascii="Arial" w:cs="Arial" w:eastAsia="Arial" w:hAnsi="Arial"/>
          <w:sz w:val="16"/>
          <w:szCs w:val="16"/>
          <w:b w:val="1"/>
          <w:bCs w:val="1"/>
          <w:color w:val="23628F"/>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153275" cy="209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23628F"/>
        </w:rPr>
        <w:t>COMPENSATION DISCUSSION AND ANALYSIS</w:t>
      </w:r>
    </w:p>
    <w:p>
      <w:pPr>
        <w:spacing w:after="0" w:line="184" w:lineRule="exact"/>
        <w:rPr>
          <w:sz w:val="20"/>
          <w:szCs w:val="20"/>
          <w:color w:val="auto"/>
        </w:rPr>
      </w:pPr>
    </w:p>
    <w:p>
      <w:pPr>
        <w:spacing w:after="0"/>
        <w:rPr>
          <w:sz w:val="20"/>
          <w:szCs w:val="20"/>
          <w:color w:val="auto"/>
        </w:rPr>
      </w:pPr>
      <w:r>
        <w:rPr>
          <w:rFonts w:ascii="Arial" w:cs="Arial" w:eastAsia="Arial" w:hAnsi="Arial"/>
          <w:sz w:val="31"/>
          <w:szCs w:val="31"/>
          <w:b w:val="1"/>
          <w:bCs w:val="1"/>
          <w:color w:val="567EA5"/>
        </w:rPr>
        <w:t>CEO PAY RATIO</w:t>
      </w:r>
    </w:p>
    <w:p>
      <w:pPr>
        <w:spacing w:after="0" w:line="255" w:lineRule="exact"/>
        <w:rPr>
          <w:sz w:val="20"/>
          <w:szCs w:val="20"/>
          <w:color w:val="auto"/>
        </w:rPr>
      </w:pPr>
    </w:p>
    <w:p>
      <w:pPr>
        <w:ind w:right="320"/>
        <w:spacing w:after="0" w:line="258" w:lineRule="auto"/>
        <w:rPr>
          <w:sz w:val="20"/>
          <w:szCs w:val="20"/>
          <w:color w:val="auto"/>
        </w:rPr>
      </w:pPr>
      <w:r>
        <w:rPr>
          <w:rFonts w:ascii="Arial" w:cs="Arial" w:eastAsia="Arial" w:hAnsi="Arial"/>
          <w:sz w:val="13"/>
          <w:szCs w:val="13"/>
          <w:color w:val="auto"/>
        </w:rPr>
        <w:t>SEC rules require us to disclose the ratio of our Chief Executive Officer's annual total compensation to the annual total compensation of the “median compensated” employee of all our employees (the “Median Compensated Employee”) other than our Chief Executive Officer.</w:t>
      </w:r>
    </w:p>
    <w:p>
      <w:pPr>
        <w:spacing w:after="0" w:line="192" w:lineRule="exact"/>
        <w:rPr>
          <w:sz w:val="20"/>
          <w:szCs w:val="20"/>
          <w:color w:val="auto"/>
        </w:rPr>
      </w:pPr>
    </w:p>
    <w:p>
      <w:pPr>
        <w:ind w:right="120"/>
        <w:spacing w:after="0" w:line="243" w:lineRule="auto"/>
        <w:rPr>
          <w:sz w:val="20"/>
          <w:szCs w:val="20"/>
          <w:color w:val="auto"/>
        </w:rPr>
      </w:pPr>
      <w:r>
        <w:rPr>
          <w:rFonts w:ascii="Arial" w:cs="Arial" w:eastAsia="Arial" w:hAnsi="Arial"/>
          <w:sz w:val="13"/>
          <w:szCs w:val="13"/>
          <w:color w:val="auto"/>
        </w:rPr>
        <w:t>This pay ratio is a reasonable estimate calculated in a manner consistent with SEC rules based on our payroll records and the methodology described below. Because SEC rules for identifying the Median Compensated Employee and calculating the CEO pay ratio based on his or her annual total compensation allows companies to adopt a variety of methodologies, to apply certain exclusions and to make reasonable estimates and assumptions, the CEO pay ratio reported by other companies may not be comparable to the pay ratio reported below, as other companies may have very different global workforce strategies, employment and compensation practices, and may utilize different methodologies, exclusions, estimates and assumptions in calculating and reporting their CEO pay ratio.</w:t>
      </w:r>
    </w:p>
    <w:p>
      <w:pPr>
        <w:spacing w:after="0" w:line="202" w:lineRule="exact"/>
        <w:rPr>
          <w:sz w:val="20"/>
          <w:szCs w:val="20"/>
          <w:color w:val="auto"/>
        </w:rPr>
      </w:pPr>
    </w:p>
    <w:p>
      <w:pPr>
        <w:spacing w:after="0" w:line="245" w:lineRule="auto"/>
        <w:rPr>
          <w:sz w:val="20"/>
          <w:szCs w:val="20"/>
          <w:color w:val="auto"/>
        </w:rPr>
      </w:pPr>
      <w:r>
        <w:rPr>
          <w:rFonts w:ascii="Arial" w:cs="Arial" w:eastAsia="Arial" w:hAnsi="Arial"/>
          <w:sz w:val="13"/>
          <w:szCs w:val="13"/>
          <w:color w:val="auto"/>
        </w:rPr>
        <w:t>In identifying our Median Compensated Employee for our fiscal 2020 CEO pay ratio, we used “Target Total Cash,” which includes base salary or base wages and target cash incentives. For hourly employees, we calculated base wages based on a reasonable estimate of hours worked during fiscal 2020 and the relevant employee’s hourly wage rate as in effect on April 1, 2020. For salaried employees, we calculated base salary using the relevant employee’s annual salary level as in effect on April 1, 2020. We annualized Target Total Cash for all permanent employees who did not work the full 2020 fiscal year.</w:t>
      </w:r>
    </w:p>
    <w:p>
      <w:pPr>
        <w:spacing w:after="0" w:line="200" w:lineRule="exact"/>
        <w:rPr>
          <w:sz w:val="20"/>
          <w:szCs w:val="20"/>
          <w:color w:val="auto"/>
        </w:rPr>
      </w:pPr>
    </w:p>
    <w:p>
      <w:pPr>
        <w:ind w:right="140"/>
        <w:spacing w:after="0" w:line="243" w:lineRule="auto"/>
        <w:rPr>
          <w:sz w:val="20"/>
          <w:szCs w:val="20"/>
          <w:color w:val="auto"/>
        </w:rPr>
      </w:pPr>
      <w:r>
        <w:rPr>
          <w:rFonts w:ascii="Arial" w:cs="Arial" w:eastAsia="Arial" w:hAnsi="Arial"/>
          <w:sz w:val="13"/>
          <w:szCs w:val="13"/>
          <w:color w:val="auto"/>
        </w:rPr>
        <w:t>To identify our Median Compensated Employee for fiscal 2020, we used our global employee population and exchange rates effective on April 1, 2020. As of this date, our employee population was 65,300 employees, with approximately 86% of those employees located in APAC countries (including approximately 42% in Thailand and 14% in each of Malaysia and the Philippines), approximately 2% of those employees located in Europe, the Middle East and Africa, and approximately 12% of those employees located in the United States. This total includes all regular, part-time, supplemental and temporary employees; most of our employees in Asian Pacific countries are employed in our factories. No exclusions were made for countries, employee types or acquisitions.</w:t>
      </w:r>
    </w:p>
    <w:p>
      <w:pPr>
        <w:spacing w:after="0" w:line="202" w:lineRule="exact"/>
        <w:rPr>
          <w:sz w:val="20"/>
          <w:szCs w:val="20"/>
          <w:color w:val="auto"/>
        </w:rPr>
      </w:pPr>
    </w:p>
    <w:p>
      <w:pPr>
        <w:ind w:right="120"/>
        <w:spacing w:after="0" w:line="241" w:lineRule="auto"/>
        <w:rPr>
          <w:sz w:val="20"/>
          <w:szCs w:val="20"/>
          <w:color w:val="auto"/>
        </w:rPr>
      </w:pPr>
      <w:r>
        <w:rPr>
          <w:rFonts w:ascii="Arial" w:cs="Arial" w:eastAsia="Arial" w:hAnsi="Arial"/>
          <w:sz w:val="13"/>
          <w:szCs w:val="13"/>
          <w:color w:val="auto"/>
        </w:rPr>
        <w:t>The Median Compensated Employee for fiscal 2020 was an Operator 2, Manufacturing in Malaysia. We calculated the Median Compensated Employee’s annual total compensation in the same manner as our Chief Executive Officer as reported above in the “Fiscal 2018—2020 Summary Compensation Table.” The fiscal 2020 annual total compensation for the Median Compensated Employee was calculated at $7,719. Our Chief Executive Officer’s annual total compensation was $38,082,355 (as reported in the “Fiscal 2018—2020 Summary Compensation Table,” but with Mr. Goeckeler’s base salary, fiscal 2020 STI payout and company 401(k) match annualized to reflect the amounts he would have received if he had served for the entire fiscal year). Our Chief Executive Officer’s fiscal 2020 annual total compensation includes one-time transition awards that he received upon his appointment in March 2020, including $31,140,040 in transition equity awards and a $3,500,000 transition cash award. These arrangements are discussed in the Compensation Discussion &amp; Analysis beginning on page 53.</w:t>
      </w:r>
    </w:p>
    <w:p>
      <w:pPr>
        <w:spacing w:after="0" w:line="355" w:lineRule="exact"/>
        <w:rPr>
          <w:sz w:val="20"/>
          <w:szCs w:val="20"/>
          <w:color w:val="auto"/>
        </w:rPr>
      </w:pPr>
    </w:p>
    <w:p>
      <w:pPr>
        <w:ind w:right="220"/>
        <w:spacing w:after="0" w:line="258" w:lineRule="auto"/>
        <w:rPr>
          <w:sz w:val="20"/>
          <w:szCs w:val="20"/>
          <w:color w:val="auto"/>
        </w:rPr>
      </w:pPr>
      <w:r>
        <w:rPr>
          <w:rFonts w:ascii="Arial" w:cs="Arial" w:eastAsia="Arial" w:hAnsi="Arial"/>
          <w:sz w:val="13"/>
          <w:szCs w:val="13"/>
          <w:color w:val="auto"/>
        </w:rPr>
        <w:t>Therefore, the ratio of annual total compensation of our Chief Executive Officer to our median employee for fiscal 2020 was 4,934 to 1. Our fiscal 2020 CEO pay ratio is higher than what was disclosed in fiscal 2019 and is higher than the ratio we expect in fiscal 2021 due to the inclusion of the one-time transition awards for our new Chief Executive Officer in fiscal 2020.</w:t>
      </w:r>
    </w:p>
    <w:p>
      <w:pPr>
        <w:spacing w:after="0" w:line="187" w:lineRule="exact"/>
        <w:rPr>
          <w:sz w:val="20"/>
          <w:szCs w:val="20"/>
          <w:color w:val="auto"/>
        </w:rPr>
      </w:pPr>
    </w:p>
    <w:p>
      <w:pPr>
        <w:ind w:left="440" w:hanging="432"/>
        <w:spacing w:after="0"/>
        <w:tabs>
          <w:tab w:leader="none" w:pos="440" w:val="left"/>
        </w:tabs>
        <w:numPr>
          <w:ilvl w:val="0"/>
          <w:numId w:val="219"/>
        </w:numPr>
        <w:rPr>
          <w:rFonts w:ascii="Arial" w:cs="Arial" w:eastAsia="Arial" w:hAnsi="Arial"/>
          <w:sz w:val="18"/>
          <w:szCs w:val="18"/>
          <w:b w:val="1"/>
          <w:bCs w:val="1"/>
          <w:color w:val="23628F"/>
        </w:rPr>
      </w:pPr>
      <w:r>
        <w:rPr>
          <w:rFonts w:ascii="Arial" w:cs="Arial" w:eastAsia="Arial" w:hAnsi="Arial"/>
          <w:sz w:val="13"/>
          <w:szCs w:val="13"/>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153275" cy="215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Arial" w:cs="Arial" w:eastAsia="Arial" w:hAnsi="Arial"/>
          <w:sz w:val="50"/>
          <w:szCs w:val="50"/>
          <w:b w:val="1"/>
          <w:bCs w:val="1"/>
          <w:color w:val="23628F"/>
        </w:rPr>
        <w:t>Equity Compensation Plan Information</w:t>
      </w:r>
    </w:p>
    <w:p>
      <w:pPr>
        <w:spacing w:after="0" w:line="282" w:lineRule="exact"/>
        <w:rPr>
          <w:sz w:val="20"/>
          <w:szCs w:val="20"/>
          <w:color w:val="auto"/>
        </w:rPr>
      </w:pPr>
    </w:p>
    <w:p>
      <w:pPr>
        <w:ind w:right="40"/>
        <w:spacing w:after="0" w:line="245" w:lineRule="auto"/>
        <w:rPr>
          <w:sz w:val="20"/>
          <w:szCs w:val="20"/>
          <w:color w:val="auto"/>
        </w:rPr>
      </w:pPr>
      <w:r>
        <w:rPr>
          <w:rFonts w:ascii="Arial" w:cs="Arial" w:eastAsia="Arial" w:hAnsi="Arial"/>
          <w:sz w:val="13"/>
          <w:szCs w:val="13"/>
          <w:color w:val="auto"/>
        </w:rPr>
        <w:t>The following table gives information with respect to our equity compensation plans as of July 3, 2020. These plans include our Non-Employee Directors Stock-for-Fees Plan, 2017 Performance Incentive Plan and 2005 Employee Stock Purchase Plan, each of which has been approved by our stockholders. The Non-Employee Directors Stock-for-Fees Plan expired in December 2012, and no new awards are permitted under that plan. The following table also gives information with respect to the SanDisk Corporation 2013 Incentive Plan (which we also refer to as the SanDisk Plan), which we assumed in May 2016 in connection with the acquisition of SanDisk. No new awards may be granted under the SanDisk Plan after November 2017.</w:t>
      </w:r>
    </w:p>
    <w:p>
      <w:pPr>
        <w:spacing w:after="0" w:line="200" w:lineRule="exact"/>
        <w:rPr>
          <w:sz w:val="20"/>
          <w:szCs w:val="20"/>
          <w:color w:val="auto"/>
        </w:rPr>
      </w:pPr>
    </w:p>
    <w:p>
      <w:pPr>
        <w:ind w:right="60"/>
        <w:spacing w:after="0" w:line="245" w:lineRule="auto"/>
        <w:rPr>
          <w:sz w:val="20"/>
          <w:szCs w:val="20"/>
          <w:color w:val="auto"/>
        </w:rPr>
      </w:pPr>
      <w:r>
        <w:rPr>
          <w:rFonts w:ascii="Arial" w:cs="Arial" w:eastAsia="Arial" w:hAnsi="Arial"/>
          <w:sz w:val="13"/>
          <w:szCs w:val="13"/>
          <w:color w:val="auto"/>
        </w:rPr>
        <w:t>Other than with respect to the SanDisk Plan, the following table does not present information regarding equity awards that were assumed by us in connection with our acquisitions of the companies that originally granted those options or awards. However, footnote 6 to the table sets forth the total number of shares of our common stock issuable upon the exercise or vesting of those assumed options or awards as of July 3, 2020, and the weighted average exercise price of such assumed options. We may not grant additional options or other equity awards under assumed plans.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300" w:type="dxa"/>
            <w:vAlign w:val="bottom"/>
            <w:tcBorders>
              <w:right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jc w:val="right"/>
              <w:ind w:right="533"/>
              <w:spacing w:after="0"/>
              <w:rPr>
                <w:sz w:val="20"/>
                <w:szCs w:val="20"/>
                <w:color w:val="auto"/>
              </w:rPr>
            </w:pPr>
            <w:r>
              <w:rPr>
                <w:rFonts w:ascii="Arial" w:cs="Arial" w:eastAsia="Arial" w:hAnsi="Arial"/>
                <w:sz w:val="13"/>
                <w:szCs w:val="13"/>
                <w:b w:val="1"/>
                <w:bCs w:val="1"/>
                <w:color w:val="auto"/>
              </w:rPr>
              <w:t>(a)</w:t>
            </w:r>
          </w:p>
        </w:tc>
        <w:tc>
          <w:tcPr>
            <w:tcW w:w="1120" w:type="dxa"/>
            <w:vAlign w:val="bottom"/>
            <w:tcBorders>
              <w:bottom w:val="single" w:sz="8" w:color="auto"/>
              <w:right w:val="single" w:sz="8" w:color="auto"/>
            </w:tcBorders>
          </w:tcPr>
          <w:p>
            <w:pPr>
              <w:jc w:val="right"/>
              <w:ind w:right="433"/>
              <w:spacing w:after="0"/>
              <w:rPr>
                <w:sz w:val="20"/>
                <w:szCs w:val="20"/>
                <w:color w:val="auto"/>
              </w:rPr>
            </w:pPr>
            <w:r>
              <w:rPr>
                <w:rFonts w:ascii="Arial" w:cs="Arial" w:eastAsia="Arial" w:hAnsi="Arial"/>
                <w:sz w:val="13"/>
                <w:szCs w:val="13"/>
                <w:b w:val="1"/>
                <w:bCs w:val="1"/>
                <w:color w:val="auto"/>
              </w:rPr>
              <w:t>(b)</w:t>
            </w:r>
          </w:p>
        </w:tc>
        <w:tc>
          <w:tcPr>
            <w:tcW w:w="1500" w:type="dxa"/>
            <w:vAlign w:val="bottom"/>
            <w:tcBorders>
              <w:bottom w:val="single" w:sz="8" w:color="auto"/>
            </w:tcBorders>
          </w:tcPr>
          <w:p>
            <w:pPr>
              <w:jc w:val="right"/>
              <w:ind w:right="613"/>
              <w:spacing w:after="0"/>
              <w:rPr>
                <w:sz w:val="20"/>
                <w:szCs w:val="20"/>
                <w:color w:val="auto"/>
              </w:rPr>
            </w:pPr>
            <w:r>
              <w:rPr>
                <w:rFonts w:ascii="Arial" w:cs="Arial" w:eastAsia="Arial" w:hAnsi="Arial"/>
                <w:sz w:val="13"/>
                <w:szCs w:val="13"/>
                <w:b w:val="1"/>
                <w:bCs w:val="1"/>
                <w:color w:val="auto"/>
              </w:rPr>
              <w:t>(c)</w:t>
            </w:r>
          </w:p>
        </w:tc>
      </w:tr>
      <w:tr>
        <w:trPr>
          <w:trHeight w:val="154"/>
        </w:trPr>
        <w:tc>
          <w:tcPr>
            <w:tcW w:w="7300" w:type="dxa"/>
            <w:vAlign w:val="bottom"/>
            <w:tcBorders>
              <w:right w:val="single" w:sz="8" w:color="auto"/>
            </w:tcBorders>
          </w:tcPr>
          <w:p>
            <w:pPr>
              <w:spacing w:after="0"/>
              <w:rPr>
                <w:sz w:val="13"/>
                <w:szCs w:val="13"/>
                <w:color w:val="auto"/>
              </w:rPr>
            </w:pPr>
          </w:p>
        </w:tc>
        <w:tc>
          <w:tcPr>
            <w:tcW w:w="132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Weighted-</w:t>
            </w:r>
          </w:p>
        </w:tc>
        <w:tc>
          <w:tcPr>
            <w:tcW w:w="1500" w:type="dxa"/>
            <w:vAlign w:val="bottom"/>
          </w:tcPr>
          <w:p>
            <w:pPr>
              <w:jc w:val="right"/>
              <w:ind w:right="13"/>
              <w:spacing w:after="0"/>
              <w:rPr>
                <w:sz w:val="20"/>
                <w:szCs w:val="20"/>
                <w:color w:val="auto"/>
              </w:rPr>
            </w:pPr>
            <w:r>
              <w:rPr>
                <w:rFonts w:ascii="Arial" w:cs="Arial" w:eastAsia="Arial" w:hAnsi="Arial"/>
                <w:sz w:val="13"/>
                <w:szCs w:val="13"/>
                <w:b w:val="1"/>
                <w:bCs w:val="1"/>
                <w:color w:val="auto"/>
              </w:rPr>
              <w:t>Number of Securities</w:t>
            </w:r>
          </w:p>
        </w:tc>
      </w:tr>
      <w:tr>
        <w:trPr>
          <w:trHeight w:val="148"/>
        </w:trPr>
        <w:tc>
          <w:tcPr>
            <w:tcW w:w="730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Number of</w:t>
            </w:r>
          </w:p>
        </w:tc>
        <w:tc>
          <w:tcPr>
            <w:tcW w:w="112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Average</w:t>
            </w:r>
          </w:p>
        </w:tc>
        <w:tc>
          <w:tcPr>
            <w:tcW w:w="1500" w:type="dxa"/>
            <w:vAlign w:val="bottom"/>
          </w:tcPr>
          <w:p>
            <w:pPr>
              <w:jc w:val="right"/>
              <w:ind w:right="13"/>
              <w:spacing w:after="0"/>
              <w:rPr>
                <w:sz w:val="20"/>
                <w:szCs w:val="20"/>
                <w:color w:val="auto"/>
              </w:rPr>
            </w:pPr>
            <w:r>
              <w:rPr>
                <w:rFonts w:ascii="Arial" w:cs="Arial" w:eastAsia="Arial" w:hAnsi="Arial"/>
                <w:sz w:val="13"/>
                <w:szCs w:val="13"/>
                <w:b w:val="1"/>
                <w:bCs w:val="1"/>
                <w:color w:val="auto"/>
              </w:rPr>
              <w:t>Remaining Available</w:t>
            </w:r>
          </w:p>
        </w:tc>
      </w:tr>
      <w:tr>
        <w:trPr>
          <w:trHeight w:val="148"/>
        </w:trPr>
        <w:tc>
          <w:tcPr>
            <w:tcW w:w="730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Securities to</w:t>
            </w:r>
          </w:p>
        </w:tc>
        <w:tc>
          <w:tcPr>
            <w:tcW w:w="112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Exercise Price</w:t>
            </w:r>
          </w:p>
        </w:tc>
        <w:tc>
          <w:tcPr>
            <w:tcW w:w="1500" w:type="dxa"/>
            <w:vAlign w:val="bottom"/>
          </w:tcPr>
          <w:p>
            <w:pPr>
              <w:jc w:val="right"/>
              <w:ind w:right="13"/>
              <w:spacing w:after="0"/>
              <w:rPr>
                <w:sz w:val="20"/>
                <w:szCs w:val="20"/>
                <w:color w:val="auto"/>
              </w:rPr>
            </w:pPr>
            <w:r>
              <w:rPr>
                <w:rFonts w:ascii="Arial" w:cs="Arial" w:eastAsia="Arial" w:hAnsi="Arial"/>
                <w:sz w:val="13"/>
                <w:szCs w:val="13"/>
                <w:b w:val="1"/>
                <w:bCs w:val="1"/>
                <w:color w:val="auto"/>
              </w:rPr>
              <w:t>for Future Issuance</w:t>
            </w:r>
          </w:p>
        </w:tc>
      </w:tr>
      <w:tr>
        <w:trPr>
          <w:trHeight w:val="148"/>
        </w:trPr>
        <w:tc>
          <w:tcPr>
            <w:tcW w:w="730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be Issued Upon</w:t>
            </w:r>
          </w:p>
        </w:tc>
        <w:tc>
          <w:tcPr>
            <w:tcW w:w="112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of Outstanding</w:t>
            </w:r>
          </w:p>
        </w:tc>
        <w:tc>
          <w:tcPr>
            <w:tcW w:w="1500" w:type="dxa"/>
            <w:vAlign w:val="bottom"/>
          </w:tcPr>
          <w:p>
            <w:pPr>
              <w:jc w:val="right"/>
              <w:ind w:right="13"/>
              <w:spacing w:after="0"/>
              <w:rPr>
                <w:sz w:val="20"/>
                <w:szCs w:val="20"/>
                <w:color w:val="auto"/>
              </w:rPr>
            </w:pPr>
            <w:r>
              <w:rPr>
                <w:rFonts w:ascii="Arial" w:cs="Arial" w:eastAsia="Arial" w:hAnsi="Arial"/>
                <w:sz w:val="13"/>
                <w:szCs w:val="13"/>
                <w:b w:val="1"/>
                <w:bCs w:val="1"/>
                <w:color w:val="auto"/>
              </w:rPr>
              <w:t>Under Equity</w:t>
            </w:r>
          </w:p>
        </w:tc>
      </w:tr>
      <w:tr>
        <w:trPr>
          <w:trHeight w:val="148"/>
        </w:trPr>
        <w:tc>
          <w:tcPr>
            <w:tcW w:w="730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Exercise of</w:t>
            </w:r>
          </w:p>
        </w:tc>
        <w:tc>
          <w:tcPr>
            <w:tcW w:w="112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Options,</w:t>
            </w:r>
          </w:p>
        </w:tc>
        <w:tc>
          <w:tcPr>
            <w:tcW w:w="1500" w:type="dxa"/>
            <w:vAlign w:val="bottom"/>
          </w:tcPr>
          <w:p>
            <w:pPr>
              <w:jc w:val="right"/>
              <w:ind w:right="13"/>
              <w:spacing w:after="0"/>
              <w:rPr>
                <w:sz w:val="20"/>
                <w:szCs w:val="20"/>
                <w:color w:val="auto"/>
              </w:rPr>
            </w:pPr>
            <w:r>
              <w:rPr>
                <w:rFonts w:ascii="Arial" w:cs="Arial" w:eastAsia="Arial" w:hAnsi="Arial"/>
                <w:sz w:val="13"/>
                <w:szCs w:val="13"/>
                <w:b w:val="1"/>
                <w:bCs w:val="1"/>
                <w:color w:val="auto"/>
              </w:rPr>
              <w:t>Compensation</w:t>
            </w:r>
          </w:p>
        </w:tc>
      </w:tr>
      <w:tr>
        <w:trPr>
          <w:trHeight w:val="149"/>
        </w:trPr>
        <w:tc>
          <w:tcPr>
            <w:tcW w:w="730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Outstanding</w:t>
            </w:r>
          </w:p>
        </w:tc>
        <w:tc>
          <w:tcPr>
            <w:tcW w:w="112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Warrants and</w:t>
            </w:r>
          </w:p>
        </w:tc>
        <w:tc>
          <w:tcPr>
            <w:tcW w:w="1500" w:type="dxa"/>
            <w:vAlign w:val="bottom"/>
          </w:tcPr>
          <w:p>
            <w:pPr>
              <w:jc w:val="right"/>
              <w:ind w:right="13"/>
              <w:spacing w:after="0"/>
              <w:rPr>
                <w:sz w:val="20"/>
                <w:szCs w:val="20"/>
                <w:color w:val="auto"/>
              </w:rPr>
            </w:pPr>
            <w:r>
              <w:rPr>
                <w:rFonts w:ascii="Arial" w:cs="Arial" w:eastAsia="Arial" w:hAnsi="Arial"/>
                <w:sz w:val="13"/>
                <w:szCs w:val="13"/>
                <w:b w:val="1"/>
                <w:bCs w:val="1"/>
                <w:color w:val="auto"/>
              </w:rPr>
              <w:t>Plans (Excluding</w:t>
            </w:r>
          </w:p>
        </w:tc>
      </w:tr>
      <w:tr>
        <w:trPr>
          <w:trHeight w:val="148"/>
        </w:trPr>
        <w:tc>
          <w:tcPr>
            <w:tcW w:w="7300" w:type="dxa"/>
            <w:vAlign w:val="bottom"/>
            <w:tcBorders>
              <w:right w:val="single" w:sz="8" w:color="auto"/>
            </w:tcBorders>
          </w:tcPr>
          <w:p>
            <w:pPr>
              <w:spacing w:after="0"/>
              <w:rPr>
                <w:sz w:val="12"/>
                <w:szCs w:val="12"/>
                <w:color w:val="auto"/>
              </w:rPr>
            </w:pPr>
          </w:p>
        </w:tc>
        <w:tc>
          <w:tcPr>
            <w:tcW w:w="132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Options, Warrants</w:t>
            </w:r>
          </w:p>
        </w:tc>
        <w:tc>
          <w:tcPr>
            <w:tcW w:w="112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Rights</w:t>
            </w:r>
          </w:p>
        </w:tc>
        <w:tc>
          <w:tcPr>
            <w:tcW w:w="1500" w:type="dxa"/>
            <w:vAlign w:val="bottom"/>
          </w:tcPr>
          <w:p>
            <w:pPr>
              <w:jc w:val="right"/>
              <w:ind w:right="13"/>
              <w:spacing w:after="0"/>
              <w:rPr>
                <w:sz w:val="20"/>
                <w:szCs w:val="20"/>
                <w:color w:val="auto"/>
              </w:rPr>
            </w:pPr>
            <w:r>
              <w:rPr>
                <w:rFonts w:ascii="Arial" w:cs="Arial" w:eastAsia="Arial" w:hAnsi="Arial"/>
                <w:sz w:val="13"/>
                <w:szCs w:val="13"/>
                <w:b w:val="1"/>
                <w:bCs w:val="1"/>
                <w:color w:val="auto"/>
              </w:rPr>
              <w:t>Securities Reflected</w:t>
            </w:r>
          </w:p>
        </w:tc>
      </w:tr>
      <w:tr>
        <w:trPr>
          <w:trHeight w:val="186"/>
        </w:trPr>
        <w:tc>
          <w:tcPr>
            <w:tcW w:w="73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rPr>
              <w:t>Plan Category</w:t>
            </w:r>
          </w:p>
        </w:tc>
        <w:tc>
          <w:tcPr>
            <w:tcW w:w="132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and Rights</w:t>
            </w:r>
          </w:p>
        </w:tc>
        <w:tc>
          <w:tcPr>
            <w:tcW w:w="112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w:t>
            </w:r>
          </w:p>
        </w:tc>
        <w:tc>
          <w:tcPr>
            <w:tcW w:w="15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in Column(a))</w:t>
            </w:r>
          </w:p>
        </w:tc>
      </w:tr>
      <w:tr>
        <w:trPr>
          <w:trHeight w:val="270"/>
        </w:trPr>
        <w:tc>
          <w:tcPr>
            <w:tcW w:w="7300" w:type="dxa"/>
            <w:vAlign w:val="bottom"/>
            <w:tcBorders>
              <w:bottom w:val="single" w:sz="8" w:color="959595"/>
            </w:tcBorders>
          </w:tcPr>
          <w:p>
            <w:pPr>
              <w:ind w:left="80"/>
              <w:spacing w:after="0"/>
              <w:rPr>
                <w:sz w:val="20"/>
                <w:szCs w:val="20"/>
                <w:color w:val="auto"/>
              </w:rPr>
            </w:pPr>
            <w:r>
              <w:rPr>
                <w:rFonts w:ascii="Arial" w:cs="Arial" w:eastAsia="Arial" w:hAnsi="Arial"/>
                <w:sz w:val="13"/>
                <w:szCs w:val="13"/>
                <w:color w:val="auto"/>
              </w:rPr>
              <w:t>Equity compensation plans approved by security holders</w:t>
            </w:r>
          </w:p>
        </w:tc>
        <w:tc>
          <w:tcPr>
            <w:tcW w:w="132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16,038,205</w:t>
            </w:r>
            <w:r>
              <w:rPr>
                <w:rFonts w:ascii="Arial" w:cs="Arial" w:eastAsia="Arial" w:hAnsi="Arial"/>
                <w:sz w:val="22"/>
                <w:szCs w:val="22"/>
                <w:color w:val="auto"/>
                <w:vertAlign w:val="superscript"/>
              </w:rPr>
              <w:t>(1)</w:t>
            </w:r>
          </w:p>
        </w:tc>
        <w:tc>
          <w:tcPr>
            <w:tcW w:w="1120" w:type="dxa"/>
            <w:vAlign w:val="bottom"/>
            <w:tcBorders>
              <w:bottom w:val="single" w:sz="8" w:color="959595"/>
            </w:tcBorders>
          </w:tcPr>
          <w:p>
            <w:pPr>
              <w:ind w:left="480"/>
              <w:spacing w:after="0"/>
              <w:rPr>
                <w:sz w:val="20"/>
                <w:szCs w:val="20"/>
                <w:color w:val="auto"/>
              </w:rPr>
            </w:pPr>
            <w:r>
              <w:rPr>
                <w:rFonts w:ascii="Arial" w:cs="Arial" w:eastAsia="Arial" w:hAnsi="Arial"/>
                <w:sz w:val="13"/>
                <w:szCs w:val="13"/>
                <w:color w:val="auto"/>
              </w:rPr>
              <w:t>71.69</w:t>
            </w:r>
            <w:r>
              <w:rPr>
                <w:rFonts w:ascii="Arial" w:cs="Arial" w:eastAsia="Arial" w:hAnsi="Arial"/>
                <w:sz w:val="22"/>
                <w:szCs w:val="22"/>
                <w:color w:val="auto"/>
                <w:vertAlign w:val="superscript"/>
              </w:rPr>
              <w:t>(2)</w:t>
            </w:r>
          </w:p>
        </w:tc>
        <w:tc>
          <w:tcPr>
            <w:tcW w:w="1500" w:type="dxa"/>
            <w:vAlign w:val="bottom"/>
            <w:tcBorders>
              <w:bottom w:val="single" w:sz="8" w:color="959595"/>
            </w:tcBorders>
          </w:tcPr>
          <w:p>
            <w:pPr>
              <w:jc w:val="right"/>
              <w:ind w:right="73"/>
              <w:spacing w:after="0"/>
              <w:rPr>
                <w:sz w:val="20"/>
                <w:szCs w:val="20"/>
                <w:color w:val="auto"/>
              </w:rPr>
            </w:pPr>
            <w:r>
              <w:rPr>
                <w:rFonts w:ascii="Arial" w:cs="Arial" w:eastAsia="Arial" w:hAnsi="Arial"/>
                <w:sz w:val="13"/>
                <w:szCs w:val="13"/>
                <w:color w:val="auto"/>
              </w:rPr>
              <w:t>23,339,164</w:t>
            </w:r>
            <w:r>
              <w:rPr>
                <w:rFonts w:ascii="Arial" w:cs="Arial" w:eastAsia="Arial" w:hAnsi="Arial"/>
                <w:sz w:val="22"/>
                <w:szCs w:val="22"/>
                <w:color w:val="auto"/>
                <w:vertAlign w:val="superscript"/>
              </w:rPr>
              <w:t>(3)</w:t>
            </w:r>
          </w:p>
        </w:tc>
      </w:tr>
      <w:tr>
        <w:trPr>
          <w:trHeight w:val="291"/>
        </w:trPr>
        <w:tc>
          <w:tcPr>
            <w:tcW w:w="7300" w:type="dxa"/>
            <w:vAlign w:val="bottom"/>
            <w:tcBorders>
              <w:bottom w:val="single" w:sz="8" w:color="959595"/>
            </w:tcBorders>
          </w:tcPr>
          <w:p>
            <w:pPr>
              <w:ind w:left="80"/>
              <w:spacing w:after="0"/>
              <w:rPr>
                <w:sz w:val="20"/>
                <w:szCs w:val="20"/>
                <w:color w:val="auto"/>
              </w:rPr>
            </w:pPr>
            <w:r>
              <w:rPr>
                <w:rFonts w:ascii="Arial" w:cs="Arial" w:eastAsia="Arial" w:hAnsi="Arial"/>
                <w:sz w:val="13"/>
                <w:szCs w:val="13"/>
                <w:color w:val="auto"/>
              </w:rPr>
              <w:t>Equity compensation plans not approved by security holders</w:t>
            </w:r>
            <w:r>
              <w:rPr>
                <w:rFonts w:ascii="Arial" w:cs="Arial" w:eastAsia="Arial" w:hAnsi="Arial"/>
                <w:sz w:val="22"/>
                <w:szCs w:val="22"/>
                <w:color w:val="auto"/>
                <w:vertAlign w:val="superscript"/>
              </w:rPr>
              <w:t>(4)</w:t>
            </w:r>
          </w:p>
        </w:tc>
        <w:tc>
          <w:tcPr>
            <w:tcW w:w="1320" w:type="dxa"/>
            <w:vAlign w:val="bottom"/>
            <w:tcBorders>
              <w:bottom w:val="single" w:sz="8" w:color="959595"/>
            </w:tcBorders>
          </w:tcPr>
          <w:p>
            <w:pPr>
              <w:jc w:val="right"/>
              <w:ind w:right="193"/>
              <w:spacing w:after="0"/>
              <w:rPr>
                <w:sz w:val="20"/>
                <w:szCs w:val="20"/>
                <w:color w:val="auto"/>
              </w:rPr>
            </w:pPr>
            <w:r>
              <w:rPr>
                <w:rFonts w:ascii="Arial" w:cs="Arial" w:eastAsia="Arial" w:hAnsi="Arial"/>
                <w:sz w:val="13"/>
                <w:szCs w:val="13"/>
                <w:color w:val="auto"/>
              </w:rPr>
              <w:t>925,805</w:t>
            </w:r>
          </w:p>
        </w:tc>
        <w:tc>
          <w:tcPr>
            <w:tcW w:w="1120" w:type="dxa"/>
            <w:vAlign w:val="bottom"/>
            <w:tcBorders>
              <w:bottom w:val="single" w:sz="8" w:color="959595"/>
            </w:tcBorders>
          </w:tcPr>
          <w:p>
            <w:pPr>
              <w:ind w:left="480"/>
              <w:spacing w:after="0"/>
              <w:rPr>
                <w:sz w:val="20"/>
                <w:szCs w:val="20"/>
                <w:color w:val="auto"/>
              </w:rPr>
            </w:pPr>
            <w:r>
              <w:rPr>
                <w:rFonts w:ascii="Arial" w:cs="Arial" w:eastAsia="Arial" w:hAnsi="Arial"/>
                <w:sz w:val="13"/>
                <w:szCs w:val="13"/>
                <w:color w:val="auto"/>
              </w:rPr>
              <w:t>43.20</w:t>
            </w:r>
            <w:r>
              <w:rPr>
                <w:rFonts w:ascii="Arial" w:cs="Arial" w:eastAsia="Arial" w:hAnsi="Arial"/>
                <w:sz w:val="22"/>
                <w:szCs w:val="22"/>
                <w:color w:val="auto"/>
                <w:vertAlign w:val="superscript"/>
              </w:rPr>
              <w:t>(5)</w:t>
            </w:r>
          </w:p>
        </w:tc>
        <w:tc>
          <w:tcPr>
            <w:tcW w:w="1500" w:type="dxa"/>
            <w:vAlign w:val="bottom"/>
            <w:tcBorders>
              <w:bottom w:val="single" w:sz="8" w:color="959595"/>
            </w:tcBorders>
          </w:tcPr>
          <w:p>
            <w:pPr>
              <w:jc w:val="right"/>
              <w:ind w:right="213"/>
              <w:spacing w:after="0"/>
              <w:rPr>
                <w:sz w:val="20"/>
                <w:szCs w:val="20"/>
                <w:color w:val="auto"/>
              </w:rPr>
            </w:pPr>
            <w:r>
              <w:rPr>
                <w:rFonts w:ascii="Arial" w:cs="Arial" w:eastAsia="Arial" w:hAnsi="Arial"/>
                <w:sz w:val="13"/>
                <w:szCs w:val="13"/>
                <w:color w:val="auto"/>
              </w:rPr>
              <w:t>—</w:t>
            </w:r>
          </w:p>
        </w:tc>
      </w:tr>
      <w:tr>
        <w:trPr>
          <w:trHeight w:val="291"/>
        </w:trPr>
        <w:tc>
          <w:tcPr>
            <w:tcW w:w="7300" w:type="dxa"/>
            <w:vAlign w:val="bottom"/>
            <w:tcBorders>
              <w:bottom w:val="single" w:sz="8" w:color="959595"/>
            </w:tcBorders>
          </w:tcPr>
          <w:p>
            <w:pPr>
              <w:ind w:left="80"/>
              <w:spacing w:after="0"/>
              <w:rPr>
                <w:sz w:val="20"/>
                <w:szCs w:val="20"/>
                <w:color w:val="auto"/>
              </w:rPr>
            </w:pPr>
            <w:r>
              <w:rPr>
                <w:rFonts w:ascii="Arial" w:cs="Arial" w:eastAsia="Arial" w:hAnsi="Arial"/>
                <w:sz w:val="13"/>
                <w:szCs w:val="13"/>
                <w:color w:val="auto"/>
              </w:rPr>
              <w:t>Total</w:t>
            </w:r>
            <w:r>
              <w:rPr>
                <w:rFonts w:ascii="Arial" w:cs="Arial" w:eastAsia="Arial" w:hAnsi="Arial"/>
                <w:sz w:val="22"/>
                <w:szCs w:val="22"/>
                <w:color w:val="auto"/>
                <w:vertAlign w:val="superscript"/>
              </w:rPr>
              <w:t>(6)</w:t>
            </w:r>
          </w:p>
        </w:tc>
        <w:tc>
          <w:tcPr>
            <w:tcW w:w="1320" w:type="dxa"/>
            <w:vAlign w:val="bottom"/>
            <w:tcBorders>
              <w:bottom w:val="single" w:sz="8" w:color="959595"/>
            </w:tcBorders>
          </w:tcPr>
          <w:p>
            <w:pPr>
              <w:jc w:val="right"/>
              <w:ind w:right="193"/>
              <w:spacing w:after="0"/>
              <w:rPr>
                <w:sz w:val="20"/>
                <w:szCs w:val="20"/>
                <w:color w:val="auto"/>
              </w:rPr>
            </w:pPr>
            <w:r>
              <w:rPr>
                <w:rFonts w:ascii="Arial" w:cs="Arial" w:eastAsia="Arial" w:hAnsi="Arial"/>
                <w:sz w:val="13"/>
                <w:szCs w:val="13"/>
                <w:color w:val="auto"/>
              </w:rPr>
              <w:t>16,964,010</w:t>
            </w:r>
          </w:p>
        </w:tc>
        <w:tc>
          <w:tcPr>
            <w:tcW w:w="1120" w:type="dxa"/>
            <w:vAlign w:val="bottom"/>
            <w:tcBorders>
              <w:bottom w:val="single" w:sz="8" w:color="959595"/>
            </w:tcBorders>
          </w:tcPr>
          <w:p>
            <w:pPr>
              <w:ind w:left="480"/>
              <w:spacing w:after="0"/>
              <w:rPr>
                <w:sz w:val="20"/>
                <w:szCs w:val="20"/>
                <w:color w:val="auto"/>
              </w:rPr>
            </w:pPr>
            <w:r>
              <w:rPr>
                <w:rFonts w:ascii="Arial" w:cs="Arial" w:eastAsia="Arial" w:hAnsi="Arial"/>
                <w:sz w:val="13"/>
                <w:szCs w:val="13"/>
                <w:color w:val="auto"/>
              </w:rPr>
              <w:t>69.07</w:t>
            </w:r>
          </w:p>
        </w:tc>
        <w:tc>
          <w:tcPr>
            <w:tcW w:w="1500" w:type="dxa"/>
            <w:vAlign w:val="bottom"/>
            <w:tcBorders>
              <w:bottom w:val="single" w:sz="8" w:color="959595"/>
            </w:tcBorders>
          </w:tcPr>
          <w:p>
            <w:pPr>
              <w:jc w:val="right"/>
              <w:ind w:right="213"/>
              <w:spacing w:after="0"/>
              <w:rPr>
                <w:sz w:val="20"/>
                <w:szCs w:val="20"/>
                <w:color w:val="auto"/>
              </w:rPr>
            </w:pPr>
            <w:r>
              <w:rPr>
                <w:rFonts w:ascii="Arial" w:cs="Arial" w:eastAsia="Arial" w:hAnsi="Arial"/>
                <w:sz w:val="13"/>
                <w:szCs w:val="13"/>
                <w:color w:val="auto"/>
              </w:rPr>
              <w:t>23,339,164</w:t>
            </w:r>
          </w:p>
        </w:tc>
      </w:tr>
    </w:tbl>
    <w:p>
      <w:pPr>
        <w:spacing w:after="0" w:line="107" w:lineRule="exact"/>
        <w:rPr>
          <w:sz w:val="20"/>
          <w:szCs w:val="20"/>
          <w:color w:val="auto"/>
        </w:rPr>
      </w:pPr>
    </w:p>
    <w:p>
      <w:pPr>
        <w:jc w:val="both"/>
        <w:ind w:left="300" w:right="480" w:hanging="292"/>
        <w:spacing w:after="0" w:line="258" w:lineRule="auto"/>
        <w:tabs>
          <w:tab w:leader="none" w:pos="300" w:val="left"/>
        </w:tabs>
        <w:numPr>
          <w:ilvl w:val="0"/>
          <w:numId w:val="220"/>
        </w:numPr>
        <w:rPr>
          <w:rFonts w:ascii="Arial" w:cs="Arial" w:eastAsia="Arial" w:hAnsi="Arial"/>
          <w:sz w:val="11"/>
          <w:szCs w:val="11"/>
          <w:color w:val="auto"/>
        </w:rPr>
      </w:pPr>
      <w:r>
        <w:rPr>
          <w:rFonts w:ascii="Arial" w:cs="Arial" w:eastAsia="Arial" w:hAnsi="Arial"/>
          <w:sz w:val="13"/>
          <w:szCs w:val="13"/>
          <w:color w:val="auto"/>
        </w:rPr>
        <w:t>This amount includes: (i) 2,476,949 shares of our common stock subject to stock options outstanding under our 2017 Performance Incentive Plan; (ii) 11,511,601 shares of our common stock subject to outstanding RSUs awarded under our 2017 Performance Incentive Plan; and (iii) 113,468 shares of our common stock subject to deferred stock units.</w:t>
      </w:r>
    </w:p>
    <w:p>
      <w:pPr>
        <w:spacing w:after="0" w:line="43" w:lineRule="exact"/>
        <w:rPr>
          <w:rFonts w:ascii="Arial" w:cs="Arial" w:eastAsia="Arial" w:hAnsi="Arial"/>
          <w:sz w:val="11"/>
          <w:szCs w:val="11"/>
          <w:color w:val="auto"/>
        </w:rPr>
      </w:pPr>
    </w:p>
    <w:p>
      <w:pPr>
        <w:ind w:left="300" w:right="40"/>
        <w:spacing w:after="0" w:line="238" w:lineRule="auto"/>
        <w:rPr>
          <w:rFonts w:ascii="Arial" w:cs="Arial" w:eastAsia="Arial" w:hAnsi="Arial"/>
          <w:sz w:val="11"/>
          <w:szCs w:val="11"/>
          <w:color w:val="auto"/>
        </w:rPr>
      </w:pPr>
      <w:r>
        <w:rPr>
          <w:rFonts w:ascii="Arial" w:cs="Arial" w:eastAsia="Arial" w:hAnsi="Arial"/>
          <w:sz w:val="13"/>
          <w:szCs w:val="13"/>
          <w:color w:val="auto"/>
        </w:rPr>
        <w:t>This amount also includes the maximum number of shares potentially issuable in connection with PSUs with open performance-based vesting conditions. As of July 3, 2020, a maximum of 1,936,187 PSUs (including a target number of 1,077,493 PSUs) were subject to open performance-based vesting conditions under our 2017 Performance Incentive Plan. See the sections entitled “Compensation Discussion and Analysis” and the “Executive Compensation Tables and Narratives—Fiscal 2020 Grants of Plan-Based Awards Table” and the accompanying narrative for more information regarding outstanding PSUs.</w:t>
      </w:r>
    </w:p>
    <w:p>
      <w:pPr>
        <w:spacing w:after="0" w:line="1" w:lineRule="exact"/>
        <w:rPr>
          <w:rFonts w:ascii="Arial" w:cs="Arial" w:eastAsia="Arial" w:hAnsi="Arial"/>
          <w:sz w:val="11"/>
          <w:szCs w:val="11"/>
          <w:color w:val="auto"/>
        </w:rPr>
      </w:pPr>
    </w:p>
    <w:p>
      <w:pPr>
        <w:ind w:left="300" w:right="260" w:hanging="292"/>
        <w:spacing w:after="0" w:line="238" w:lineRule="auto"/>
        <w:tabs>
          <w:tab w:leader="none" w:pos="300" w:val="left"/>
        </w:tabs>
        <w:numPr>
          <w:ilvl w:val="0"/>
          <w:numId w:val="220"/>
        </w:numPr>
        <w:rPr>
          <w:rFonts w:ascii="Arial" w:cs="Arial" w:eastAsia="Arial" w:hAnsi="Arial"/>
          <w:sz w:val="11"/>
          <w:szCs w:val="11"/>
          <w:color w:val="auto"/>
        </w:rPr>
      </w:pPr>
      <w:r>
        <w:rPr>
          <w:rFonts w:ascii="Arial" w:cs="Arial" w:eastAsia="Arial" w:hAnsi="Arial"/>
          <w:sz w:val="13"/>
          <w:szCs w:val="13"/>
          <w:color w:val="auto"/>
        </w:rPr>
        <w:t>This number reflects the weighted-average exercise price of stock options outstanding under our 2017 Performance Incentive Plan and has been calculated exclusive of RSUs and PSUs outstanding under our 2017 Performance Incentive Plan and deferred stock units.</w:t>
      </w:r>
    </w:p>
    <w:p>
      <w:pPr>
        <w:ind w:left="300" w:right="500" w:hanging="292"/>
        <w:spacing w:after="0" w:line="238" w:lineRule="auto"/>
        <w:tabs>
          <w:tab w:leader="none" w:pos="300" w:val="left"/>
        </w:tabs>
        <w:numPr>
          <w:ilvl w:val="0"/>
          <w:numId w:val="220"/>
        </w:numPr>
        <w:rPr>
          <w:rFonts w:ascii="Arial" w:cs="Arial" w:eastAsia="Arial" w:hAnsi="Arial"/>
          <w:sz w:val="11"/>
          <w:szCs w:val="11"/>
          <w:color w:val="auto"/>
        </w:rPr>
      </w:pPr>
      <w:r>
        <w:rPr>
          <w:rFonts w:ascii="Arial" w:cs="Arial" w:eastAsia="Arial" w:hAnsi="Arial"/>
          <w:sz w:val="13"/>
          <w:szCs w:val="13"/>
          <w:color w:val="auto"/>
        </w:rPr>
        <w:t>Of these shares, as of July 3, 2020, 14,342,750 remained available for future issuance under our 2017 Performance Incentive Plan and 8,996,414 remained available for future issuance under our 2005 Employee Stock Purchase Plan.</w:t>
      </w:r>
    </w:p>
    <w:p>
      <w:pPr>
        <w:ind w:left="300" w:right="220" w:hanging="292"/>
        <w:spacing w:after="0" w:line="238" w:lineRule="auto"/>
        <w:tabs>
          <w:tab w:leader="none" w:pos="300" w:val="left"/>
        </w:tabs>
        <w:numPr>
          <w:ilvl w:val="0"/>
          <w:numId w:val="220"/>
        </w:numPr>
        <w:rPr>
          <w:rFonts w:ascii="Arial" w:cs="Arial" w:eastAsia="Arial" w:hAnsi="Arial"/>
          <w:sz w:val="11"/>
          <w:szCs w:val="11"/>
          <w:color w:val="auto"/>
        </w:rPr>
      </w:pPr>
      <w:r>
        <w:rPr>
          <w:rFonts w:ascii="Arial" w:cs="Arial" w:eastAsia="Arial" w:hAnsi="Arial"/>
          <w:sz w:val="13"/>
          <w:szCs w:val="13"/>
          <w:color w:val="auto"/>
        </w:rPr>
        <w:t>This amount includes: (i) 250,613 shares of our common stock subject to stock options outstanding under the SanDisk Plan; and (ii) 675,192 shares of our common stock subject to outstanding RSUs awarded under the SanDisk Plan, in each case, as of July 3, 2020.</w:t>
      </w:r>
    </w:p>
    <w:p>
      <w:pPr>
        <w:ind w:left="300" w:right="380" w:hanging="292"/>
        <w:spacing w:after="0" w:line="238" w:lineRule="auto"/>
        <w:tabs>
          <w:tab w:leader="none" w:pos="300" w:val="left"/>
        </w:tabs>
        <w:numPr>
          <w:ilvl w:val="0"/>
          <w:numId w:val="220"/>
        </w:numPr>
        <w:rPr>
          <w:rFonts w:ascii="Arial" w:cs="Arial" w:eastAsia="Arial" w:hAnsi="Arial"/>
          <w:sz w:val="11"/>
          <w:szCs w:val="11"/>
          <w:color w:val="auto"/>
        </w:rPr>
      </w:pPr>
      <w:r>
        <w:rPr>
          <w:rFonts w:ascii="Arial" w:cs="Arial" w:eastAsia="Arial" w:hAnsi="Arial"/>
          <w:sz w:val="13"/>
          <w:szCs w:val="13"/>
          <w:color w:val="auto"/>
        </w:rPr>
        <w:t>This number reflects the weighted-average exercise price of stock options outstanding under the SanDisk Plan and has been calculated exclusive of RSUs outstanding under the SanDisk Plan.</w:t>
      </w:r>
    </w:p>
    <w:p>
      <w:pPr>
        <w:ind w:left="300" w:right="120" w:hanging="292"/>
        <w:spacing w:after="0" w:line="245" w:lineRule="auto"/>
        <w:tabs>
          <w:tab w:leader="none" w:pos="300" w:val="left"/>
        </w:tabs>
        <w:numPr>
          <w:ilvl w:val="0"/>
          <w:numId w:val="220"/>
        </w:numPr>
        <w:rPr>
          <w:rFonts w:ascii="Arial" w:cs="Arial" w:eastAsia="Arial" w:hAnsi="Arial"/>
          <w:sz w:val="11"/>
          <w:szCs w:val="11"/>
          <w:color w:val="auto"/>
        </w:rPr>
      </w:pPr>
      <w:r>
        <w:rPr>
          <w:rFonts w:ascii="Arial" w:cs="Arial" w:eastAsia="Arial" w:hAnsi="Arial"/>
          <w:sz w:val="13"/>
          <w:szCs w:val="13"/>
          <w:color w:val="auto"/>
        </w:rPr>
        <w:t>In accordance with applicable SEC rules, the table does not include information with respect to equity compensation plans or agreements that were assumed by us in connection with the acquisitions of the companies that originally established those plans or agreements and under which we may not make new award grants. As of July 3, 2020, 19,126 shares of common stock were issuable upon exercise of outstanding options granted under these assumed plans. The weighted average exercise price of these assumed outstanding stock options to acquire shares of our common stock was $81.90 per share. Additionally, as of July 3, 2020, there were no RSUs outstanding under these assumed plans.</w:t>
      </w:r>
    </w:p>
    <w:p>
      <w:pPr>
        <w:spacing w:after="0" w:line="200" w:lineRule="exact"/>
        <w:rPr>
          <w:sz w:val="20"/>
          <w:szCs w:val="20"/>
          <w:color w:val="auto"/>
        </w:rPr>
      </w:pPr>
    </w:p>
    <w:p>
      <w:pPr>
        <w:ind w:right="60"/>
        <w:spacing w:after="0" w:line="248" w:lineRule="auto"/>
        <w:rPr>
          <w:sz w:val="20"/>
          <w:szCs w:val="20"/>
          <w:color w:val="auto"/>
        </w:rPr>
      </w:pPr>
      <w:r>
        <w:rPr>
          <w:rFonts w:ascii="Arial" w:cs="Arial" w:eastAsia="Arial" w:hAnsi="Arial"/>
          <w:sz w:val="13"/>
          <w:szCs w:val="13"/>
          <w:color w:val="auto"/>
        </w:rPr>
        <w:t>The SanDisk Plan was adopted by the SanDisk board of directors in March 2013, and approved by the stockholders of SanDisk in April 2013. In accordance with the terms of the acquisition of SanDisk, we assumed the stock options and RSUs that were outstanding under the SanDisk Plan at the time of the closing of the acquisition, as well as the authority to make new award grants under the SanDisk Plan after the closing; however, such authority was terminated in November 2017.</w:t>
      </w:r>
    </w:p>
    <w:p>
      <w:pPr>
        <w:spacing w:after="0" w:line="198" w:lineRule="exact"/>
        <w:rPr>
          <w:sz w:val="20"/>
          <w:szCs w:val="20"/>
          <w:color w:val="auto"/>
        </w:rPr>
      </w:pPr>
    </w:p>
    <w:p>
      <w:pPr>
        <w:ind w:right="100"/>
        <w:spacing w:after="0" w:line="248" w:lineRule="auto"/>
        <w:rPr>
          <w:sz w:val="20"/>
          <w:szCs w:val="20"/>
          <w:color w:val="auto"/>
        </w:rPr>
      </w:pPr>
      <w:r>
        <w:rPr>
          <w:rFonts w:ascii="Arial" w:cs="Arial" w:eastAsia="Arial" w:hAnsi="Arial"/>
          <w:sz w:val="13"/>
          <w:szCs w:val="13"/>
          <w:color w:val="auto"/>
        </w:rPr>
        <w:t>Our Board of Directors or the Compensation and Talent Committee generally has the authority to accelerate the vesting of any award under the SanDisk Plan in accordance with the terms of the SanDisk Plan. In the event of a change in control of our company (or other entity assuming the SanDisk Plan) in connection with which the awards granted under the SanDisk Plan are not assumed or continued, the awards granted under the SanDisk Plan will generally accelerate, become vested and will terminate in connection with the transaction.</w:t>
      </w:r>
    </w:p>
    <w:p>
      <w:pPr>
        <w:spacing w:after="0" w:line="180"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23628F"/>
        </w:rPr>
        <w:t>2020 PROXY STATEMENT</w:t>
      </w:r>
      <w:r>
        <w:rPr>
          <w:sz w:val="20"/>
          <w:szCs w:val="20"/>
          <w:color w:val="auto"/>
        </w:rPr>
        <w:tab/>
      </w:r>
      <w:r>
        <w:rPr>
          <w:rFonts w:ascii="Arial" w:cs="Arial" w:eastAsia="Arial" w:hAnsi="Arial"/>
          <w:sz w:val="16"/>
          <w:szCs w:val="16"/>
          <w:b w:val="1"/>
          <w:bCs w:val="1"/>
          <w:color w:val="23628F"/>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153275" cy="215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Arial" w:cs="Arial" w:eastAsia="Arial" w:hAnsi="Arial"/>
          <w:sz w:val="50"/>
          <w:szCs w:val="50"/>
          <w:b w:val="1"/>
          <w:bCs w:val="1"/>
          <w:color w:val="23628F"/>
        </w:rPr>
        <w:t>Stock Ownership Information</w:t>
      </w:r>
    </w:p>
    <w:p>
      <w:pPr>
        <w:spacing w:after="0" w:line="251" w:lineRule="exact"/>
        <w:rPr>
          <w:sz w:val="20"/>
          <w:szCs w:val="20"/>
          <w:color w:val="auto"/>
        </w:rPr>
      </w:pPr>
    </w:p>
    <w:p>
      <w:pPr>
        <w:ind w:right="2100"/>
        <w:spacing w:after="0" w:line="279" w:lineRule="auto"/>
        <w:rPr>
          <w:sz w:val="20"/>
          <w:szCs w:val="20"/>
          <w:color w:val="auto"/>
        </w:rPr>
      </w:pPr>
      <w:r>
        <w:rPr>
          <w:rFonts w:ascii="Arial" w:cs="Arial" w:eastAsia="Arial" w:hAnsi="Arial"/>
          <w:sz w:val="31"/>
          <w:szCs w:val="31"/>
          <w:b w:val="1"/>
          <w:bCs w:val="1"/>
          <w:color w:val="567EA5"/>
        </w:rPr>
        <w:t>SECURITY OWNERSHIP BY PRINCIPAL STOCKHOLDERS AND MANAGEMENT</w:t>
      </w:r>
    </w:p>
    <w:p>
      <w:pPr>
        <w:spacing w:after="0" w:line="147" w:lineRule="exact"/>
        <w:rPr>
          <w:sz w:val="20"/>
          <w:szCs w:val="20"/>
          <w:color w:val="auto"/>
        </w:rPr>
      </w:pPr>
    </w:p>
    <w:p>
      <w:pPr>
        <w:ind w:right="120"/>
        <w:spacing w:after="0" w:line="245" w:lineRule="auto"/>
        <w:rPr>
          <w:sz w:val="20"/>
          <w:szCs w:val="20"/>
          <w:color w:val="auto"/>
        </w:rPr>
      </w:pPr>
      <w:r>
        <w:rPr>
          <w:rFonts w:ascii="Arial" w:cs="Arial" w:eastAsia="Arial" w:hAnsi="Arial"/>
          <w:sz w:val="13"/>
          <w:szCs w:val="13"/>
          <w:color w:val="auto"/>
        </w:rPr>
        <w:t>The following table sets forth certain information regarding the beneficial ownership of our common stock, as of September 4, 2020, by: (i) each person known by us to own beneficially more than 5% of our outstanding common stock; (ii) each director and each nominee for election as a member of our Board of Directors; (iii) each of our named executive officers; and (iv) all current directors and executive officers as a group. This table is based on information supplied to us by our executive officers, directors and principal stockholders or included in a Schedule 13G or Schedule 13D filed with the SEC.</w:t>
      </w:r>
    </w:p>
    <w:p>
      <w:pPr>
        <w:sectPr>
          <w:pgSz w:w="11900" w:h="16838" w:orient="portrait"/>
          <w:cols w:equalWidth="0" w:num="1">
            <w:col w:w="11240"/>
          </w:cols>
          <w:pgMar w:left="320" w:top="121" w:right="339" w:bottom="1440" w:gutter="0" w:footer="0" w:header="0"/>
        </w:sectPr>
      </w:pPr>
    </w:p>
    <w:p>
      <w:pPr>
        <w:spacing w:after="0" w:line="373"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132320" cy="22288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33" w:lineRule="exact"/>
        <w:rPr>
          <w:sz w:val="20"/>
          <w:szCs w:val="20"/>
          <w:color w:val="auto"/>
        </w:rPr>
      </w:pPr>
    </w:p>
    <w:p>
      <w:pPr>
        <w:ind w:left="80"/>
        <w:spacing w:after="0"/>
        <w:rPr>
          <w:sz w:val="20"/>
          <w:szCs w:val="20"/>
          <w:color w:val="auto"/>
        </w:rPr>
      </w:pPr>
      <w:r>
        <w:rPr>
          <w:rFonts w:ascii="Arial" w:cs="Arial" w:eastAsia="Arial" w:hAnsi="Arial"/>
          <w:sz w:val="13"/>
          <w:szCs w:val="13"/>
          <w:b w:val="1"/>
          <w:bCs w:val="1"/>
          <w:i w:val="1"/>
          <w:iCs w:val="1"/>
          <w:color w:val="auto"/>
        </w:rPr>
        <w:t>Greater than 5%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13232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 w:lineRule="exact"/>
        <w:rPr>
          <w:sz w:val="20"/>
          <w:szCs w:val="20"/>
          <w:color w:val="auto"/>
        </w:rPr>
      </w:pPr>
    </w:p>
    <w:p>
      <w:pPr>
        <w:ind w:left="80"/>
        <w:spacing w:after="0"/>
        <w:rPr>
          <w:sz w:val="20"/>
          <w:szCs w:val="20"/>
          <w:color w:val="auto"/>
        </w:rPr>
      </w:pPr>
      <w:r>
        <w:rPr>
          <w:rFonts w:ascii="Arial" w:cs="Arial" w:eastAsia="Arial" w:hAnsi="Arial"/>
          <w:sz w:val="13"/>
          <w:szCs w:val="13"/>
          <w:color w:val="auto"/>
        </w:rPr>
        <w:t>The Vanguard Group</w:t>
      </w:r>
      <w:r>
        <w:rPr>
          <w:rFonts w:ascii="Arial" w:cs="Arial" w:eastAsia="Arial" w:hAnsi="Arial"/>
          <w:sz w:val="22"/>
          <w:szCs w:val="22"/>
          <w:color w:val="auto"/>
          <w:vertAlign w:val="superscript"/>
        </w:rPr>
        <w:t>(3)</w:t>
      </w:r>
    </w:p>
    <w:p>
      <w:pPr>
        <w:ind w:left="80"/>
        <w:spacing w:after="0"/>
        <w:rPr>
          <w:sz w:val="20"/>
          <w:szCs w:val="20"/>
          <w:color w:val="auto"/>
        </w:rPr>
      </w:pPr>
      <w:r>
        <w:rPr>
          <w:rFonts w:ascii="Arial" w:cs="Arial" w:eastAsia="Arial" w:hAnsi="Arial"/>
          <w:sz w:val="13"/>
          <w:szCs w:val="13"/>
          <w:color w:val="auto"/>
        </w:rPr>
        <w:t>100 Vanguard Blvd., Malvern, PA 19355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auto"/>
        </w:rPr>
        <w:t>BlackRock, Inc.</w:t>
      </w:r>
      <w:r>
        <w:rPr>
          <w:rFonts w:ascii="Arial" w:cs="Arial" w:eastAsia="Arial" w:hAnsi="Arial"/>
          <w:sz w:val="22"/>
          <w:szCs w:val="22"/>
          <w:color w:val="auto"/>
          <w:vertAlign w:val="superscript"/>
        </w:rPr>
        <w:t>(4)</w:t>
      </w:r>
    </w:p>
    <w:p>
      <w:pPr>
        <w:ind w:left="80"/>
        <w:spacing w:after="0"/>
        <w:rPr>
          <w:sz w:val="20"/>
          <w:szCs w:val="20"/>
          <w:color w:val="auto"/>
        </w:rPr>
      </w:pPr>
      <w:r>
        <w:rPr>
          <w:rFonts w:ascii="Arial" w:cs="Arial" w:eastAsia="Arial" w:hAnsi="Arial"/>
          <w:sz w:val="13"/>
          <w:szCs w:val="13"/>
          <w:color w:val="auto"/>
        </w:rPr>
        <w:t>55 East 52nd Street, New York, NY 10055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7"/>
        </w:trPr>
        <w:tc>
          <w:tcPr>
            <w:tcW w:w="160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Amount and Nature of</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Percent of</w:t>
            </w:r>
          </w:p>
        </w:tc>
      </w:tr>
      <w:tr>
        <w:trPr>
          <w:trHeight w:val="210"/>
        </w:trPr>
        <w:tc>
          <w:tcPr>
            <w:tcW w:w="1600" w:type="dxa"/>
            <w:vAlign w:val="bottom"/>
            <w:tcBorders>
              <w:right w:val="single" w:sz="8" w:color="auto"/>
            </w:tcBorders>
          </w:tcPr>
          <w:p>
            <w:pPr>
              <w:jc w:val="right"/>
              <w:ind w:right="33"/>
              <w:spacing w:after="0" w:line="210" w:lineRule="exact"/>
              <w:rPr>
                <w:sz w:val="20"/>
                <w:szCs w:val="20"/>
                <w:color w:val="auto"/>
              </w:rPr>
            </w:pPr>
            <w:r>
              <w:rPr>
                <w:rFonts w:ascii="Arial" w:cs="Arial" w:eastAsia="Arial" w:hAnsi="Arial"/>
                <w:sz w:val="13"/>
                <w:szCs w:val="13"/>
                <w:b w:val="1"/>
                <w:bCs w:val="1"/>
                <w:color w:val="auto"/>
                <w:w w:val="98"/>
              </w:rPr>
              <w:t>Beneficial Ownership</w:t>
            </w:r>
            <w:r>
              <w:rPr>
                <w:rFonts w:ascii="Arial" w:cs="Arial" w:eastAsia="Arial" w:hAnsi="Arial"/>
                <w:sz w:val="22"/>
                <w:szCs w:val="22"/>
                <w:b w:val="1"/>
                <w:bCs w:val="1"/>
                <w:color w:val="auto"/>
                <w:w w:val="98"/>
                <w:vertAlign w:val="superscript"/>
              </w:rPr>
              <w:t>(1)</w:t>
            </w:r>
          </w:p>
        </w:tc>
        <w:tc>
          <w:tcPr>
            <w:tcW w:w="720" w:type="dxa"/>
            <w:vAlign w:val="bottom"/>
          </w:tcPr>
          <w:p>
            <w:pPr>
              <w:jc w:val="right"/>
              <w:spacing w:after="0" w:line="210" w:lineRule="exact"/>
              <w:rPr>
                <w:sz w:val="20"/>
                <w:szCs w:val="20"/>
                <w:color w:val="auto"/>
              </w:rPr>
            </w:pPr>
            <w:r>
              <w:rPr>
                <w:rFonts w:ascii="Arial" w:cs="Arial" w:eastAsia="Arial" w:hAnsi="Arial"/>
                <w:sz w:val="13"/>
                <w:szCs w:val="13"/>
                <w:b w:val="1"/>
                <w:bCs w:val="1"/>
                <w:color w:val="auto"/>
              </w:rPr>
              <w:t>Class</w:t>
            </w:r>
            <w:r>
              <w:rPr>
                <w:rFonts w:ascii="Arial" w:cs="Arial" w:eastAsia="Arial" w:hAnsi="Arial"/>
                <w:sz w:val="22"/>
                <w:szCs w:val="22"/>
                <w:b w:val="1"/>
                <w:bCs w:val="1"/>
                <w:color w:val="auto"/>
                <w:vertAlign w:val="superscript"/>
              </w:rPr>
              <w:t>(2)</w:t>
            </w:r>
          </w:p>
        </w:tc>
      </w:tr>
      <w:tr>
        <w:trPr>
          <w:trHeight w:val="634"/>
        </w:trPr>
        <w:tc>
          <w:tcPr>
            <w:tcW w:w="1600" w:type="dxa"/>
            <w:vAlign w:val="bottom"/>
          </w:tcPr>
          <w:p>
            <w:pPr>
              <w:jc w:val="right"/>
              <w:ind w:right="33"/>
              <w:spacing w:after="0"/>
              <w:rPr>
                <w:sz w:val="20"/>
                <w:szCs w:val="20"/>
                <w:color w:val="auto"/>
              </w:rPr>
            </w:pPr>
            <w:r>
              <w:rPr>
                <w:rFonts w:ascii="Arial" w:cs="Arial" w:eastAsia="Arial" w:hAnsi="Arial"/>
                <w:sz w:val="13"/>
                <w:szCs w:val="13"/>
                <w:color w:val="auto"/>
              </w:rPr>
              <w:t>35,413,208</w:t>
            </w:r>
          </w:p>
        </w:tc>
        <w:tc>
          <w:tcPr>
            <w:tcW w:w="720" w:type="dxa"/>
            <w:vAlign w:val="bottom"/>
          </w:tcPr>
          <w:p>
            <w:pPr>
              <w:jc w:val="right"/>
              <w:spacing w:after="0"/>
              <w:rPr>
                <w:sz w:val="20"/>
                <w:szCs w:val="20"/>
                <w:color w:val="auto"/>
              </w:rPr>
            </w:pPr>
            <w:r>
              <w:rPr>
                <w:rFonts w:ascii="Arial" w:cs="Arial" w:eastAsia="Arial" w:hAnsi="Arial"/>
                <w:sz w:val="13"/>
                <w:szCs w:val="13"/>
                <w:color w:val="auto"/>
              </w:rPr>
              <w:t>11.90%</w:t>
            </w:r>
          </w:p>
        </w:tc>
      </w:tr>
      <w:tr>
        <w:trPr>
          <w:trHeight w:val="405"/>
        </w:trPr>
        <w:tc>
          <w:tcPr>
            <w:tcW w:w="1600" w:type="dxa"/>
            <w:vAlign w:val="bottom"/>
          </w:tcPr>
          <w:p>
            <w:pPr>
              <w:jc w:val="right"/>
              <w:ind w:right="33"/>
              <w:spacing w:after="0"/>
              <w:rPr>
                <w:sz w:val="20"/>
                <w:szCs w:val="20"/>
                <w:color w:val="auto"/>
              </w:rPr>
            </w:pPr>
            <w:r>
              <w:rPr>
                <w:rFonts w:ascii="Arial" w:cs="Arial" w:eastAsia="Arial" w:hAnsi="Arial"/>
                <w:sz w:val="13"/>
                <w:szCs w:val="13"/>
                <w:color w:val="auto"/>
              </w:rPr>
              <w:t>25,733,171</w:t>
            </w:r>
          </w:p>
        </w:tc>
        <w:tc>
          <w:tcPr>
            <w:tcW w:w="720" w:type="dxa"/>
            <w:vAlign w:val="bottom"/>
          </w:tcPr>
          <w:p>
            <w:pPr>
              <w:jc w:val="right"/>
              <w:spacing w:after="0"/>
              <w:rPr>
                <w:sz w:val="20"/>
                <w:szCs w:val="20"/>
                <w:color w:val="auto"/>
              </w:rPr>
            </w:pPr>
            <w:r>
              <w:rPr>
                <w:rFonts w:ascii="Arial" w:cs="Arial" w:eastAsia="Arial" w:hAnsi="Arial"/>
                <w:sz w:val="13"/>
                <w:szCs w:val="13"/>
                <w:color w:val="auto"/>
              </w:rPr>
              <w:t>8.7%</w:t>
            </w:r>
          </w:p>
        </w:tc>
      </w:tr>
    </w:tbl>
    <w:p>
      <w:pPr>
        <w:spacing w:after="0" w:line="51" w:lineRule="exact"/>
        <w:rPr>
          <w:sz w:val="20"/>
          <w:szCs w:val="20"/>
          <w:color w:val="auto"/>
        </w:rPr>
      </w:pPr>
    </w:p>
    <w:p>
      <w:pPr>
        <w:sectPr>
          <w:pgSz w:w="11900" w:h="16838" w:orient="portrait"/>
          <w:cols w:equalWidth="0" w:num="2">
            <w:col w:w="8120" w:space="720"/>
            <w:col w:w="2400"/>
          </w:cols>
          <w:pgMar w:left="320" w:top="121" w:right="339" w:bottom="1440" w:gutter="0" w:footer="0" w:header="0"/>
          <w:type w:val="continuous"/>
        </w:sectPr>
      </w:pPr>
    </w:p>
    <w:p>
      <w:pPr>
        <w:ind w:left="80"/>
        <w:spacing w:after="0"/>
        <w:rPr>
          <w:sz w:val="20"/>
          <w:szCs w:val="20"/>
          <w:color w:val="auto"/>
        </w:rPr>
      </w:pPr>
      <w:r>
        <w:rPr>
          <w:rFonts w:ascii="Arial" w:cs="Arial" w:eastAsia="Arial" w:hAnsi="Arial"/>
          <w:sz w:val="13"/>
          <w:szCs w:val="13"/>
          <w:b w:val="1"/>
          <w:bCs w:val="1"/>
          <w:i w:val="1"/>
          <w:iCs w:val="1"/>
          <w:color w:val="auto"/>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13232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80" w:type="dxa"/>
            <w:vAlign w:val="bottom"/>
          </w:tcPr>
          <w:p>
            <w:pPr>
              <w:ind w:left="80"/>
              <w:spacing w:after="0"/>
              <w:rPr>
                <w:sz w:val="20"/>
                <w:szCs w:val="20"/>
                <w:color w:val="auto"/>
              </w:rPr>
            </w:pPr>
            <w:r>
              <w:rPr>
                <w:rFonts w:ascii="Arial" w:cs="Arial" w:eastAsia="Arial" w:hAnsi="Arial"/>
                <w:sz w:val="13"/>
                <w:szCs w:val="13"/>
                <w:color w:val="auto"/>
              </w:rPr>
              <w:t>Kimberly E. Alexy</w:t>
            </w:r>
          </w:p>
        </w:tc>
        <w:tc>
          <w:tcPr>
            <w:tcW w:w="3660" w:type="dxa"/>
            <w:vAlign w:val="bottom"/>
          </w:tcPr>
          <w:p>
            <w:pPr>
              <w:jc w:val="right"/>
              <w:ind w:right="333"/>
              <w:spacing w:after="0"/>
              <w:rPr>
                <w:sz w:val="20"/>
                <w:szCs w:val="20"/>
                <w:color w:val="auto"/>
              </w:rPr>
            </w:pPr>
            <w:r>
              <w:rPr>
                <w:rFonts w:ascii="Arial" w:cs="Arial" w:eastAsia="Arial" w:hAnsi="Arial"/>
                <w:sz w:val="13"/>
                <w:szCs w:val="13"/>
                <w:color w:val="auto"/>
              </w:rPr>
              <w:t>4,963</w:t>
            </w:r>
          </w:p>
        </w:tc>
        <w:tc>
          <w:tcPr>
            <w:tcW w:w="500" w:type="dxa"/>
            <w:vAlign w:val="bottom"/>
          </w:tcPr>
          <w:p>
            <w:pPr>
              <w:jc w:val="right"/>
              <w:ind w:right="13"/>
              <w:spacing w:after="0"/>
              <w:rPr>
                <w:sz w:val="20"/>
                <w:szCs w:val="20"/>
                <w:color w:val="auto"/>
              </w:rPr>
            </w:pPr>
            <w:r>
              <w:rPr>
                <w:rFonts w:ascii="Arial" w:cs="Arial" w:eastAsia="Arial" w:hAnsi="Arial"/>
                <w:sz w:val="13"/>
                <w:szCs w:val="13"/>
                <w:color w:val="auto"/>
              </w:rPr>
              <w:t>*</w:t>
            </w:r>
          </w:p>
        </w:tc>
      </w:tr>
      <w:tr>
        <w:trPr>
          <w:trHeight w:val="41"/>
        </w:trPr>
        <w:tc>
          <w:tcPr>
            <w:tcW w:w="7080" w:type="dxa"/>
            <w:vAlign w:val="bottom"/>
            <w:tcBorders>
              <w:bottom w:val="single" w:sz="8" w:color="959595"/>
            </w:tcBorders>
          </w:tcPr>
          <w:p>
            <w:pPr>
              <w:spacing w:after="0"/>
              <w:rPr>
                <w:sz w:val="3"/>
                <w:szCs w:val="3"/>
                <w:color w:val="auto"/>
              </w:rPr>
            </w:pPr>
          </w:p>
        </w:tc>
        <w:tc>
          <w:tcPr>
            <w:tcW w:w="3660" w:type="dxa"/>
            <w:vAlign w:val="bottom"/>
            <w:tcBorders>
              <w:bottom w:val="single" w:sz="8" w:color="959595"/>
            </w:tcBorders>
          </w:tcPr>
          <w:p>
            <w:pPr>
              <w:spacing w:after="0"/>
              <w:rPr>
                <w:sz w:val="3"/>
                <w:szCs w:val="3"/>
                <w:color w:val="auto"/>
              </w:rPr>
            </w:pPr>
          </w:p>
        </w:tc>
        <w:tc>
          <w:tcPr>
            <w:tcW w:w="500" w:type="dxa"/>
            <w:vAlign w:val="bottom"/>
            <w:tcBorders>
              <w:bottom w:val="single" w:sz="8" w:color="959595"/>
            </w:tcBorders>
          </w:tcPr>
          <w:p>
            <w:pPr>
              <w:spacing w:after="0"/>
              <w:rPr>
                <w:sz w:val="3"/>
                <w:szCs w:val="3"/>
                <w:color w:val="auto"/>
              </w:rPr>
            </w:pPr>
          </w:p>
        </w:tc>
      </w:tr>
      <w:tr>
        <w:trPr>
          <w:trHeight w:val="196"/>
        </w:trPr>
        <w:tc>
          <w:tcPr>
            <w:tcW w:w="7080" w:type="dxa"/>
            <w:vAlign w:val="bottom"/>
          </w:tcPr>
          <w:p>
            <w:pPr>
              <w:ind w:left="80"/>
              <w:spacing w:after="0"/>
              <w:rPr>
                <w:sz w:val="20"/>
                <w:szCs w:val="20"/>
                <w:color w:val="auto"/>
              </w:rPr>
            </w:pPr>
            <w:r>
              <w:rPr>
                <w:rFonts w:ascii="Arial" w:cs="Arial" w:eastAsia="Arial" w:hAnsi="Arial"/>
                <w:sz w:val="13"/>
                <w:szCs w:val="13"/>
                <w:color w:val="auto"/>
              </w:rPr>
              <w:t>Martin I. Cole</w:t>
            </w:r>
          </w:p>
        </w:tc>
        <w:tc>
          <w:tcPr>
            <w:tcW w:w="3660" w:type="dxa"/>
            <w:vAlign w:val="bottom"/>
          </w:tcPr>
          <w:p>
            <w:pPr>
              <w:jc w:val="right"/>
              <w:ind w:right="333"/>
              <w:spacing w:after="0"/>
              <w:rPr>
                <w:sz w:val="20"/>
                <w:szCs w:val="20"/>
                <w:color w:val="auto"/>
              </w:rPr>
            </w:pPr>
            <w:r>
              <w:rPr>
                <w:rFonts w:ascii="Arial" w:cs="Arial" w:eastAsia="Arial" w:hAnsi="Arial"/>
                <w:sz w:val="13"/>
                <w:szCs w:val="13"/>
                <w:color w:val="auto"/>
              </w:rPr>
              <w:t>17,637</w:t>
            </w:r>
          </w:p>
        </w:tc>
        <w:tc>
          <w:tcPr>
            <w:tcW w:w="500" w:type="dxa"/>
            <w:vAlign w:val="bottom"/>
          </w:tcPr>
          <w:p>
            <w:pPr>
              <w:jc w:val="right"/>
              <w:ind w:right="13"/>
              <w:spacing w:after="0"/>
              <w:rPr>
                <w:sz w:val="20"/>
                <w:szCs w:val="20"/>
                <w:color w:val="auto"/>
              </w:rPr>
            </w:pPr>
            <w:r>
              <w:rPr>
                <w:rFonts w:ascii="Arial" w:cs="Arial" w:eastAsia="Arial" w:hAnsi="Arial"/>
                <w:sz w:val="13"/>
                <w:szCs w:val="13"/>
                <w:color w:val="auto"/>
              </w:rPr>
              <w:t>*</w:t>
            </w:r>
          </w:p>
        </w:tc>
      </w:tr>
      <w:tr>
        <w:trPr>
          <w:trHeight w:val="41"/>
        </w:trPr>
        <w:tc>
          <w:tcPr>
            <w:tcW w:w="7080" w:type="dxa"/>
            <w:vAlign w:val="bottom"/>
            <w:tcBorders>
              <w:bottom w:val="single" w:sz="8" w:color="959595"/>
            </w:tcBorders>
          </w:tcPr>
          <w:p>
            <w:pPr>
              <w:spacing w:after="0"/>
              <w:rPr>
                <w:sz w:val="3"/>
                <w:szCs w:val="3"/>
                <w:color w:val="auto"/>
              </w:rPr>
            </w:pPr>
          </w:p>
        </w:tc>
        <w:tc>
          <w:tcPr>
            <w:tcW w:w="3660" w:type="dxa"/>
            <w:vAlign w:val="bottom"/>
            <w:tcBorders>
              <w:bottom w:val="single" w:sz="8" w:color="959595"/>
            </w:tcBorders>
          </w:tcPr>
          <w:p>
            <w:pPr>
              <w:spacing w:after="0"/>
              <w:rPr>
                <w:sz w:val="3"/>
                <w:szCs w:val="3"/>
                <w:color w:val="auto"/>
              </w:rPr>
            </w:pPr>
          </w:p>
        </w:tc>
        <w:tc>
          <w:tcPr>
            <w:tcW w:w="500" w:type="dxa"/>
            <w:vAlign w:val="bottom"/>
            <w:tcBorders>
              <w:bottom w:val="single" w:sz="8" w:color="959595"/>
            </w:tcBorders>
          </w:tcPr>
          <w:p>
            <w:pPr>
              <w:spacing w:after="0"/>
              <w:rPr>
                <w:sz w:val="3"/>
                <w:szCs w:val="3"/>
                <w:color w:val="auto"/>
              </w:rPr>
            </w:pPr>
          </w:p>
        </w:tc>
      </w:tr>
      <w:tr>
        <w:trPr>
          <w:trHeight w:val="290"/>
        </w:trPr>
        <w:tc>
          <w:tcPr>
            <w:tcW w:w="7080" w:type="dxa"/>
            <w:vAlign w:val="bottom"/>
            <w:tcBorders>
              <w:bottom w:val="single" w:sz="8" w:color="959595"/>
            </w:tcBorders>
          </w:tcPr>
          <w:p>
            <w:pPr>
              <w:ind w:left="80"/>
              <w:spacing w:after="0"/>
              <w:rPr>
                <w:sz w:val="20"/>
                <w:szCs w:val="20"/>
                <w:color w:val="auto"/>
              </w:rPr>
            </w:pPr>
            <w:r>
              <w:rPr>
                <w:rFonts w:ascii="Arial" w:cs="Arial" w:eastAsia="Arial" w:hAnsi="Arial"/>
                <w:sz w:val="13"/>
                <w:szCs w:val="13"/>
                <w:color w:val="auto"/>
              </w:rPr>
              <w:t>Kathleen A. Cote</w:t>
            </w:r>
            <w:r>
              <w:rPr>
                <w:rFonts w:ascii="Arial" w:cs="Arial" w:eastAsia="Arial" w:hAnsi="Arial"/>
                <w:sz w:val="22"/>
                <w:szCs w:val="22"/>
                <w:color w:val="auto"/>
                <w:vertAlign w:val="superscript"/>
              </w:rPr>
              <w:t>(5)</w:t>
            </w:r>
          </w:p>
        </w:tc>
        <w:tc>
          <w:tcPr>
            <w:tcW w:w="3660" w:type="dxa"/>
            <w:vAlign w:val="bottom"/>
            <w:tcBorders>
              <w:bottom w:val="single" w:sz="8" w:color="959595"/>
            </w:tcBorders>
          </w:tcPr>
          <w:p>
            <w:pPr>
              <w:jc w:val="right"/>
              <w:ind w:right="333"/>
              <w:spacing w:after="0"/>
              <w:rPr>
                <w:sz w:val="20"/>
                <w:szCs w:val="20"/>
                <w:color w:val="auto"/>
              </w:rPr>
            </w:pPr>
            <w:r>
              <w:rPr>
                <w:rFonts w:ascii="Arial" w:cs="Arial" w:eastAsia="Arial" w:hAnsi="Arial"/>
                <w:sz w:val="13"/>
                <w:szCs w:val="13"/>
                <w:color w:val="auto"/>
              </w:rPr>
              <w:t>58,570</w:t>
            </w:r>
          </w:p>
        </w:tc>
        <w:tc>
          <w:tcPr>
            <w:tcW w:w="50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r>
      <w:tr>
        <w:trPr>
          <w:trHeight w:val="291"/>
        </w:trPr>
        <w:tc>
          <w:tcPr>
            <w:tcW w:w="7080" w:type="dxa"/>
            <w:vAlign w:val="bottom"/>
            <w:tcBorders>
              <w:bottom w:val="single" w:sz="8" w:color="959595"/>
            </w:tcBorders>
          </w:tcPr>
          <w:p>
            <w:pPr>
              <w:ind w:left="80"/>
              <w:spacing w:after="0"/>
              <w:rPr>
                <w:sz w:val="20"/>
                <w:szCs w:val="20"/>
                <w:color w:val="auto"/>
              </w:rPr>
            </w:pPr>
            <w:r>
              <w:rPr>
                <w:rFonts w:ascii="Arial" w:cs="Arial" w:eastAsia="Arial" w:hAnsi="Arial"/>
                <w:sz w:val="13"/>
                <w:szCs w:val="13"/>
                <w:color w:val="auto"/>
              </w:rPr>
              <w:t>Tunç Doluca</w:t>
            </w:r>
            <w:r>
              <w:rPr>
                <w:rFonts w:ascii="Arial" w:cs="Arial" w:eastAsia="Arial" w:hAnsi="Arial"/>
                <w:sz w:val="22"/>
                <w:szCs w:val="22"/>
                <w:color w:val="auto"/>
                <w:vertAlign w:val="superscript"/>
              </w:rPr>
              <w:t>(6)</w:t>
            </w:r>
          </w:p>
        </w:tc>
        <w:tc>
          <w:tcPr>
            <w:tcW w:w="3660" w:type="dxa"/>
            <w:vAlign w:val="bottom"/>
            <w:tcBorders>
              <w:bottom w:val="single" w:sz="8" w:color="959595"/>
            </w:tcBorders>
          </w:tcPr>
          <w:p>
            <w:pPr>
              <w:jc w:val="right"/>
              <w:ind w:right="333"/>
              <w:spacing w:after="0"/>
              <w:rPr>
                <w:sz w:val="20"/>
                <w:szCs w:val="20"/>
                <w:color w:val="auto"/>
              </w:rPr>
            </w:pPr>
            <w:r>
              <w:rPr>
                <w:rFonts w:ascii="Arial" w:cs="Arial" w:eastAsia="Arial" w:hAnsi="Arial"/>
                <w:sz w:val="13"/>
                <w:szCs w:val="13"/>
                <w:color w:val="auto"/>
              </w:rPr>
              <w:t>5,968</w:t>
            </w:r>
          </w:p>
        </w:tc>
        <w:tc>
          <w:tcPr>
            <w:tcW w:w="50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r>
      <w:tr>
        <w:trPr>
          <w:trHeight w:val="196"/>
        </w:trPr>
        <w:tc>
          <w:tcPr>
            <w:tcW w:w="7080" w:type="dxa"/>
            <w:vAlign w:val="bottom"/>
          </w:tcPr>
          <w:p>
            <w:pPr>
              <w:ind w:left="80"/>
              <w:spacing w:after="0"/>
              <w:rPr>
                <w:sz w:val="20"/>
                <w:szCs w:val="20"/>
                <w:color w:val="auto"/>
              </w:rPr>
            </w:pPr>
            <w:r>
              <w:rPr>
                <w:rFonts w:ascii="Arial" w:cs="Arial" w:eastAsia="Arial" w:hAnsi="Arial"/>
                <w:sz w:val="13"/>
                <w:szCs w:val="13"/>
                <w:color w:val="auto"/>
              </w:rPr>
              <w:t>Matthew E. Massengill</w:t>
            </w:r>
          </w:p>
        </w:tc>
        <w:tc>
          <w:tcPr>
            <w:tcW w:w="3660" w:type="dxa"/>
            <w:vAlign w:val="bottom"/>
          </w:tcPr>
          <w:p>
            <w:pPr>
              <w:jc w:val="right"/>
              <w:ind w:right="333"/>
              <w:spacing w:after="0"/>
              <w:rPr>
                <w:sz w:val="20"/>
                <w:szCs w:val="20"/>
                <w:color w:val="auto"/>
              </w:rPr>
            </w:pPr>
            <w:r>
              <w:rPr>
                <w:rFonts w:ascii="Arial" w:cs="Arial" w:eastAsia="Arial" w:hAnsi="Arial"/>
                <w:sz w:val="13"/>
                <w:szCs w:val="13"/>
                <w:color w:val="auto"/>
              </w:rPr>
              <w:t>19,777</w:t>
            </w:r>
          </w:p>
        </w:tc>
        <w:tc>
          <w:tcPr>
            <w:tcW w:w="500" w:type="dxa"/>
            <w:vAlign w:val="bottom"/>
          </w:tcPr>
          <w:p>
            <w:pPr>
              <w:jc w:val="right"/>
              <w:ind w:right="13"/>
              <w:spacing w:after="0"/>
              <w:rPr>
                <w:sz w:val="20"/>
                <w:szCs w:val="20"/>
                <w:color w:val="auto"/>
              </w:rPr>
            </w:pPr>
            <w:r>
              <w:rPr>
                <w:rFonts w:ascii="Arial" w:cs="Arial" w:eastAsia="Arial" w:hAnsi="Arial"/>
                <w:sz w:val="13"/>
                <w:szCs w:val="13"/>
                <w:color w:val="auto"/>
              </w:rPr>
              <w:t>*</w:t>
            </w:r>
          </w:p>
        </w:tc>
      </w:tr>
      <w:tr>
        <w:trPr>
          <w:trHeight w:val="41"/>
        </w:trPr>
        <w:tc>
          <w:tcPr>
            <w:tcW w:w="7080" w:type="dxa"/>
            <w:vAlign w:val="bottom"/>
            <w:tcBorders>
              <w:bottom w:val="single" w:sz="8" w:color="959595"/>
            </w:tcBorders>
          </w:tcPr>
          <w:p>
            <w:pPr>
              <w:spacing w:after="0"/>
              <w:rPr>
                <w:sz w:val="3"/>
                <w:szCs w:val="3"/>
                <w:color w:val="auto"/>
              </w:rPr>
            </w:pPr>
          </w:p>
        </w:tc>
        <w:tc>
          <w:tcPr>
            <w:tcW w:w="3660" w:type="dxa"/>
            <w:vAlign w:val="bottom"/>
            <w:tcBorders>
              <w:bottom w:val="single" w:sz="8" w:color="959595"/>
            </w:tcBorders>
          </w:tcPr>
          <w:p>
            <w:pPr>
              <w:spacing w:after="0"/>
              <w:rPr>
                <w:sz w:val="3"/>
                <w:szCs w:val="3"/>
                <w:color w:val="auto"/>
              </w:rPr>
            </w:pPr>
          </w:p>
        </w:tc>
        <w:tc>
          <w:tcPr>
            <w:tcW w:w="500" w:type="dxa"/>
            <w:vAlign w:val="bottom"/>
            <w:tcBorders>
              <w:bottom w:val="single" w:sz="8" w:color="959595"/>
            </w:tcBorders>
          </w:tcPr>
          <w:p>
            <w:pPr>
              <w:spacing w:after="0"/>
              <w:rPr>
                <w:sz w:val="3"/>
                <w:szCs w:val="3"/>
                <w:color w:val="auto"/>
              </w:rPr>
            </w:pPr>
          </w:p>
        </w:tc>
      </w:tr>
      <w:tr>
        <w:trPr>
          <w:trHeight w:val="195"/>
        </w:trPr>
        <w:tc>
          <w:tcPr>
            <w:tcW w:w="7080" w:type="dxa"/>
            <w:vAlign w:val="bottom"/>
          </w:tcPr>
          <w:p>
            <w:pPr>
              <w:ind w:left="80"/>
              <w:spacing w:after="0"/>
              <w:rPr>
                <w:sz w:val="20"/>
                <w:szCs w:val="20"/>
                <w:color w:val="auto"/>
              </w:rPr>
            </w:pPr>
            <w:r>
              <w:rPr>
                <w:rFonts w:ascii="Arial" w:cs="Arial" w:eastAsia="Arial" w:hAnsi="Arial"/>
                <w:sz w:val="13"/>
                <w:szCs w:val="13"/>
                <w:color w:val="auto"/>
              </w:rPr>
              <w:t>Paula A. Price</w:t>
            </w:r>
          </w:p>
        </w:tc>
        <w:tc>
          <w:tcPr>
            <w:tcW w:w="3660" w:type="dxa"/>
            <w:vAlign w:val="bottom"/>
          </w:tcPr>
          <w:p>
            <w:pPr>
              <w:jc w:val="right"/>
              <w:ind w:right="333"/>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13"/>
              <w:spacing w:after="0"/>
              <w:rPr>
                <w:sz w:val="20"/>
                <w:szCs w:val="20"/>
                <w:color w:val="auto"/>
              </w:rPr>
            </w:pPr>
            <w:r>
              <w:rPr>
                <w:rFonts w:ascii="Arial" w:cs="Arial" w:eastAsia="Arial" w:hAnsi="Arial"/>
                <w:sz w:val="13"/>
                <w:szCs w:val="13"/>
                <w:color w:val="auto"/>
              </w:rPr>
              <w:t>*</w:t>
            </w:r>
          </w:p>
        </w:tc>
      </w:tr>
      <w:tr>
        <w:trPr>
          <w:trHeight w:val="41"/>
        </w:trPr>
        <w:tc>
          <w:tcPr>
            <w:tcW w:w="7080" w:type="dxa"/>
            <w:vAlign w:val="bottom"/>
            <w:tcBorders>
              <w:bottom w:val="single" w:sz="8" w:color="959595"/>
            </w:tcBorders>
          </w:tcPr>
          <w:p>
            <w:pPr>
              <w:spacing w:after="0"/>
              <w:rPr>
                <w:sz w:val="3"/>
                <w:szCs w:val="3"/>
                <w:color w:val="auto"/>
              </w:rPr>
            </w:pPr>
          </w:p>
        </w:tc>
        <w:tc>
          <w:tcPr>
            <w:tcW w:w="3660" w:type="dxa"/>
            <w:vAlign w:val="bottom"/>
            <w:tcBorders>
              <w:bottom w:val="single" w:sz="8" w:color="959595"/>
            </w:tcBorders>
          </w:tcPr>
          <w:p>
            <w:pPr>
              <w:spacing w:after="0"/>
              <w:rPr>
                <w:sz w:val="3"/>
                <w:szCs w:val="3"/>
                <w:color w:val="auto"/>
              </w:rPr>
            </w:pPr>
          </w:p>
        </w:tc>
        <w:tc>
          <w:tcPr>
            <w:tcW w:w="500" w:type="dxa"/>
            <w:vAlign w:val="bottom"/>
            <w:tcBorders>
              <w:bottom w:val="single" w:sz="8" w:color="959595"/>
            </w:tcBorders>
          </w:tcPr>
          <w:p>
            <w:pPr>
              <w:spacing w:after="0"/>
              <w:rPr>
                <w:sz w:val="3"/>
                <w:szCs w:val="3"/>
                <w:color w:val="auto"/>
              </w:rPr>
            </w:pPr>
          </w:p>
        </w:tc>
      </w:tr>
      <w:tr>
        <w:trPr>
          <w:trHeight w:val="195"/>
        </w:trPr>
        <w:tc>
          <w:tcPr>
            <w:tcW w:w="7080" w:type="dxa"/>
            <w:vAlign w:val="bottom"/>
          </w:tcPr>
          <w:p>
            <w:pPr>
              <w:ind w:left="80"/>
              <w:spacing w:after="0"/>
              <w:rPr>
                <w:sz w:val="20"/>
                <w:szCs w:val="20"/>
                <w:color w:val="auto"/>
              </w:rPr>
            </w:pPr>
            <w:r>
              <w:rPr>
                <w:rFonts w:ascii="Arial" w:cs="Arial" w:eastAsia="Arial" w:hAnsi="Arial"/>
                <w:sz w:val="13"/>
                <w:szCs w:val="13"/>
                <w:color w:val="auto"/>
              </w:rPr>
              <w:t>Stephanie A. Streeter</w:t>
            </w:r>
          </w:p>
        </w:tc>
        <w:tc>
          <w:tcPr>
            <w:tcW w:w="3660" w:type="dxa"/>
            <w:vAlign w:val="bottom"/>
          </w:tcPr>
          <w:p>
            <w:pPr>
              <w:jc w:val="right"/>
              <w:ind w:right="333"/>
              <w:spacing w:after="0"/>
              <w:rPr>
                <w:sz w:val="20"/>
                <w:szCs w:val="20"/>
                <w:color w:val="auto"/>
              </w:rPr>
            </w:pPr>
            <w:r>
              <w:rPr>
                <w:rFonts w:ascii="Arial" w:cs="Arial" w:eastAsia="Arial" w:hAnsi="Arial"/>
                <w:sz w:val="13"/>
                <w:szCs w:val="13"/>
                <w:color w:val="auto"/>
              </w:rPr>
              <w:t>4,963</w:t>
            </w:r>
          </w:p>
        </w:tc>
        <w:tc>
          <w:tcPr>
            <w:tcW w:w="500" w:type="dxa"/>
            <w:vAlign w:val="bottom"/>
          </w:tcPr>
          <w:p>
            <w:pPr>
              <w:jc w:val="right"/>
              <w:ind w:right="13"/>
              <w:spacing w:after="0"/>
              <w:rPr>
                <w:sz w:val="20"/>
                <w:szCs w:val="20"/>
                <w:color w:val="auto"/>
              </w:rPr>
            </w:pPr>
            <w:r>
              <w:rPr>
                <w:rFonts w:ascii="Arial" w:cs="Arial" w:eastAsia="Arial" w:hAnsi="Arial"/>
                <w:sz w:val="13"/>
                <w:szCs w:val="13"/>
                <w:color w:val="auto"/>
              </w:rPr>
              <w:t>*</w:t>
            </w:r>
          </w:p>
        </w:tc>
      </w:tr>
      <w:tr>
        <w:trPr>
          <w:trHeight w:val="41"/>
        </w:trPr>
        <w:tc>
          <w:tcPr>
            <w:tcW w:w="7080" w:type="dxa"/>
            <w:vAlign w:val="bottom"/>
            <w:tcBorders>
              <w:bottom w:val="single" w:sz="8" w:color="959595"/>
            </w:tcBorders>
          </w:tcPr>
          <w:p>
            <w:pPr>
              <w:spacing w:after="0"/>
              <w:rPr>
                <w:sz w:val="3"/>
                <w:szCs w:val="3"/>
                <w:color w:val="auto"/>
              </w:rPr>
            </w:pPr>
          </w:p>
        </w:tc>
        <w:tc>
          <w:tcPr>
            <w:tcW w:w="3660" w:type="dxa"/>
            <w:vAlign w:val="bottom"/>
            <w:tcBorders>
              <w:bottom w:val="single" w:sz="8" w:color="959595"/>
            </w:tcBorders>
          </w:tcPr>
          <w:p>
            <w:pPr>
              <w:spacing w:after="0"/>
              <w:rPr>
                <w:sz w:val="3"/>
                <w:szCs w:val="3"/>
                <w:color w:val="auto"/>
              </w:rPr>
            </w:pPr>
          </w:p>
        </w:tc>
        <w:tc>
          <w:tcPr>
            <w:tcW w:w="500" w:type="dxa"/>
            <w:vAlign w:val="bottom"/>
            <w:tcBorders>
              <w:bottom w:val="single" w:sz="8" w:color="959595"/>
            </w:tcBorders>
          </w:tcPr>
          <w:p>
            <w:pPr>
              <w:spacing w:after="0"/>
              <w:rPr>
                <w:sz w:val="3"/>
                <w:szCs w:val="3"/>
                <w:color w:val="auto"/>
              </w:rPr>
            </w:pPr>
          </w:p>
        </w:tc>
      </w:tr>
      <w:tr>
        <w:trPr>
          <w:trHeight w:val="195"/>
        </w:trPr>
        <w:tc>
          <w:tcPr>
            <w:tcW w:w="7080" w:type="dxa"/>
            <w:vAlign w:val="bottom"/>
          </w:tcPr>
          <w:p>
            <w:pPr>
              <w:ind w:left="80"/>
              <w:spacing w:after="0"/>
              <w:rPr>
                <w:sz w:val="20"/>
                <w:szCs w:val="20"/>
                <w:color w:val="auto"/>
              </w:rPr>
            </w:pPr>
            <w:r>
              <w:rPr>
                <w:rFonts w:ascii="Arial" w:cs="Arial" w:eastAsia="Arial" w:hAnsi="Arial"/>
                <w:sz w:val="13"/>
                <w:szCs w:val="13"/>
                <w:b w:val="1"/>
                <w:bCs w:val="1"/>
                <w:i w:val="1"/>
                <w:iCs w:val="1"/>
                <w:color w:val="auto"/>
              </w:rPr>
              <w:t>Named Executive Officers:</w:t>
            </w:r>
          </w:p>
        </w:tc>
        <w:tc>
          <w:tcPr>
            <w:tcW w:w="366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1"/>
        </w:trPr>
        <w:tc>
          <w:tcPr>
            <w:tcW w:w="7080" w:type="dxa"/>
            <w:vAlign w:val="bottom"/>
            <w:tcBorders>
              <w:bottom w:val="single" w:sz="8" w:color="959595"/>
            </w:tcBorders>
          </w:tcPr>
          <w:p>
            <w:pPr>
              <w:spacing w:after="0"/>
              <w:rPr>
                <w:sz w:val="3"/>
                <w:szCs w:val="3"/>
                <w:color w:val="auto"/>
              </w:rPr>
            </w:pPr>
          </w:p>
        </w:tc>
        <w:tc>
          <w:tcPr>
            <w:tcW w:w="3660" w:type="dxa"/>
            <w:vAlign w:val="bottom"/>
            <w:tcBorders>
              <w:bottom w:val="single" w:sz="8" w:color="959595"/>
            </w:tcBorders>
          </w:tcPr>
          <w:p>
            <w:pPr>
              <w:spacing w:after="0"/>
              <w:rPr>
                <w:sz w:val="3"/>
                <w:szCs w:val="3"/>
                <w:color w:val="auto"/>
              </w:rPr>
            </w:pPr>
          </w:p>
        </w:tc>
        <w:tc>
          <w:tcPr>
            <w:tcW w:w="500" w:type="dxa"/>
            <w:vAlign w:val="bottom"/>
            <w:tcBorders>
              <w:bottom w:val="single" w:sz="8" w:color="959595"/>
            </w:tcBorders>
          </w:tcPr>
          <w:p>
            <w:pPr>
              <w:spacing w:after="0"/>
              <w:rPr>
                <w:sz w:val="3"/>
                <w:szCs w:val="3"/>
                <w:color w:val="auto"/>
              </w:rPr>
            </w:pPr>
          </w:p>
        </w:tc>
      </w:tr>
      <w:tr>
        <w:trPr>
          <w:trHeight w:val="195"/>
        </w:trPr>
        <w:tc>
          <w:tcPr>
            <w:tcW w:w="7080" w:type="dxa"/>
            <w:vAlign w:val="bottom"/>
          </w:tcPr>
          <w:p>
            <w:pPr>
              <w:ind w:left="80"/>
              <w:spacing w:after="0"/>
              <w:rPr>
                <w:sz w:val="20"/>
                <w:szCs w:val="20"/>
                <w:color w:val="auto"/>
              </w:rPr>
            </w:pPr>
            <w:r>
              <w:rPr>
                <w:rFonts w:ascii="Arial" w:cs="Arial" w:eastAsia="Arial" w:hAnsi="Arial"/>
                <w:sz w:val="13"/>
                <w:szCs w:val="13"/>
                <w:color w:val="auto"/>
              </w:rPr>
              <w:t>David V. Goeckeler</w:t>
            </w:r>
          </w:p>
        </w:tc>
        <w:tc>
          <w:tcPr>
            <w:tcW w:w="3660" w:type="dxa"/>
            <w:vAlign w:val="bottom"/>
          </w:tcPr>
          <w:p>
            <w:pPr>
              <w:jc w:val="right"/>
              <w:ind w:right="333"/>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13"/>
              <w:spacing w:after="0"/>
              <w:rPr>
                <w:sz w:val="20"/>
                <w:szCs w:val="20"/>
                <w:color w:val="auto"/>
              </w:rPr>
            </w:pPr>
            <w:r>
              <w:rPr>
                <w:rFonts w:ascii="Arial" w:cs="Arial" w:eastAsia="Arial" w:hAnsi="Arial"/>
                <w:sz w:val="13"/>
                <w:szCs w:val="13"/>
                <w:color w:val="auto"/>
              </w:rPr>
              <w:t>*</w:t>
            </w:r>
          </w:p>
        </w:tc>
      </w:tr>
      <w:tr>
        <w:trPr>
          <w:trHeight w:val="41"/>
        </w:trPr>
        <w:tc>
          <w:tcPr>
            <w:tcW w:w="7080" w:type="dxa"/>
            <w:vAlign w:val="bottom"/>
            <w:tcBorders>
              <w:bottom w:val="single" w:sz="8" w:color="959595"/>
            </w:tcBorders>
          </w:tcPr>
          <w:p>
            <w:pPr>
              <w:spacing w:after="0"/>
              <w:rPr>
                <w:sz w:val="3"/>
                <w:szCs w:val="3"/>
                <w:color w:val="auto"/>
              </w:rPr>
            </w:pPr>
          </w:p>
        </w:tc>
        <w:tc>
          <w:tcPr>
            <w:tcW w:w="3660" w:type="dxa"/>
            <w:vAlign w:val="bottom"/>
            <w:tcBorders>
              <w:bottom w:val="single" w:sz="8" w:color="959595"/>
            </w:tcBorders>
          </w:tcPr>
          <w:p>
            <w:pPr>
              <w:spacing w:after="0"/>
              <w:rPr>
                <w:sz w:val="3"/>
                <w:szCs w:val="3"/>
                <w:color w:val="auto"/>
              </w:rPr>
            </w:pPr>
          </w:p>
        </w:tc>
        <w:tc>
          <w:tcPr>
            <w:tcW w:w="500" w:type="dxa"/>
            <w:vAlign w:val="bottom"/>
            <w:tcBorders>
              <w:bottom w:val="single" w:sz="8" w:color="959595"/>
            </w:tcBorders>
          </w:tcPr>
          <w:p>
            <w:pPr>
              <w:spacing w:after="0"/>
              <w:rPr>
                <w:sz w:val="3"/>
                <w:szCs w:val="3"/>
                <w:color w:val="auto"/>
              </w:rPr>
            </w:pPr>
          </w:p>
        </w:tc>
      </w:tr>
      <w:tr>
        <w:trPr>
          <w:trHeight w:val="195"/>
        </w:trPr>
        <w:tc>
          <w:tcPr>
            <w:tcW w:w="7080" w:type="dxa"/>
            <w:vAlign w:val="bottom"/>
          </w:tcPr>
          <w:p>
            <w:pPr>
              <w:ind w:left="80"/>
              <w:spacing w:after="0"/>
              <w:rPr>
                <w:sz w:val="20"/>
                <w:szCs w:val="20"/>
                <w:color w:val="auto"/>
              </w:rPr>
            </w:pPr>
            <w:r>
              <w:rPr>
                <w:rFonts w:ascii="Arial" w:cs="Arial" w:eastAsia="Arial" w:hAnsi="Arial"/>
                <w:sz w:val="13"/>
                <w:szCs w:val="13"/>
                <w:color w:val="auto"/>
              </w:rPr>
              <w:t>Robert K. Eulau</w:t>
            </w:r>
          </w:p>
        </w:tc>
        <w:tc>
          <w:tcPr>
            <w:tcW w:w="3660" w:type="dxa"/>
            <w:vAlign w:val="bottom"/>
          </w:tcPr>
          <w:p>
            <w:pPr>
              <w:jc w:val="right"/>
              <w:ind w:right="333"/>
              <w:spacing w:after="0"/>
              <w:rPr>
                <w:sz w:val="20"/>
                <w:szCs w:val="20"/>
                <w:color w:val="auto"/>
              </w:rPr>
            </w:pPr>
            <w:r>
              <w:rPr>
                <w:rFonts w:ascii="Arial" w:cs="Arial" w:eastAsia="Arial" w:hAnsi="Arial"/>
                <w:sz w:val="13"/>
                <w:szCs w:val="13"/>
                <w:color w:val="auto"/>
              </w:rPr>
              <w:t>13,261</w:t>
            </w:r>
          </w:p>
        </w:tc>
        <w:tc>
          <w:tcPr>
            <w:tcW w:w="500" w:type="dxa"/>
            <w:vAlign w:val="bottom"/>
          </w:tcPr>
          <w:p>
            <w:pPr>
              <w:jc w:val="right"/>
              <w:ind w:right="13"/>
              <w:spacing w:after="0"/>
              <w:rPr>
                <w:sz w:val="20"/>
                <w:szCs w:val="20"/>
                <w:color w:val="auto"/>
              </w:rPr>
            </w:pPr>
            <w:r>
              <w:rPr>
                <w:rFonts w:ascii="Arial" w:cs="Arial" w:eastAsia="Arial" w:hAnsi="Arial"/>
                <w:sz w:val="13"/>
                <w:szCs w:val="13"/>
                <w:color w:val="auto"/>
              </w:rPr>
              <w:t>*</w:t>
            </w:r>
          </w:p>
        </w:tc>
      </w:tr>
      <w:tr>
        <w:trPr>
          <w:trHeight w:val="41"/>
        </w:trPr>
        <w:tc>
          <w:tcPr>
            <w:tcW w:w="7080" w:type="dxa"/>
            <w:vAlign w:val="bottom"/>
            <w:tcBorders>
              <w:bottom w:val="single" w:sz="8" w:color="959595"/>
            </w:tcBorders>
          </w:tcPr>
          <w:p>
            <w:pPr>
              <w:spacing w:after="0"/>
              <w:rPr>
                <w:sz w:val="3"/>
                <w:szCs w:val="3"/>
                <w:color w:val="auto"/>
              </w:rPr>
            </w:pPr>
          </w:p>
        </w:tc>
        <w:tc>
          <w:tcPr>
            <w:tcW w:w="3660" w:type="dxa"/>
            <w:vAlign w:val="bottom"/>
            <w:tcBorders>
              <w:bottom w:val="single" w:sz="8" w:color="959595"/>
            </w:tcBorders>
          </w:tcPr>
          <w:p>
            <w:pPr>
              <w:spacing w:after="0"/>
              <w:rPr>
                <w:sz w:val="3"/>
                <w:szCs w:val="3"/>
                <w:color w:val="auto"/>
              </w:rPr>
            </w:pPr>
          </w:p>
        </w:tc>
        <w:tc>
          <w:tcPr>
            <w:tcW w:w="500" w:type="dxa"/>
            <w:vAlign w:val="bottom"/>
            <w:tcBorders>
              <w:bottom w:val="single" w:sz="8" w:color="959595"/>
            </w:tcBorders>
          </w:tcPr>
          <w:p>
            <w:pPr>
              <w:spacing w:after="0"/>
              <w:rPr>
                <w:sz w:val="3"/>
                <w:szCs w:val="3"/>
                <w:color w:val="auto"/>
              </w:rPr>
            </w:pPr>
          </w:p>
        </w:tc>
      </w:tr>
      <w:tr>
        <w:trPr>
          <w:trHeight w:val="290"/>
        </w:trPr>
        <w:tc>
          <w:tcPr>
            <w:tcW w:w="7080" w:type="dxa"/>
            <w:vAlign w:val="bottom"/>
            <w:tcBorders>
              <w:bottom w:val="single" w:sz="8" w:color="959595"/>
            </w:tcBorders>
          </w:tcPr>
          <w:p>
            <w:pPr>
              <w:ind w:left="80"/>
              <w:spacing w:after="0"/>
              <w:rPr>
                <w:sz w:val="20"/>
                <w:szCs w:val="20"/>
                <w:color w:val="auto"/>
              </w:rPr>
            </w:pPr>
            <w:r>
              <w:rPr>
                <w:rFonts w:ascii="Arial" w:cs="Arial" w:eastAsia="Arial" w:hAnsi="Arial"/>
                <w:sz w:val="13"/>
                <w:szCs w:val="13"/>
                <w:color w:val="auto"/>
              </w:rPr>
              <w:t>Srinivasan Sivaram</w:t>
            </w:r>
            <w:r>
              <w:rPr>
                <w:rFonts w:ascii="Arial" w:cs="Arial" w:eastAsia="Arial" w:hAnsi="Arial"/>
                <w:sz w:val="22"/>
                <w:szCs w:val="22"/>
                <w:color w:val="auto"/>
                <w:vertAlign w:val="superscript"/>
              </w:rPr>
              <w:t>(7)</w:t>
            </w:r>
          </w:p>
        </w:tc>
        <w:tc>
          <w:tcPr>
            <w:tcW w:w="3660" w:type="dxa"/>
            <w:vAlign w:val="bottom"/>
            <w:tcBorders>
              <w:bottom w:val="single" w:sz="8" w:color="959595"/>
            </w:tcBorders>
          </w:tcPr>
          <w:p>
            <w:pPr>
              <w:jc w:val="right"/>
              <w:ind w:right="333"/>
              <w:spacing w:after="0"/>
              <w:rPr>
                <w:sz w:val="20"/>
                <w:szCs w:val="20"/>
                <w:color w:val="auto"/>
              </w:rPr>
            </w:pPr>
            <w:r>
              <w:rPr>
                <w:rFonts w:ascii="Arial" w:cs="Arial" w:eastAsia="Arial" w:hAnsi="Arial"/>
                <w:sz w:val="13"/>
                <w:szCs w:val="13"/>
                <w:color w:val="auto"/>
              </w:rPr>
              <w:t>137,470</w:t>
            </w:r>
          </w:p>
        </w:tc>
        <w:tc>
          <w:tcPr>
            <w:tcW w:w="50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r>
      <w:tr>
        <w:trPr>
          <w:trHeight w:val="291"/>
        </w:trPr>
        <w:tc>
          <w:tcPr>
            <w:tcW w:w="7080" w:type="dxa"/>
            <w:vAlign w:val="bottom"/>
            <w:tcBorders>
              <w:bottom w:val="single" w:sz="8" w:color="959595"/>
            </w:tcBorders>
          </w:tcPr>
          <w:p>
            <w:pPr>
              <w:ind w:left="80"/>
              <w:spacing w:after="0"/>
              <w:rPr>
                <w:sz w:val="20"/>
                <w:szCs w:val="20"/>
                <w:color w:val="auto"/>
              </w:rPr>
            </w:pPr>
            <w:r>
              <w:rPr>
                <w:rFonts w:ascii="Arial" w:cs="Arial" w:eastAsia="Arial" w:hAnsi="Arial"/>
                <w:sz w:val="13"/>
                <w:szCs w:val="13"/>
                <w:color w:val="auto"/>
              </w:rPr>
              <w:t>Michael C. Ray</w:t>
            </w:r>
            <w:r>
              <w:rPr>
                <w:rFonts w:ascii="Arial" w:cs="Arial" w:eastAsia="Arial" w:hAnsi="Arial"/>
                <w:sz w:val="22"/>
                <w:szCs w:val="22"/>
                <w:color w:val="auto"/>
                <w:vertAlign w:val="superscript"/>
              </w:rPr>
              <w:t>(7)</w:t>
            </w:r>
          </w:p>
        </w:tc>
        <w:tc>
          <w:tcPr>
            <w:tcW w:w="3660" w:type="dxa"/>
            <w:vAlign w:val="bottom"/>
            <w:tcBorders>
              <w:bottom w:val="single" w:sz="8" w:color="959595"/>
            </w:tcBorders>
          </w:tcPr>
          <w:p>
            <w:pPr>
              <w:jc w:val="right"/>
              <w:ind w:right="333"/>
              <w:spacing w:after="0"/>
              <w:rPr>
                <w:sz w:val="20"/>
                <w:szCs w:val="20"/>
                <w:color w:val="auto"/>
              </w:rPr>
            </w:pPr>
            <w:r>
              <w:rPr>
                <w:rFonts w:ascii="Arial" w:cs="Arial" w:eastAsia="Arial" w:hAnsi="Arial"/>
                <w:sz w:val="13"/>
                <w:szCs w:val="13"/>
                <w:color w:val="auto"/>
              </w:rPr>
              <w:t>58,724</w:t>
            </w:r>
          </w:p>
        </w:tc>
        <w:tc>
          <w:tcPr>
            <w:tcW w:w="50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r>
      <w:tr>
        <w:trPr>
          <w:trHeight w:val="195"/>
        </w:trPr>
        <w:tc>
          <w:tcPr>
            <w:tcW w:w="7080" w:type="dxa"/>
            <w:vAlign w:val="bottom"/>
          </w:tcPr>
          <w:p>
            <w:pPr>
              <w:ind w:left="80"/>
              <w:spacing w:after="0"/>
              <w:rPr>
                <w:sz w:val="20"/>
                <w:szCs w:val="20"/>
                <w:color w:val="auto"/>
              </w:rPr>
            </w:pPr>
            <w:r>
              <w:rPr>
                <w:rFonts w:ascii="Arial" w:cs="Arial" w:eastAsia="Arial" w:hAnsi="Arial"/>
                <w:sz w:val="13"/>
                <w:szCs w:val="13"/>
                <w:color w:val="auto"/>
              </w:rPr>
              <w:t>Lori S. Sundberg</w:t>
            </w:r>
          </w:p>
        </w:tc>
        <w:tc>
          <w:tcPr>
            <w:tcW w:w="3660" w:type="dxa"/>
            <w:vAlign w:val="bottom"/>
          </w:tcPr>
          <w:p>
            <w:pPr>
              <w:jc w:val="right"/>
              <w:ind w:right="333"/>
              <w:spacing w:after="0"/>
              <w:rPr>
                <w:sz w:val="20"/>
                <w:szCs w:val="20"/>
                <w:color w:val="auto"/>
              </w:rPr>
            </w:pPr>
            <w:r>
              <w:rPr>
                <w:rFonts w:ascii="Arial" w:cs="Arial" w:eastAsia="Arial" w:hAnsi="Arial"/>
                <w:sz w:val="13"/>
                <w:szCs w:val="13"/>
                <w:color w:val="auto"/>
              </w:rPr>
              <w:t>10,278</w:t>
            </w:r>
          </w:p>
        </w:tc>
        <w:tc>
          <w:tcPr>
            <w:tcW w:w="500" w:type="dxa"/>
            <w:vAlign w:val="bottom"/>
          </w:tcPr>
          <w:p>
            <w:pPr>
              <w:jc w:val="right"/>
              <w:ind w:right="13"/>
              <w:spacing w:after="0"/>
              <w:rPr>
                <w:sz w:val="20"/>
                <w:szCs w:val="20"/>
                <w:color w:val="auto"/>
              </w:rPr>
            </w:pPr>
            <w:r>
              <w:rPr>
                <w:rFonts w:ascii="Arial" w:cs="Arial" w:eastAsia="Arial" w:hAnsi="Arial"/>
                <w:sz w:val="13"/>
                <w:szCs w:val="13"/>
                <w:color w:val="auto"/>
              </w:rPr>
              <w:t>*</w:t>
            </w:r>
          </w:p>
        </w:tc>
      </w:tr>
      <w:tr>
        <w:trPr>
          <w:trHeight w:val="41"/>
        </w:trPr>
        <w:tc>
          <w:tcPr>
            <w:tcW w:w="7080" w:type="dxa"/>
            <w:vAlign w:val="bottom"/>
            <w:tcBorders>
              <w:bottom w:val="single" w:sz="8" w:color="959595"/>
            </w:tcBorders>
          </w:tcPr>
          <w:p>
            <w:pPr>
              <w:spacing w:after="0"/>
              <w:rPr>
                <w:sz w:val="3"/>
                <w:szCs w:val="3"/>
                <w:color w:val="auto"/>
              </w:rPr>
            </w:pPr>
          </w:p>
        </w:tc>
        <w:tc>
          <w:tcPr>
            <w:tcW w:w="3660" w:type="dxa"/>
            <w:vAlign w:val="bottom"/>
            <w:tcBorders>
              <w:bottom w:val="single" w:sz="8" w:color="959595"/>
            </w:tcBorders>
          </w:tcPr>
          <w:p>
            <w:pPr>
              <w:spacing w:after="0"/>
              <w:rPr>
                <w:sz w:val="3"/>
                <w:szCs w:val="3"/>
                <w:color w:val="auto"/>
              </w:rPr>
            </w:pPr>
          </w:p>
        </w:tc>
        <w:tc>
          <w:tcPr>
            <w:tcW w:w="500" w:type="dxa"/>
            <w:vAlign w:val="bottom"/>
            <w:tcBorders>
              <w:bottom w:val="single" w:sz="8" w:color="959595"/>
            </w:tcBorders>
          </w:tcPr>
          <w:p>
            <w:pPr>
              <w:spacing w:after="0"/>
              <w:rPr>
                <w:sz w:val="3"/>
                <w:szCs w:val="3"/>
                <w:color w:val="auto"/>
              </w:rPr>
            </w:pPr>
          </w:p>
        </w:tc>
      </w:tr>
      <w:tr>
        <w:trPr>
          <w:trHeight w:val="290"/>
        </w:trPr>
        <w:tc>
          <w:tcPr>
            <w:tcW w:w="7080" w:type="dxa"/>
            <w:vAlign w:val="bottom"/>
            <w:tcBorders>
              <w:bottom w:val="single" w:sz="8" w:color="959595"/>
            </w:tcBorders>
          </w:tcPr>
          <w:p>
            <w:pPr>
              <w:ind w:left="80"/>
              <w:spacing w:after="0"/>
              <w:rPr>
                <w:sz w:val="20"/>
                <w:szCs w:val="20"/>
                <w:color w:val="auto"/>
              </w:rPr>
            </w:pPr>
            <w:r>
              <w:rPr>
                <w:rFonts w:ascii="Arial" w:cs="Arial" w:eastAsia="Arial" w:hAnsi="Arial"/>
                <w:sz w:val="13"/>
                <w:szCs w:val="13"/>
                <w:color w:val="auto"/>
              </w:rPr>
              <w:t>Stephen D. Milligan</w:t>
            </w:r>
            <w:r>
              <w:rPr>
                <w:rFonts w:ascii="Arial" w:cs="Arial" w:eastAsia="Arial" w:hAnsi="Arial"/>
                <w:sz w:val="22"/>
                <w:szCs w:val="22"/>
                <w:color w:val="auto"/>
                <w:vertAlign w:val="superscript"/>
              </w:rPr>
              <w:t>(7)(8)</w:t>
            </w:r>
          </w:p>
        </w:tc>
        <w:tc>
          <w:tcPr>
            <w:tcW w:w="3660" w:type="dxa"/>
            <w:vAlign w:val="bottom"/>
            <w:tcBorders>
              <w:bottom w:val="single" w:sz="8" w:color="959595"/>
            </w:tcBorders>
          </w:tcPr>
          <w:p>
            <w:pPr>
              <w:jc w:val="right"/>
              <w:ind w:right="333"/>
              <w:spacing w:after="0"/>
              <w:rPr>
                <w:sz w:val="20"/>
                <w:szCs w:val="20"/>
                <w:color w:val="auto"/>
              </w:rPr>
            </w:pPr>
            <w:r>
              <w:rPr>
                <w:rFonts w:ascii="Arial" w:cs="Arial" w:eastAsia="Arial" w:hAnsi="Arial"/>
                <w:sz w:val="13"/>
                <w:szCs w:val="13"/>
                <w:color w:val="auto"/>
              </w:rPr>
              <w:t>574,380</w:t>
            </w:r>
          </w:p>
        </w:tc>
        <w:tc>
          <w:tcPr>
            <w:tcW w:w="50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r>
      <w:tr>
        <w:trPr>
          <w:trHeight w:val="290"/>
        </w:trPr>
        <w:tc>
          <w:tcPr>
            <w:tcW w:w="7080" w:type="dxa"/>
            <w:vAlign w:val="bottom"/>
            <w:tcBorders>
              <w:bottom w:val="single" w:sz="8" w:color="959595"/>
            </w:tcBorders>
          </w:tcPr>
          <w:p>
            <w:pPr>
              <w:ind w:left="80"/>
              <w:spacing w:after="0"/>
              <w:rPr>
                <w:sz w:val="20"/>
                <w:szCs w:val="20"/>
                <w:color w:val="auto"/>
              </w:rPr>
            </w:pPr>
            <w:r>
              <w:rPr>
                <w:rFonts w:ascii="Arial" w:cs="Arial" w:eastAsia="Arial" w:hAnsi="Arial"/>
                <w:sz w:val="13"/>
                <w:szCs w:val="13"/>
                <w:color w:val="auto"/>
              </w:rPr>
              <w:t>Michael D. Cordano</w:t>
            </w:r>
            <w:r>
              <w:rPr>
                <w:rFonts w:ascii="Arial" w:cs="Arial" w:eastAsia="Arial" w:hAnsi="Arial"/>
                <w:sz w:val="22"/>
                <w:szCs w:val="22"/>
                <w:color w:val="auto"/>
                <w:vertAlign w:val="superscript"/>
              </w:rPr>
              <w:t>(7)</w:t>
            </w:r>
          </w:p>
        </w:tc>
        <w:tc>
          <w:tcPr>
            <w:tcW w:w="3660" w:type="dxa"/>
            <w:vAlign w:val="bottom"/>
            <w:tcBorders>
              <w:bottom w:val="single" w:sz="8" w:color="959595"/>
            </w:tcBorders>
          </w:tcPr>
          <w:p>
            <w:pPr>
              <w:jc w:val="right"/>
              <w:ind w:right="333"/>
              <w:spacing w:after="0"/>
              <w:rPr>
                <w:sz w:val="20"/>
                <w:szCs w:val="20"/>
                <w:color w:val="auto"/>
              </w:rPr>
            </w:pPr>
            <w:r>
              <w:rPr>
                <w:rFonts w:ascii="Arial" w:cs="Arial" w:eastAsia="Arial" w:hAnsi="Arial"/>
                <w:sz w:val="13"/>
                <w:szCs w:val="13"/>
                <w:color w:val="auto"/>
              </w:rPr>
              <w:t>370,010</w:t>
            </w:r>
          </w:p>
        </w:tc>
        <w:tc>
          <w:tcPr>
            <w:tcW w:w="50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r>
      <w:tr>
        <w:trPr>
          <w:trHeight w:val="291"/>
        </w:trPr>
        <w:tc>
          <w:tcPr>
            <w:tcW w:w="7080" w:type="dxa"/>
            <w:vAlign w:val="bottom"/>
            <w:tcBorders>
              <w:bottom w:val="single" w:sz="8" w:color="959595"/>
            </w:tcBorders>
          </w:tcPr>
          <w:p>
            <w:pPr>
              <w:ind w:left="80"/>
              <w:spacing w:after="0"/>
              <w:rPr>
                <w:sz w:val="20"/>
                <w:szCs w:val="20"/>
                <w:color w:val="auto"/>
              </w:rPr>
            </w:pPr>
            <w:r>
              <w:rPr>
                <w:rFonts w:ascii="Arial" w:cs="Arial" w:eastAsia="Arial" w:hAnsi="Arial"/>
                <w:sz w:val="13"/>
                <w:szCs w:val="13"/>
                <w:color w:val="auto"/>
              </w:rPr>
              <w:t>All Directors and Current Executive Officers as a group (14 persons)</w:t>
            </w:r>
            <w:r>
              <w:rPr>
                <w:rFonts w:ascii="Arial" w:cs="Arial" w:eastAsia="Arial" w:hAnsi="Arial"/>
                <w:sz w:val="22"/>
                <w:szCs w:val="22"/>
                <w:color w:val="auto"/>
                <w:vertAlign w:val="superscript"/>
              </w:rPr>
              <w:t>(9)</w:t>
            </w:r>
          </w:p>
        </w:tc>
        <w:tc>
          <w:tcPr>
            <w:tcW w:w="3660" w:type="dxa"/>
            <w:vAlign w:val="bottom"/>
            <w:tcBorders>
              <w:bottom w:val="single" w:sz="8" w:color="959595"/>
            </w:tcBorders>
          </w:tcPr>
          <w:p>
            <w:pPr>
              <w:jc w:val="right"/>
              <w:ind w:right="333"/>
              <w:spacing w:after="0"/>
              <w:rPr>
                <w:sz w:val="20"/>
                <w:szCs w:val="20"/>
                <w:color w:val="auto"/>
              </w:rPr>
            </w:pPr>
            <w:r>
              <w:rPr>
                <w:rFonts w:ascii="Arial" w:cs="Arial" w:eastAsia="Arial" w:hAnsi="Arial"/>
                <w:sz w:val="13"/>
                <w:szCs w:val="13"/>
                <w:color w:val="auto"/>
              </w:rPr>
              <w:t>356,938</w:t>
            </w:r>
          </w:p>
        </w:tc>
        <w:tc>
          <w:tcPr>
            <w:tcW w:w="50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r>
    </w:tbl>
    <w:p>
      <w:pPr>
        <w:spacing w:after="0" w:line="106" w:lineRule="exact"/>
        <w:rPr>
          <w:sz w:val="20"/>
          <w:szCs w:val="20"/>
          <w:color w:val="auto"/>
        </w:rPr>
      </w:pPr>
    </w:p>
    <w:p>
      <w:pPr>
        <w:ind w:left="300" w:hanging="292"/>
        <w:spacing w:after="0"/>
        <w:tabs>
          <w:tab w:leader="none" w:pos="300" w:val="left"/>
        </w:tabs>
        <w:numPr>
          <w:ilvl w:val="0"/>
          <w:numId w:val="221"/>
        </w:numPr>
        <w:rPr>
          <w:rFonts w:ascii="Arial" w:cs="Arial" w:eastAsia="Arial" w:hAnsi="Arial"/>
          <w:sz w:val="13"/>
          <w:szCs w:val="13"/>
          <w:color w:val="auto"/>
        </w:rPr>
      </w:pPr>
      <w:r>
        <w:rPr>
          <w:rFonts w:ascii="Arial" w:cs="Arial" w:eastAsia="Arial" w:hAnsi="Arial"/>
          <w:sz w:val="13"/>
          <w:szCs w:val="13"/>
          <w:color w:val="auto"/>
        </w:rPr>
        <w:t>Represents less than 1% of the outstanding shares of our common stock.</w:t>
      </w:r>
    </w:p>
    <w:p>
      <w:pPr>
        <w:ind w:left="300" w:right="60" w:hanging="292"/>
        <w:spacing w:after="0"/>
        <w:tabs>
          <w:tab w:leader="none" w:pos="300" w:val="left"/>
        </w:tabs>
        <w:numPr>
          <w:ilvl w:val="0"/>
          <w:numId w:val="222"/>
        </w:numPr>
        <w:rPr>
          <w:rFonts w:ascii="Arial" w:cs="Arial" w:eastAsia="Arial" w:hAnsi="Arial"/>
          <w:sz w:val="11"/>
          <w:szCs w:val="11"/>
          <w:color w:val="auto"/>
        </w:rPr>
      </w:pPr>
      <w:r>
        <w:rPr>
          <w:rFonts w:ascii="Arial" w:cs="Arial" w:eastAsia="Arial" w:hAnsi="Arial"/>
          <w:sz w:val="13"/>
          <w:szCs w:val="13"/>
          <w:color w:val="auto"/>
        </w:rPr>
        <w:t>We determine beneficial ownership in accordance with SEC rules. We deem shares subject to options that are exercisable as of or within 60 days after September 4, 2020 as well as shares subject to RSU awards scheduled to vest within 60 days after September 4, 2020 as outstanding for purposes of computing the share amount and the percentage ownership of the person holding such awards, but we do not deem them outstanding for purposes of computing the percentage ownership of any other person. We also deem shares representing deferred stock units credited to accounts in our Deferred Compensation Plan as of September 4, 2020 as outstanding for purposes of computing the share amount and the percentage ownership of the person to whose account those stock units are credited, but we do not deem them outstanding for purposes of computing the percentage ownership of any other person.</w:t>
      </w:r>
    </w:p>
    <w:p>
      <w:pPr>
        <w:spacing w:after="0" w:line="143" w:lineRule="exact"/>
        <w:rPr>
          <w:rFonts w:ascii="Arial" w:cs="Arial" w:eastAsia="Arial" w:hAnsi="Arial"/>
          <w:sz w:val="11"/>
          <w:szCs w:val="11"/>
          <w:color w:val="auto"/>
        </w:rPr>
      </w:pPr>
    </w:p>
    <w:p>
      <w:pPr>
        <w:jc w:val="both"/>
        <w:ind w:left="300" w:right="260" w:hanging="292"/>
        <w:spacing w:after="0" w:line="248" w:lineRule="auto"/>
        <w:tabs>
          <w:tab w:leader="none" w:pos="300" w:val="left"/>
        </w:tabs>
        <w:numPr>
          <w:ilvl w:val="0"/>
          <w:numId w:val="222"/>
        </w:numPr>
        <w:rPr>
          <w:rFonts w:ascii="Arial" w:cs="Arial" w:eastAsia="Arial" w:hAnsi="Arial"/>
          <w:sz w:val="11"/>
          <w:szCs w:val="11"/>
          <w:color w:val="auto"/>
        </w:rPr>
      </w:pPr>
      <w:r>
        <w:rPr>
          <w:rFonts w:ascii="Arial" w:cs="Arial" w:eastAsia="Arial" w:hAnsi="Arial"/>
          <w:sz w:val="13"/>
          <w:szCs w:val="13"/>
          <w:color w:val="auto"/>
        </w:rPr>
        <w:t>Except as otherwise noted below, we determine applicable percentage ownership based on 304,213,726 shares of our common stock outstanding as of September 4, 2020. To our knowledge, except as otherwise indicated in the footnotes to this table and subject to applicable community property laws, each stockholder named in the table has sole voting and investment power with respect to the shares set forth opposite such stockholder’s name.</w:t>
      </w:r>
    </w:p>
    <w:p>
      <w:pPr>
        <w:spacing w:after="0" w:line="194" w:lineRule="exact"/>
        <w:rPr>
          <w:sz w:val="20"/>
          <w:szCs w:val="20"/>
          <w:color w:val="auto"/>
        </w:rPr>
      </w:pPr>
    </w:p>
    <w:p>
      <w:pPr>
        <w:ind w:left="440" w:hanging="432"/>
        <w:spacing w:after="0"/>
        <w:tabs>
          <w:tab w:leader="none" w:pos="440" w:val="left"/>
        </w:tabs>
        <w:numPr>
          <w:ilvl w:val="0"/>
          <w:numId w:val="223"/>
        </w:numPr>
        <w:rPr>
          <w:rFonts w:ascii="Arial" w:cs="Arial" w:eastAsia="Arial" w:hAnsi="Arial"/>
          <w:sz w:val="18"/>
          <w:szCs w:val="18"/>
          <w:b w:val="1"/>
          <w:bCs w:val="1"/>
          <w:color w:val="23628F"/>
        </w:rPr>
      </w:pPr>
      <w:r>
        <w:rPr>
          <w:rFonts w:ascii="Arial" w:cs="Arial" w:eastAsia="Arial" w:hAnsi="Arial"/>
          <w:sz w:val="13"/>
          <w:szCs w:val="13"/>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153275" cy="209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8" w:name="page99"/>
    <w:bookmarkEnd w:id="98"/>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right"/>
        <w:spacing w:after="0"/>
        <w:rPr>
          <w:sz w:val="20"/>
          <w:szCs w:val="20"/>
          <w:color w:val="auto"/>
        </w:rPr>
      </w:pPr>
      <w:r>
        <w:rPr>
          <w:rFonts w:ascii="Arial" w:cs="Arial" w:eastAsia="Arial" w:hAnsi="Arial"/>
          <w:sz w:val="13"/>
          <w:szCs w:val="13"/>
          <w:color w:val="23628F"/>
        </w:rPr>
        <w:t>STOCK OWNERSHIP INFORMATION</w:t>
      </w:r>
    </w:p>
    <w:p>
      <w:pPr>
        <w:spacing w:after="0" w:line="215" w:lineRule="exact"/>
        <w:rPr>
          <w:sz w:val="20"/>
          <w:szCs w:val="20"/>
          <w:color w:val="auto"/>
        </w:rPr>
      </w:pPr>
    </w:p>
    <w:p>
      <w:pPr>
        <w:ind w:left="300" w:right="140" w:hanging="292"/>
        <w:spacing w:after="0"/>
        <w:tabs>
          <w:tab w:leader="none" w:pos="300" w:val="left"/>
        </w:tabs>
        <w:numPr>
          <w:ilvl w:val="0"/>
          <w:numId w:val="224"/>
        </w:numPr>
        <w:rPr>
          <w:rFonts w:ascii="Arial" w:cs="Arial" w:eastAsia="Arial" w:hAnsi="Arial"/>
          <w:sz w:val="11"/>
          <w:szCs w:val="11"/>
          <w:color w:val="auto"/>
        </w:rPr>
      </w:pPr>
      <w:r>
        <w:rPr>
          <w:rFonts w:ascii="Arial" w:cs="Arial" w:eastAsia="Arial" w:hAnsi="Arial"/>
          <w:sz w:val="13"/>
          <w:szCs w:val="13"/>
          <w:color w:val="auto"/>
        </w:rPr>
        <w:t>Beneficial and percentage ownership information is based on information contained in a Schedule 13G/A filed with the SEC on February 12, 2020, by The Vanguard Group (“Vanguard”). According to the schedule, as of December 31, 2019, Vanguard has: sole voting power with respect to 444,120 shares: shared voting power with respect to 82,812 shares; sole dispositive power with respect to 34,915,841 shares; and shared dispositive power with respect to 497,367 shares. Vanguard Fiduciary Trust Company, a wholly owned subsidiary of The Vanguard Group, Inc., is the beneficial owner of 336,600 shares as a result of its serving as investment manager of collective trust accounts. Vanguard Investments Australia, Ltd., a wholly owned subsidiary of The Vanguard Group, Inc., is the beneficial owner of 263,296 shares as a result of its serving as investment manager of Australian investment offerings.</w:t>
      </w:r>
    </w:p>
    <w:p>
      <w:pPr>
        <w:spacing w:after="0" w:line="143" w:lineRule="exact"/>
        <w:rPr>
          <w:rFonts w:ascii="Arial" w:cs="Arial" w:eastAsia="Arial" w:hAnsi="Arial"/>
          <w:sz w:val="11"/>
          <w:szCs w:val="11"/>
          <w:color w:val="auto"/>
        </w:rPr>
      </w:pPr>
    </w:p>
    <w:p>
      <w:pPr>
        <w:ind w:left="300" w:right="180" w:hanging="292"/>
        <w:spacing w:after="0"/>
        <w:tabs>
          <w:tab w:leader="none" w:pos="300" w:val="left"/>
        </w:tabs>
        <w:numPr>
          <w:ilvl w:val="0"/>
          <w:numId w:val="224"/>
        </w:numPr>
        <w:rPr>
          <w:rFonts w:ascii="Arial" w:cs="Arial" w:eastAsia="Arial" w:hAnsi="Arial"/>
          <w:sz w:val="11"/>
          <w:szCs w:val="11"/>
          <w:color w:val="auto"/>
        </w:rPr>
      </w:pPr>
      <w:r>
        <w:rPr>
          <w:rFonts w:ascii="Arial" w:cs="Arial" w:eastAsia="Arial" w:hAnsi="Arial"/>
          <w:sz w:val="13"/>
          <w:szCs w:val="13"/>
          <w:color w:val="auto"/>
        </w:rPr>
        <w:t>Beneficial and percentage ownership information is based on information contained in a Schedule 13G/A filed with the SEC on February 10, 2020, by BlackRock, Inc. (“BlackRock”). According to the schedule, as of December 31, 2019, BlackRock has sole voting power with respect to 23,030,122 shares and sole dispositive power with respect to 25,733,171 shares.</w:t>
      </w:r>
    </w:p>
    <w:p>
      <w:pPr>
        <w:spacing w:after="0" w:line="146" w:lineRule="exact"/>
        <w:rPr>
          <w:rFonts w:ascii="Arial" w:cs="Arial" w:eastAsia="Arial" w:hAnsi="Arial"/>
          <w:sz w:val="11"/>
          <w:szCs w:val="11"/>
          <w:color w:val="auto"/>
        </w:rPr>
      </w:pPr>
    </w:p>
    <w:p>
      <w:pPr>
        <w:ind w:left="300" w:right="20" w:hanging="292"/>
        <w:spacing w:after="0" w:line="238" w:lineRule="auto"/>
        <w:tabs>
          <w:tab w:leader="none" w:pos="300" w:val="left"/>
        </w:tabs>
        <w:numPr>
          <w:ilvl w:val="0"/>
          <w:numId w:val="224"/>
        </w:numPr>
        <w:rPr>
          <w:rFonts w:ascii="Arial" w:cs="Arial" w:eastAsia="Arial" w:hAnsi="Arial"/>
          <w:sz w:val="11"/>
          <w:szCs w:val="11"/>
          <w:color w:val="auto"/>
        </w:rPr>
      </w:pPr>
      <w:r>
        <w:rPr>
          <w:rFonts w:ascii="Arial" w:cs="Arial" w:eastAsia="Arial" w:hAnsi="Arial"/>
          <w:sz w:val="13"/>
          <w:szCs w:val="13"/>
          <w:color w:val="auto"/>
        </w:rPr>
        <w:t>Includes 29,188 shares representing deferred stock units credited to Ms. Cote’s account in our Deferred Compensation Plan as of September 4, 2020. Deferred stock units are payable in an equivalent number of shares of our common stock in connection with the retirement or other separation from service of the director, or earlier in connection with the director’s deferral election.</w:t>
      </w:r>
    </w:p>
    <w:p>
      <w:pPr>
        <w:ind w:left="300" w:hanging="292"/>
        <w:spacing w:after="0"/>
        <w:tabs>
          <w:tab w:leader="none" w:pos="300" w:val="left"/>
        </w:tabs>
        <w:numPr>
          <w:ilvl w:val="0"/>
          <w:numId w:val="224"/>
        </w:numPr>
        <w:rPr>
          <w:rFonts w:ascii="Arial" w:cs="Arial" w:eastAsia="Arial" w:hAnsi="Arial"/>
          <w:sz w:val="11"/>
          <w:szCs w:val="11"/>
          <w:color w:val="auto"/>
        </w:rPr>
      </w:pPr>
      <w:r>
        <w:rPr>
          <w:rFonts w:ascii="Arial" w:cs="Arial" w:eastAsia="Arial" w:hAnsi="Arial"/>
          <w:sz w:val="13"/>
          <w:szCs w:val="13"/>
          <w:color w:val="auto"/>
        </w:rPr>
        <w:t>Includes 283 shares held in a family trust account in which Mr. Doluca has voting and/or investment power.</w:t>
      </w:r>
    </w:p>
    <w:p>
      <w:pPr>
        <w:spacing w:after="0" w:line="12" w:lineRule="exact"/>
        <w:rPr>
          <w:rFonts w:ascii="Arial" w:cs="Arial" w:eastAsia="Arial" w:hAnsi="Arial"/>
          <w:sz w:val="11"/>
          <w:szCs w:val="11"/>
          <w:color w:val="auto"/>
        </w:rPr>
      </w:pPr>
    </w:p>
    <w:p>
      <w:pPr>
        <w:jc w:val="both"/>
        <w:ind w:left="300" w:right="60" w:hanging="292"/>
        <w:spacing w:after="0" w:line="238" w:lineRule="auto"/>
        <w:tabs>
          <w:tab w:leader="none" w:pos="300" w:val="left"/>
        </w:tabs>
        <w:numPr>
          <w:ilvl w:val="0"/>
          <w:numId w:val="224"/>
        </w:numPr>
        <w:rPr>
          <w:rFonts w:ascii="Arial" w:cs="Arial" w:eastAsia="Arial" w:hAnsi="Arial"/>
          <w:sz w:val="11"/>
          <w:szCs w:val="11"/>
          <w:color w:val="auto"/>
        </w:rPr>
      </w:pPr>
      <w:r>
        <w:rPr>
          <w:rFonts w:ascii="Arial" w:cs="Arial" w:eastAsia="Arial" w:hAnsi="Arial"/>
          <w:sz w:val="13"/>
          <w:szCs w:val="13"/>
          <w:color w:val="auto"/>
        </w:rPr>
        <w:t>Includes shares of our common stock that may be acquired as of or within 60 days after September 4, 2020 through the exercise of stock options as follows: Dr. Sivaram (43,986); Mr. Ray (45,005); Mr. Milligan (327,228); and Mr. Cordano (256,502). Includes 30,523 shares of our common stock that may be acquired by Dr. Sivaram within 60 days after September 4, 2020 through the vesting of RSUs.</w:t>
      </w:r>
    </w:p>
    <w:p>
      <w:pPr>
        <w:ind w:left="300" w:right="160" w:hanging="292"/>
        <w:spacing w:after="0"/>
        <w:tabs>
          <w:tab w:leader="none" w:pos="300" w:val="left"/>
        </w:tabs>
        <w:numPr>
          <w:ilvl w:val="0"/>
          <w:numId w:val="224"/>
        </w:numPr>
        <w:rPr>
          <w:rFonts w:ascii="Arial" w:cs="Arial" w:eastAsia="Arial" w:hAnsi="Arial"/>
          <w:sz w:val="11"/>
          <w:szCs w:val="11"/>
          <w:color w:val="auto"/>
        </w:rPr>
      </w:pPr>
      <w:r>
        <w:rPr>
          <w:rFonts w:ascii="Arial" w:cs="Arial" w:eastAsia="Arial" w:hAnsi="Arial"/>
          <w:sz w:val="13"/>
          <w:szCs w:val="13"/>
          <w:color w:val="auto"/>
        </w:rPr>
        <w:t>Mr. Milligan stepped down as our Chief Executive Officer effective in March 2020. The amount beneficially owned by Mr. Milligan is based on information contained in the last Form 4 filed by Mr. Milligan with the SEC prior to the date he stepped down in March 2020, adjusted to give effect to subsequent transactions through September 4, 2020 of which we are aware in connection with employment-related equity awards. This figure includes 246,278 shares held in a family trust account in which Mr. Milligan has voting and/or investment power.</w:t>
      </w:r>
    </w:p>
    <w:p>
      <w:pPr>
        <w:spacing w:after="0" w:line="145" w:lineRule="exact"/>
        <w:rPr>
          <w:rFonts w:ascii="Arial" w:cs="Arial" w:eastAsia="Arial" w:hAnsi="Arial"/>
          <w:sz w:val="11"/>
          <w:szCs w:val="11"/>
          <w:color w:val="auto"/>
        </w:rPr>
      </w:pPr>
    </w:p>
    <w:p>
      <w:pPr>
        <w:ind w:left="300" w:right="40" w:hanging="292"/>
        <w:spacing w:after="0" w:line="248" w:lineRule="auto"/>
        <w:tabs>
          <w:tab w:leader="none" w:pos="300" w:val="left"/>
        </w:tabs>
        <w:numPr>
          <w:ilvl w:val="0"/>
          <w:numId w:val="224"/>
        </w:numPr>
        <w:rPr>
          <w:rFonts w:ascii="Arial" w:cs="Arial" w:eastAsia="Arial" w:hAnsi="Arial"/>
          <w:sz w:val="11"/>
          <w:szCs w:val="11"/>
          <w:color w:val="auto"/>
        </w:rPr>
      </w:pPr>
      <w:r>
        <w:rPr>
          <w:rFonts w:ascii="Arial" w:cs="Arial" w:eastAsia="Arial" w:hAnsi="Arial"/>
          <w:sz w:val="13"/>
          <w:szCs w:val="13"/>
          <w:color w:val="auto"/>
        </w:rPr>
        <w:t>Includes 88,991 shares of our common stock that may be acquired as of or within 60 days after September 4, 2020 through the exercise of stock options by our directors and our current executive officers. Includes 30,523 shares of our common stock that may be acquired within 60 days after September 4, 2020 through the vesting of RSUs by our directors and our current executive officers. Also includes 29,188 shares of our common stock representing deferred stock units as described in footnote 5 above.</w:t>
      </w:r>
    </w:p>
    <w:p>
      <w:pPr>
        <w:spacing w:after="0" w:line="167" w:lineRule="exact"/>
        <w:rPr>
          <w:sz w:val="20"/>
          <w:szCs w:val="20"/>
          <w:color w:val="auto"/>
        </w:rPr>
      </w:pPr>
    </w:p>
    <w:p>
      <w:pPr>
        <w:spacing w:after="0"/>
        <w:rPr>
          <w:sz w:val="20"/>
          <w:szCs w:val="20"/>
          <w:color w:val="auto"/>
        </w:rPr>
      </w:pPr>
      <w:r>
        <w:rPr>
          <w:rFonts w:ascii="Arial" w:cs="Arial" w:eastAsia="Arial" w:hAnsi="Arial"/>
          <w:sz w:val="31"/>
          <w:szCs w:val="31"/>
          <w:b w:val="1"/>
          <w:bCs w:val="1"/>
          <w:color w:val="567EA5"/>
        </w:rPr>
        <w:t>DELINQUENT SECTION 16(a) REPORTS</w:t>
      </w:r>
    </w:p>
    <w:p>
      <w:pPr>
        <w:spacing w:after="0" w:line="255" w:lineRule="exact"/>
        <w:rPr>
          <w:sz w:val="20"/>
          <w:szCs w:val="20"/>
          <w:color w:val="auto"/>
        </w:rPr>
      </w:pPr>
    </w:p>
    <w:p>
      <w:pPr>
        <w:spacing w:after="0" w:line="243" w:lineRule="auto"/>
        <w:rPr>
          <w:sz w:val="20"/>
          <w:szCs w:val="20"/>
          <w:color w:val="auto"/>
        </w:rPr>
      </w:pPr>
      <w:r>
        <w:rPr>
          <w:rFonts w:ascii="Arial" w:cs="Arial" w:eastAsia="Arial" w:hAnsi="Arial"/>
          <w:sz w:val="13"/>
          <w:szCs w:val="13"/>
          <w:color w:val="auto"/>
        </w:rPr>
        <w:t>Under the securities laws of the U.S., our directors and officers and persons who beneficially own more than 10% of our common stock must report their initial ownership of our equity securities and any subsequent changes in that ownership to the SEC and The Nasdaq Stock Market. The SEC has established specific due dates for these reports, and we must disclose in this Proxy Statement any late filings during fiscal 2020. To our knowledge, based solely on our review of the copies of such reports filed electronically with the SEC for fiscal 2020 and the written responses to annual directors’ and officers’ questionnaires that no other reports were required, all of these reports were timely filed during and with respect to fiscal 2020, except for one Form 4 filed by Ms. Cote on June 15, 2020, which reported one transaction occurring on May 6, 2020.</w:t>
      </w:r>
    </w:p>
    <w:p>
      <w:pPr>
        <w:spacing w:after="0" w:line="18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23628F"/>
        </w:rPr>
        <w:t>2020 PROXY STATEMENT</w:t>
      </w:r>
      <w:r>
        <w:rPr>
          <w:sz w:val="20"/>
          <w:szCs w:val="20"/>
          <w:color w:val="auto"/>
        </w:rPr>
        <w:tab/>
      </w:r>
      <w:r>
        <w:rPr>
          <w:rFonts w:ascii="Arial" w:cs="Arial" w:eastAsia="Arial" w:hAnsi="Arial"/>
          <w:sz w:val="16"/>
          <w:szCs w:val="16"/>
          <w:b w:val="1"/>
          <w:bCs w:val="1"/>
          <w:color w:val="23628F"/>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153275" cy="209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Arial" w:cs="Arial" w:eastAsia="Arial" w:hAnsi="Arial"/>
          <w:sz w:val="50"/>
          <w:szCs w:val="50"/>
          <w:b w:val="1"/>
          <w:bCs w:val="1"/>
          <w:color w:val="23628F"/>
        </w:rPr>
        <w:t>Equity Plan Proposal</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432"/>
        </w:trPr>
        <w:tc>
          <w:tcPr>
            <w:tcW w:w="2280" w:type="dxa"/>
            <w:vAlign w:val="bottom"/>
            <w:shd w:val="clear" w:color="auto" w:fill="23628F"/>
          </w:tcPr>
          <w:p>
            <w:pPr>
              <w:ind w:left="280"/>
              <w:spacing w:after="0"/>
              <w:rPr>
                <w:sz w:val="20"/>
                <w:szCs w:val="20"/>
                <w:color w:val="auto"/>
              </w:rPr>
            </w:pPr>
            <w:r>
              <w:rPr>
                <w:rFonts w:ascii="Arial" w:cs="Arial" w:eastAsia="Arial" w:hAnsi="Arial"/>
                <w:sz w:val="29"/>
                <w:szCs w:val="29"/>
                <w:b w:val="1"/>
                <w:bCs w:val="1"/>
                <w:color w:val="FFFFFF"/>
              </w:rPr>
              <w:t>PROPOSAL 3</w:t>
            </w:r>
          </w:p>
        </w:tc>
        <w:tc>
          <w:tcPr>
            <w:tcW w:w="8960" w:type="dxa"/>
            <w:vAlign w:val="bottom"/>
            <w:shd w:val="clear" w:color="auto" w:fill="23628F"/>
          </w:tcPr>
          <w:p>
            <w:pPr>
              <w:ind w:left="140"/>
              <w:spacing w:after="0"/>
              <w:rPr>
                <w:sz w:val="20"/>
                <w:szCs w:val="20"/>
                <w:color w:val="auto"/>
              </w:rPr>
            </w:pPr>
            <w:r>
              <w:rPr>
                <w:rFonts w:ascii="Arial" w:cs="Arial" w:eastAsia="Arial" w:hAnsi="Arial"/>
                <w:sz w:val="22"/>
                <w:szCs w:val="22"/>
                <w:b w:val="1"/>
                <w:bCs w:val="1"/>
                <w:color w:val="FFFFFF"/>
              </w:rPr>
              <w:t>APPROVAL OF THE AMENDMENT AND RESTATEMENT OF OUR 2017</w:t>
            </w:r>
          </w:p>
        </w:tc>
      </w:tr>
      <w:tr>
        <w:trPr>
          <w:trHeight w:val="197"/>
        </w:trPr>
        <w:tc>
          <w:tcPr>
            <w:tcW w:w="2280" w:type="dxa"/>
            <w:vAlign w:val="bottom"/>
            <w:shd w:val="clear" w:color="auto" w:fill="23628F"/>
          </w:tcPr>
          <w:p>
            <w:pPr>
              <w:spacing w:after="0"/>
              <w:rPr>
                <w:sz w:val="17"/>
                <w:szCs w:val="17"/>
                <w:color w:val="auto"/>
              </w:rPr>
            </w:pPr>
          </w:p>
        </w:tc>
        <w:tc>
          <w:tcPr>
            <w:tcW w:w="8960" w:type="dxa"/>
            <w:vAlign w:val="bottom"/>
            <w:shd w:val="clear" w:color="auto" w:fill="23628F"/>
          </w:tcPr>
          <w:p>
            <w:pPr>
              <w:ind w:left="140"/>
              <w:spacing w:after="0" w:line="197" w:lineRule="exact"/>
              <w:rPr>
                <w:sz w:val="20"/>
                <w:szCs w:val="20"/>
                <w:color w:val="auto"/>
              </w:rPr>
            </w:pPr>
            <w:r>
              <w:rPr>
                <w:rFonts w:ascii="Arial" w:cs="Arial" w:eastAsia="Arial" w:hAnsi="Arial"/>
                <w:sz w:val="22"/>
                <w:szCs w:val="22"/>
                <w:b w:val="1"/>
                <w:bCs w:val="1"/>
                <w:color w:val="FFFFFF"/>
              </w:rPr>
              <w:t>PERFORMANCE INCENTIVE PLAN TO INCREASE BY 9.8 MILLION THE NUMBER</w:t>
            </w:r>
          </w:p>
        </w:tc>
      </w:tr>
      <w:tr>
        <w:trPr>
          <w:trHeight w:val="243"/>
        </w:trPr>
        <w:tc>
          <w:tcPr>
            <w:tcW w:w="2280" w:type="dxa"/>
            <w:vAlign w:val="bottom"/>
            <w:shd w:val="clear" w:color="auto" w:fill="23628F"/>
          </w:tcPr>
          <w:p>
            <w:pPr>
              <w:spacing w:after="0"/>
              <w:rPr>
                <w:sz w:val="21"/>
                <w:szCs w:val="21"/>
                <w:color w:val="auto"/>
              </w:rPr>
            </w:pPr>
          </w:p>
        </w:tc>
        <w:tc>
          <w:tcPr>
            <w:tcW w:w="8960" w:type="dxa"/>
            <w:vAlign w:val="bottom"/>
            <w:shd w:val="clear" w:color="auto" w:fill="23628F"/>
          </w:tcPr>
          <w:p>
            <w:pPr>
              <w:ind w:left="140"/>
              <w:spacing w:after="0" w:line="243" w:lineRule="exact"/>
              <w:rPr>
                <w:sz w:val="20"/>
                <w:szCs w:val="20"/>
                <w:color w:val="auto"/>
              </w:rPr>
            </w:pPr>
            <w:r>
              <w:rPr>
                <w:rFonts w:ascii="Arial" w:cs="Arial" w:eastAsia="Arial" w:hAnsi="Arial"/>
                <w:sz w:val="22"/>
                <w:szCs w:val="22"/>
                <w:b w:val="1"/>
                <w:bCs w:val="1"/>
                <w:color w:val="FFFFFF"/>
              </w:rPr>
              <w:t>OF SHARES OF OUR COMMON STOCK AVAILABLE FOR ISSUANCE UNDER THAT</w:t>
            </w:r>
          </w:p>
        </w:tc>
      </w:tr>
      <w:tr>
        <w:trPr>
          <w:trHeight w:val="285"/>
        </w:trPr>
        <w:tc>
          <w:tcPr>
            <w:tcW w:w="2280" w:type="dxa"/>
            <w:vAlign w:val="bottom"/>
            <w:shd w:val="clear" w:color="auto" w:fill="23628F"/>
          </w:tcPr>
          <w:p>
            <w:pPr>
              <w:spacing w:after="0"/>
              <w:rPr>
                <w:sz w:val="24"/>
                <w:szCs w:val="24"/>
                <w:color w:val="auto"/>
              </w:rPr>
            </w:pPr>
          </w:p>
        </w:tc>
        <w:tc>
          <w:tcPr>
            <w:tcW w:w="8960" w:type="dxa"/>
            <w:vAlign w:val="bottom"/>
            <w:shd w:val="clear" w:color="auto" w:fill="23628F"/>
          </w:tcPr>
          <w:p>
            <w:pPr>
              <w:ind w:left="140"/>
              <w:spacing w:after="0"/>
              <w:rPr>
                <w:sz w:val="20"/>
                <w:szCs w:val="20"/>
                <w:color w:val="auto"/>
              </w:rPr>
            </w:pPr>
            <w:r>
              <w:rPr>
                <w:rFonts w:ascii="Arial" w:cs="Arial" w:eastAsia="Arial" w:hAnsi="Arial"/>
                <w:sz w:val="22"/>
                <w:szCs w:val="22"/>
                <w:b w:val="1"/>
                <w:bCs w:val="1"/>
                <w:color w:val="FFFFFF"/>
              </w:rPr>
              <w:t>PLAN</w:t>
            </w:r>
          </w:p>
        </w:tc>
      </w:tr>
      <w:tr>
        <w:trPr>
          <w:trHeight w:val="98"/>
        </w:trPr>
        <w:tc>
          <w:tcPr>
            <w:tcW w:w="2280" w:type="dxa"/>
            <w:vAlign w:val="bottom"/>
            <w:shd w:val="clear" w:color="auto" w:fill="23628F"/>
          </w:tcPr>
          <w:p>
            <w:pPr>
              <w:spacing w:after="0"/>
              <w:rPr>
                <w:sz w:val="8"/>
                <w:szCs w:val="8"/>
                <w:color w:val="auto"/>
              </w:rPr>
            </w:pPr>
          </w:p>
        </w:tc>
        <w:tc>
          <w:tcPr>
            <w:tcW w:w="8960" w:type="dxa"/>
            <w:vAlign w:val="bottom"/>
            <w:shd w:val="clear" w:color="auto" w:fill="23628F"/>
          </w:tcPr>
          <w:p>
            <w:pPr>
              <w:spacing w:after="0"/>
              <w:rPr>
                <w:sz w:val="8"/>
                <w:szCs w:val="8"/>
                <w:color w:val="auto"/>
              </w:rPr>
            </w:pPr>
          </w:p>
        </w:tc>
      </w:tr>
      <w:tr>
        <w:trPr>
          <w:trHeight w:val="216"/>
        </w:trPr>
        <w:tc>
          <w:tcPr>
            <w:tcW w:w="2280" w:type="dxa"/>
            <w:vAlign w:val="bottom"/>
            <w:shd w:val="clear" w:color="auto" w:fill="6AC0AE"/>
          </w:tcPr>
          <w:p>
            <w:pPr>
              <w:spacing w:after="0"/>
              <w:rPr>
                <w:sz w:val="18"/>
                <w:szCs w:val="18"/>
                <w:color w:val="auto"/>
              </w:rPr>
            </w:pPr>
          </w:p>
        </w:tc>
        <w:tc>
          <w:tcPr>
            <w:tcW w:w="8960" w:type="dxa"/>
            <w:vAlign w:val="bottom"/>
            <w:shd w:val="clear" w:color="auto" w:fill="6AC0AE"/>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385445" cy="3771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385445" cy="377190"/>
                    </a:xfrm>
                    <a:prstGeom prst="rect">
                      <a:avLst/>
                    </a:prstGeom>
                    <a:noFill/>
                  </pic:spPr>
                </pic:pic>
              </a:graphicData>
            </a:graphic>
          </wp:anchor>
        </w:drawing>
      </w:r>
    </w:p>
    <w:p>
      <w:pPr>
        <w:spacing w:after="0" w:line="314" w:lineRule="exact"/>
        <w:rPr>
          <w:sz w:val="20"/>
          <w:szCs w:val="20"/>
          <w:color w:val="auto"/>
        </w:rPr>
      </w:pPr>
    </w:p>
    <w:p>
      <w:pPr>
        <w:ind w:left="720"/>
        <w:spacing w:after="0"/>
        <w:rPr>
          <w:sz w:val="20"/>
          <w:szCs w:val="20"/>
          <w:color w:val="auto"/>
        </w:rPr>
      </w:pPr>
      <w:r>
        <w:rPr>
          <w:rFonts w:ascii="Arial" w:cs="Arial" w:eastAsia="Arial" w:hAnsi="Arial"/>
          <w:sz w:val="13"/>
          <w:szCs w:val="13"/>
          <w:color w:val="auto"/>
        </w:rPr>
        <w:t xml:space="preserve">Our Board of Directors recommends a vote </w:t>
      </w:r>
      <w:r>
        <w:rPr>
          <w:rFonts w:ascii="Arial" w:cs="Arial" w:eastAsia="Arial" w:hAnsi="Arial"/>
          <w:sz w:val="13"/>
          <w:szCs w:val="13"/>
          <w:b w:val="1"/>
          <w:bCs w:val="1"/>
          <w:color w:val="61C4AF"/>
        </w:rPr>
        <w:t>FOR</w:t>
      </w:r>
      <w:r>
        <w:rPr>
          <w:rFonts w:ascii="Arial" w:cs="Arial" w:eastAsia="Arial" w:hAnsi="Arial"/>
          <w:sz w:val="13"/>
          <w:szCs w:val="13"/>
          <w:color w:val="auto"/>
        </w:rPr>
        <w:t xml:space="preserve"> this Proposal 3 to approve the amendment and restatement of our 2017 Performance Incentive Plan.</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3"/>
          <w:szCs w:val="13"/>
          <w:color w:val="auto"/>
        </w:rPr>
        <w:t>At the Annual Meeting, stockholders will be asked to approve an amendment and restatement of the Western Digital Corporation Amended and Restated 2017 Performance Incentive Plan.</w:t>
      </w:r>
    </w:p>
    <w:p>
      <w:pPr>
        <w:spacing w:after="0"/>
        <w:rPr>
          <w:sz w:val="20"/>
          <w:szCs w:val="20"/>
          <w:color w:val="auto"/>
        </w:rPr>
      </w:pPr>
      <w:r>
        <w:rPr>
          <w:rFonts w:ascii="Arial" w:cs="Arial" w:eastAsia="Arial" w:hAnsi="Arial"/>
          <w:sz w:val="13"/>
          <w:szCs w:val="13"/>
          <w:color w:val="auto"/>
        </w:rPr>
        <w:t>The amended and restated version of our 2017 Performance Incentive Plan was adopted, subject to stockholder approval, by our Board on August 11, 2020 (the “Effective Date”).</w:t>
      </w:r>
    </w:p>
    <w:p>
      <w:pPr>
        <w:spacing w:after="0" w:line="242" w:lineRule="exact"/>
        <w:rPr>
          <w:sz w:val="20"/>
          <w:szCs w:val="20"/>
          <w:color w:val="auto"/>
        </w:rPr>
      </w:pPr>
    </w:p>
    <w:p>
      <w:pPr>
        <w:ind w:left="240" w:hanging="232"/>
        <w:spacing w:after="0"/>
        <w:tabs>
          <w:tab w:leader="none" w:pos="240" w:val="left"/>
        </w:tabs>
        <w:numPr>
          <w:ilvl w:val="0"/>
          <w:numId w:val="225"/>
        </w:numPr>
        <w:rPr>
          <w:rFonts w:ascii="Arial" w:cs="Arial" w:eastAsia="Arial" w:hAnsi="Arial"/>
          <w:sz w:val="13"/>
          <w:szCs w:val="13"/>
          <w:color w:val="61C4AF"/>
        </w:rPr>
      </w:pPr>
      <w:r>
        <w:rPr>
          <w:rFonts w:ascii="Arial" w:cs="Arial" w:eastAsia="Arial" w:hAnsi="Arial"/>
          <w:sz w:val="13"/>
          <w:szCs w:val="13"/>
          <w:color w:val="auto"/>
        </w:rPr>
        <w:t>We are seeking to increase shares available for issuance under our 2017 Performance Incentive Plan by 9.8 million shares to allow for continued use of equity incentives</w:t>
      </w:r>
    </w:p>
    <w:p>
      <w:pPr>
        <w:spacing w:after="0" w:line="107" w:lineRule="exact"/>
        <w:rPr>
          <w:rFonts w:ascii="Arial" w:cs="Arial" w:eastAsia="Arial" w:hAnsi="Arial"/>
          <w:sz w:val="13"/>
          <w:szCs w:val="13"/>
          <w:color w:val="61C4AF"/>
        </w:rPr>
      </w:pPr>
    </w:p>
    <w:p>
      <w:pPr>
        <w:ind w:left="240" w:hanging="232"/>
        <w:spacing w:after="0"/>
        <w:tabs>
          <w:tab w:leader="none" w:pos="240" w:val="left"/>
        </w:tabs>
        <w:numPr>
          <w:ilvl w:val="0"/>
          <w:numId w:val="225"/>
        </w:numPr>
        <w:rPr>
          <w:rFonts w:ascii="Arial" w:cs="Arial" w:eastAsia="Arial" w:hAnsi="Arial"/>
          <w:sz w:val="13"/>
          <w:szCs w:val="13"/>
          <w:color w:val="61C4AF"/>
        </w:rPr>
      </w:pPr>
      <w:r>
        <w:rPr>
          <w:rFonts w:ascii="Arial" w:cs="Arial" w:eastAsia="Arial" w:hAnsi="Arial"/>
          <w:sz w:val="13"/>
          <w:szCs w:val="13"/>
          <w:color w:val="auto"/>
        </w:rPr>
        <w:t>This is a broad-based equity incentive plan: approximately 83% of equity awards granted under our 2017 Performance Incentive Plan in fiscal 2020 were to non-executive officers</w:t>
      </w:r>
    </w:p>
    <w:p>
      <w:pPr>
        <w:spacing w:after="0" w:line="107" w:lineRule="exact"/>
        <w:rPr>
          <w:rFonts w:ascii="Arial" w:cs="Arial" w:eastAsia="Arial" w:hAnsi="Arial"/>
          <w:sz w:val="13"/>
          <w:szCs w:val="13"/>
          <w:color w:val="61C4AF"/>
        </w:rPr>
      </w:pPr>
    </w:p>
    <w:p>
      <w:pPr>
        <w:ind w:left="240" w:right="80" w:hanging="232"/>
        <w:spacing w:after="0" w:line="258" w:lineRule="auto"/>
        <w:tabs>
          <w:tab w:leader="none" w:pos="240" w:val="left"/>
        </w:tabs>
        <w:numPr>
          <w:ilvl w:val="0"/>
          <w:numId w:val="225"/>
        </w:numPr>
        <w:rPr>
          <w:rFonts w:ascii="Arial" w:cs="Arial" w:eastAsia="Arial" w:hAnsi="Arial"/>
          <w:sz w:val="13"/>
          <w:szCs w:val="13"/>
          <w:color w:val="61C4AF"/>
        </w:rPr>
      </w:pPr>
      <w:r>
        <w:rPr>
          <w:rFonts w:ascii="Arial" w:cs="Arial" w:eastAsia="Arial" w:hAnsi="Arial"/>
          <w:sz w:val="13"/>
          <w:szCs w:val="13"/>
          <w:color w:val="auto"/>
        </w:rPr>
        <w:t>The additional shares, together with the shares currently available for future grants, are expected to cover grants for approximately one year based on current grant practices and other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13232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1" w:lineRule="exact"/>
        <w:rPr>
          <w:sz w:val="20"/>
          <w:szCs w:val="20"/>
          <w:color w:val="auto"/>
        </w:rPr>
      </w:pPr>
    </w:p>
    <w:p>
      <w:pPr>
        <w:jc w:val="both"/>
        <w:ind w:right="120"/>
        <w:spacing w:after="0" w:line="248" w:lineRule="auto"/>
        <w:rPr>
          <w:sz w:val="20"/>
          <w:szCs w:val="20"/>
          <w:color w:val="auto"/>
        </w:rPr>
      </w:pPr>
      <w:r>
        <w:rPr>
          <w:rFonts w:ascii="Arial" w:cs="Arial" w:eastAsia="Arial" w:hAnsi="Arial"/>
          <w:sz w:val="13"/>
          <w:szCs w:val="13"/>
          <w:color w:val="auto"/>
        </w:rPr>
        <w:t>We believe that equity awards are critical to attracting and retaining the most talented employees in our industry. Stockholder approval of the proposed amendment and restatement of our 2017 Performance Incentive Plan will allow us to continue to provide these important incentives. Under applicable listing rules, we may not increase our 2017 Performance Incentive Plan share limit without stockholder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1234440" cy="6858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34440" cy="68580"/>
                    </a:xfrm>
                    <a:prstGeom prst="rect">
                      <a:avLst/>
                    </a:prstGeom>
                    <a:noFill/>
                  </pic:spPr>
                </pic:pic>
              </a:graphicData>
            </a:graphic>
          </wp:anchor>
        </w:drawing>
      </w:r>
    </w:p>
    <w:p>
      <w:pPr>
        <w:spacing w:after="0" w:line="302"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OVERVIEW AND RATIONALE</w:t>
      </w:r>
    </w:p>
    <w:p>
      <w:pPr>
        <w:spacing w:after="0" w:line="252" w:lineRule="exact"/>
        <w:rPr>
          <w:sz w:val="20"/>
          <w:szCs w:val="20"/>
          <w:color w:val="auto"/>
        </w:rPr>
      </w:pPr>
    </w:p>
    <w:p>
      <w:pPr>
        <w:spacing w:after="0"/>
        <w:rPr>
          <w:sz w:val="20"/>
          <w:szCs w:val="20"/>
          <w:color w:val="auto"/>
        </w:rPr>
      </w:pPr>
      <w:r>
        <w:rPr>
          <w:rFonts w:ascii="Arial" w:cs="Arial" w:eastAsia="Arial" w:hAnsi="Arial"/>
          <w:sz w:val="13"/>
          <w:szCs w:val="13"/>
          <w:color w:val="auto"/>
        </w:rPr>
        <w:t>Equity incentives are a significant component of our compensation programs for our named executive officers and our broader employee population.</w:t>
      </w:r>
    </w:p>
    <w:p>
      <w:pPr>
        <w:spacing w:after="0" w:line="182"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Broad-Based Equity Program Supports Talent Retention</w:t>
      </w:r>
    </w:p>
    <w:p>
      <w:pPr>
        <w:spacing w:after="0" w:line="257" w:lineRule="exact"/>
        <w:rPr>
          <w:sz w:val="20"/>
          <w:szCs w:val="20"/>
          <w:color w:val="auto"/>
        </w:rPr>
      </w:pPr>
    </w:p>
    <w:p>
      <w:pPr>
        <w:spacing w:after="0" w:line="245" w:lineRule="auto"/>
        <w:rPr>
          <w:sz w:val="20"/>
          <w:szCs w:val="20"/>
          <w:color w:val="auto"/>
        </w:rPr>
      </w:pPr>
      <w:r>
        <w:rPr>
          <w:rFonts w:ascii="Arial" w:cs="Arial" w:eastAsia="Arial" w:hAnsi="Arial"/>
          <w:sz w:val="13"/>
          <w:szCs w:val="13"/>
          <w:color w:val="auto"/>
        </w:rPr>
        <w:t>Under this broad-based equity compensation plan, approximately 83% of awards in fiscal 2020 were granted to employees other than our named executive officers. Further, a majority of equity awards granted in fiscal 2020 were awarded to our engineers, who are integral to maintaining our market leadership and innovation. All of our full-time employees, all members of our Board of Directors and certain consultants and advisors to our company are eligible to receive equity awards under our 2017 Performance Incentive Plan, as determined by the plan administrator. Equity incentives are a core component of our competitive compensation program and help us to retain key talent throughout our company.</w:t>
      </w:r>
    </w:p>
    <w:p>
      <w:pPr>
        <w:spacing w:after="0" w:line="166"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Alignment of Named Executive Officer Interests with Stockholder Interests</w:t>
      </w:r>
    </w:p>
    <w:p>
      <w:pPr>
        <w:spacing w:after="0" w:line="257" w:lineRule="exact"/>
        <w:rPr>
          <w:sz w:val="20"/>
          <w:szCs w:val="20"/>
          <w:color w:val="auto"/>
        </w:rPr>
      </w:pPr>
    </w:p>
    <w:p>
      <w:pPr>
        <w:ind w:right="120"/>
        <w:spacing w:after="0" w:line="241" w:lineRule="auto"/>
        <w:rPr>
          <w:sz w:val="20"/>
          <w:szCs w:val="20"/>
          <w:color w:val="auto"/>
        </w:rPr>
      </w:pPr>
      <w:r>
        <w:rPr>
          <w:rFonts w:ascii="Arial" w:cs="Arial" w:eastAsia="Arial" w:hAnsi="Arial"/>
          <w:sz w:val="13"/>
          <w:szCs w:val="13"/>
          <w:color w:val="auto"/>
        </w:rPr>
        <w:t>Equity awards represented approximately 79% of the target total direct compensation of our former Chief Executive Officer in fiscal 2020, approximately 78% of the target total direct compensation of our current Chief Executive Officer in fiscal 2021, and 72% on average of the target total direct compensation of our other named executive officers in fiscal 2020. Under our fiscal 2020 LTI program for our named executive officers (other than Mr. Goeckeler), at least 50% of the approved value of target awards were granted in PSUs contingent on the achievement of robust pre-established performance goals that help align management interests with those of our stockholders and reward long-term value creation. Approximately 60% of the approved value of Mr. Goeckeler’s target awards under our fiscal 2021 LTI program were granted in PSUs. For additional information on our overarching pay-for-performance philosophy and the compensation arrangements in place for our named executive officers, please see the section entitled “Executive Compensation—Compensation Discussion and Analysis.”</w:t>
      </w:r>
    </w:p>
    <w:p>
      <w:pPr>
        <w:spacing w:after="0" w:line="350" w:lineRule="exact"/>
        <w:rPr>
          <w:sz w:val="20"/>
          <w:szCs w:val="20"/>
          <w:color w:val="auto"/>
        </w:rPr>
      </w:pPr>
    </w:p>
    <w:p>
      <w:pPr>
        <w:ind w:left="440" w:hanging="432"/>
        <w:spacing w:after="0"/>
        <w:tabs>
          <w:tab w:leader="none" w:pos="440" w:val="left"/>
        </w:tabs>
        <w:numPr>
          <w:ilvl w:val="0"/>
          <w:numId w:val="226"/>
        </w:numPr>
        <w:rPr>
          <w:rFonts w:ascii="Arial" w:cs="Arial" w:eastAsia="Arial" w:hAnsi="Arial"/>
          <w:sz w:val="18"/>
          <w:szCs w:val="18"/>
          <w:b w:val="1"/>
          <w:bCs w:val="1"/>
          <w:color w:val="23628F"/>
        </w:rPr>
      </w:pPr>
      <w:r>
        <w:rPr>
          <w:rFonts w:ascii="Arial" w:cs="Arial" w:eastAsia="Arial" w:hAnsi="Arial"/>
          <w:sz w:val="13"/>
          <w:szCs w:val="13"/>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153275" cy="209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right"/>
        <w:spacing w:after="0"/>
        <w:rPr>
          <w:sz w:val="20"/>
          <w:szCs w:val="20"/>
          <w:color w:val="auto"/>
        </w:rPr>
      </w:pPr>
      <w:r>
        <w:rPr>
          <w:rFonts w:ascii="Arial" w:cs="Arial" w:eastAsia="Arial" w:hAnsi="Arial"/>
          <w:sz w:val="13"/>
          <w:szCs w:val="13"/>
          <w:color w:val="23628F"/>
        </w:rPr>
        <w:t>EQUITY PLAN PROPOSAL</w:t>
      </w:r>
    </w:p>
    <w:p>
      <w:pPr>
        <w:spacing w:after="0" w:line="182"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Our Granting Practices Provide for Prudent Use of Equity</w:t>
      </w:r>
    </w:p>
    <w:p>
      <w:pPr>
        <w:spacing w:after="0" w:line="257" w:lineRule="exact"/>
        <w:rPr>
          <w:sz w:val="20"/>
          <w:szCs w:val="20"/>
          <w:color w:val="auto"/>
        </w:rPr>
      </w:pPr>
    </w:p>
    <w:p>
      <w:pPr>
        <w:ind w:right="60"/>
        <w:spacing w:after="0" w:line="242" w:lineRule="auto"/>
        <w:rPr>
          <w:sz w:val="20"/>
          <w:szCs w:val="20"/>
          <w:color w:val="auto"/>
        </w:rPr>
      </w:pPr>
      <w:r>
        <w:rPr>
          <w:rFonts w:ascii="Arial" w:cs="Arial" w:eastAsia="Arial" w:hAnsi="Arial"/>
          <w:sz w:val="13"/>
          <w:szCs w:val="13"/>
          <w:color w:val="auto"/>
        </w:rPr>
        <w:t>Our 2017 Performance Incentive Plan authorizes the grant of equity-based compensation in the form of stock options, stock appreciation rights, stock bonuses, restricted stock, performance stock, stock units, phantom stock, dividend equivalents and similar rights, as well as cash-based awards, for the purpose of providing the members of our Board and our employees and consultants compensation, incentives and rewards for performance. Our Board monitors share usage to manage the dilutive impact of awards granted under the plan. Our 2017 Performance Incentive Plan both continues and enhances a broad range of compensation and governance best practices, with some of the key features highlighted below. These highlights are qualified in their entirety by the full text of our 2017 Performance Incentive Plan (as proposed to be amended and restated), which has been filed with the SEC as Appendix B to the version of this Proxy Statement filed with the SEC:</w:t>
      </w:r>
    </w:p>
    <w:p>
      <w:pPr>
        <w:spacing w:after="0" w:line="187" w:lineRule="exact"/>
        <w:rPr>
          <w:sz w:val="20"/>
          <w:szCs w:val="20"/>
          <w:color w:val="auto"/>
        </w:rPr>
      </w:pPr>
    </w:p>
    <w:p>
      <w:pPr>
        <w:ind w:left="240" w:right="220" w:hanging="232"/>
        <w:spacing w:after="0" w:line="284" w:lineRule="auto"/>
        <w:tabs>
          <w:tab w:leader="none" w:pos="240" w:val="left"/>
        </w:tabs>
        <w:numPr>
          <w:ilvl w:val="0"/>
          <w:numId w:val="227"/>
        </w:numPr>
        <w:rPr>
          <w:rFonts w:ascii="Arial" w:cs="Arial" w:eastAsia="Arial" w:hAnsi="Arial"/>
          <w:sz w:val="13"/>
          <w:szCs w:val="13"/>
          <w:color w:val="61C4AF"/>
        </w:rPr>
      </w:pPr>
      <w:r>
        <w:rPr>
          <w:rFonts w:ascii="Arial" w:cs="Arial" w:eastAsia="Arial" w:hAnsi="Arial"/>
          <w:sz w:val="13"/>
          <w:szCs w:val="13"/>
          <w:b w:val="1"/>
          <w:bCs w:val="1"/>
          <w:color w:val="61C4AF"/>
        </w:rPr>
        <w:t xml:space="preserve">Limitations on Grants. </w:t>
      </w:r>
      <w:r>
        <w:rPr>
          <w:rFonts w:ascii="Arial" w:cs="Arial" w:eastAsia="Arial" w:hAnsi="Arial"/>
          <w:sz w:val="13"/>
          <w:szCs w:val="13"/>
          <w:color w:val="000000"/>
        </w:rPr>
        <w:t>The maximum aggregate number of shares underlying awards granted under our 2017 Performance Incentive Plan that may be delivered to any one person</w:t>
      </w:r>
      <w:r>
        <w:rPr>
          <w:rFonts w:ascii="Arial" w:cs="Arial" w:eastAsia="Arial" w:hAnsi="Arial"/>
          <w:sz w:val="13"/>
          <w:szCs w:val="13"/>
          <w:b w:val="1"/>
          <w:bCs w:val="1"/>
          <w:color w:val="61C4AF"/>
        </w:rPr>
        <w:t xml:space="preserve"> </w:t>
      </w:r>
      <w:r>
        <w:rPr>
          <w:rFonts w:ascii="Arial" w:cs="Arial" w:eastAsia="Arial" w:hAnsi="Arial"/>
          <w:sz w:val="13"/>
          <w:szCs w:val="13"/>
          <w:color w:val="000000"/>
        </w:rPr>
        <w:t>during any calendar year with respect to stock options and stock appreciation rights is 1 million shares, subject to equitable adjustment for certain corporate transactions.</w:t>
      </w:r>
    </w:p>
    <w:p>
      <w:pPr>
        <w:spacing w:after="0" w:line="10" w:lineRule="exact"/>
        <w:rPr>
          <w:rFonts w:ascii="Arial" w:cs="Arial" w:eastAsia="Arial" w:hAnsi="Arial"/>
          <w:sz w:val="13"/>
          <w:szCs w:val="13"/>
          <w:color w:val="61C4AF"/>
        </w:rPr>
      </w:pPr>
    </w:p>
    <w:p>
      <w:pPr>
        <w:ind w:left="240" w:hanging="232"/>
        <w:spacing w:after="0" w:line="249" w:lineRule="auto"/>
        <w:tabs>
          <w:tab w:leader="none" w:pos="240" w:val="left"/>
        </w:tabs>
        <w:numPr>
          <w:ilvl w:val="0"/>
          <w:numId w:val="227"/>
        </w:numPr>
        <w:rPr>
          <w:rFonts w:ascii="Arial" w:cs="Arial" w:eastAsia="Arial" w:hAnsi="Arial"/>
          <w:sz w:val="13"/>
          <w:szCs w:val="13"/>
          <w:color w:val="61C4AF"/>
        </w:rPr>
      </w:pPr>
      <w:r>
        <w:rPr>
          <w:rFonts w:ascii="Arial" w:cs="Arial" w:eastAsia="Arial" w:hAnsi="Arial"/>
          <w:sz w:val="13"/>
          <w:szCs w:val="13"/>
          <w:b w:val="1"/>
          <w:bCs w:val="1"/>
          <w:color w:val="61C4AF"/>
        </w:rPr>
        <w:t xml:space="preserve">Director Award Limit. </w:t>
      </w:r>
      <w:r>
        <w:rPr>
          <w:rFonts w:ascii="Arial" w:cs="Arial" w:eastAsia="Arial" w:hAnsi="Arial"/>
          <w:sz w:val="13"/>
          <w:szCs w:val="13"/>
          <w:color w:val="000000"/>
        </w:rPr>
        <w:t>The value of the shares subject to awards granted under our 2017 Performance Incentive Plan to any one non-employee director in any one grant year (based</w:t>
      </w:r>
      <w:r>
        <w:rPr>
          <w:rFonts w:ascii="Arial" w:cs="Arial" w:eastAsia="Arial" w:hAnsi="Arial"/>
          <w:sz w:val="13"/>
          <w:szCs w:val="13"/>
          <w:b w:val="1"/>
          <w:bCs w:val="1"/>
          <w:color w:val="61C4AF"/>
        </w:rPr>
        <w:t xml:space="preserve"> </w:t>
      </w:r>
      <w:r>
        <w:rPr>
          <w:rFonts w:ascii="Arial" w:cs="Arial" w:eastAsia="Arial" w:hAnsi="Arial"/>
          <w:sz w:val="13"/>
          <w:szCs w:val="13"/>
          <w:color w:val="000000"/>
        </w:rPr>
        <w:t>on the fair market value of the shares on the grant date of the applicable award, using such valuation principles as determined by the plan administrator) may not exceed $900,000. This limit does not apply as to any award granted to an individual for services in a capacity other than as a non-employee director, even if such individual is, was or becomes a non-employee director. For these purposes, a “grant year” means the annual period commencing on the date of our annual meeting of stockholders and concluding on the day immediately preceding the next annual meeting of stockholders, or such other annual period as the administrator may determine in its discretion.</w:t>
      </w:r>
    </w:p>
    <w:p>
      <w:pPr>
        <w:spacing w:after="0" w:line="34" w:lineRule="exact"/>
        <w:rPr>
          <w:rFonts w:ascii="Arial" w:cs="Arial" w:eastAsia="Arial" w:hAnsi="Arial"/>
          <w:sz w:val="13"/>
          <w:szCs w:val="13"/>
          <w:color w:val="61C4AF"/>
        </w:rPr>
      </w:pPr>
    </w:p>
    <w:p>
      <w:pPr>
        <w:ind w:left="240" w:right="180" w:hanging="232"/>
        <w:spacing w:after="0" w:line="284" w:lineRule="auto"/>
        <w:tabs>
          <w:tab w:leader="none" w:pos="240" w:val="left"/>
        </w:tabs>
        <w:numPr>
          <w:ilvl w:val="0"/>
          <w:numId w:val="227"/>
        </w:numPr>
        <w:rPr>
          <w:rFonts w:ascii="Arial" w:cs="Arial" w:eastAsia="Arial" w:hAnsi="Arial"/>
          <w:sz w:val="13"/>
          <w:szCs w:val="13"/>
          <w:color w:val="61C4AF"/>
        </w:rPr>
      </w:pPr>
      <w:r>
        <w:rPr>
          <w:rFonts w:ascii="Arial" w:cs="Arial" w:eastAsia="Arial" w:hAnsi="Arial"/>
          <w:sz w:val="13"/>
          <w:szCs w:val="13"/>
          <w:b w:val="1"/>
          <w:bCs w:val="1"/>
          <w:color w:val="61C4AF"/>
        </w:rPr>
        <w:t xml:space="preserve">No Repricing of Stock Options or Stock Appreciation Rights. </w:t>
      </w:r>
      <w:r>
        <w:rPr>
          <w:rFonts w:ascii="Arial" w:cs="Arial" w:eastAsia="Arial" w:hAnsi="Arial"/>
          <w:sz w:val="13"/>
          <w:szCs w:val="13"/>
          <w:color w:val="000000"/>
        </w:rPr>
        <w:t>Without stockholder approval, we may not reprice an outstanding stock option or stock appreciation right, except for</w:t>
      </w:r>
      <w:r>
        <w:rPr>
          <w:rFonts w:ascii="Arial" w:cs="Arial" w:eastAsia="Arial" w:hAnsi="Arial"/>
          <w:sz w:val="13"/>
          <w:szCs w:val="13"/>
          <w:b w:val="1"/>
          <w:bCs w:val="1"/>
          <w:color w:val="61C4AF"/>
        </w:rPr>
        <w:t xml:space="preserve"> </w:t>
      </w:r>
      <w:r>
        <w:rPr>
          <w:rFonts w:ascii="Arial" w:cs="Arial" w:eastAsia="Arial" w:hAnsi="Arial"/>
          <w:sz w:val="13"/>
          <w:szCs w:val="13"/>
          <w:color w:val="000000"/>
        </w:rPr>
        <w:t>equitable adjustments for certain corporate transactions, as further described below.</w:t>
      </w:r>
    </w:p>
    <w:p>
      <w:pPr>
        <w:spacing w:after="0" w:line="10" w:lineRule="exact"/>
        <w:rPr>
          <w:rFonts w:ascii="Arial" w:cs="Arial" w:eastAsia="Arial" w:hAnsi="Arial"/>
          <w:sz w:val="13"/>
          <w:szCs w:val="13"/>
          <w:color w:val="61C4AF"/>
        </w:rPr>
      </w:pPr>
    </w:p>
    <w:p>
      <w:pPr>
        <w:ind w:left="240" w:right="60" w:hanging="232"/>
        <w:spacing w:after="0" w:line="284" w:lineRule="auto"/>
        <w:tabs>
          <w:tab w:leader="none" w:pos="240" w:val="left"/>
        </w:tabs>
        <w:numPr>
          <w:ilvl w:val="0"/>
          <w:numId w:val="227"/>
        </w:numPr>
        <w:rPr>
          <w:rFonts w:ascii="Arial" w:cs="Arial" w:eastAsia="Arial" w:hAnsi="Arial"/>
          <w:sz w:val="13"/>
          <w:szCs w:val="13"/>
          <w:color w:val="61C4AF"/>
        </w:rPr>
      </w:pPr>
      <w:r>
        <w:rPr>
          <w:rFonts w:ascii="Arial" w:cs="Arial" w:eastAsia="Arial" w:hAnsi="Arial"/>
          <w:sz w:val="13"/>
          <w:szCs w:val="13"/>
          <w:b w:val="1"/>
          <w:bCs w:val="1"/>
          <w:color w:val="61C4AF"/>
        </w:rPr>
        <w:t xml:space="preserve">Dividends and Dividend Equivalents Not Payable on Awards until Vesting. </w:t>
      </w:r>
      <w:r>
        <w:rPr>
          <w:rFonts w:ascii="Arial" w:cs="Arial" w:eastAsia="Arial" w:hAnsi="Arial"/>
          <w:sz w:val="13"/>
          <w:szCs w:val="13"/>
          <w:color w:val="000000"/>
        </w:rPr>
        <w:t>Dividends and dividend equivalents payable in connection with unvested awards will only be paid out to</w:t>
      </w:r>
      <w:r>
        <w:rPr>
          <w:rFonts w:ascii="Arial" w:cs="Arial" w:eastAsia="Arial" w:hAnsi="Arial"/>
          <w:sz w:val="13"/>
          <w:szCs w:val="13"/>
          <w:b w:val="1"/>
          <w:bCs w:val="1"/>
          <w:color w:val="61C4AF"/>
        </w:rPr>
        <w:t xml:space="preserve"> </w:t>
      </w:r>
      <w:r>
        <w:rPr>
          <w:rFonts w:ascii="Arial" w:cs="Arial" w:eastAsia="Arial" w:hAnsi="Arial"/>
          <w:sz w:val="13"/>
          <w:szCs w:val="13"/>
          <w:color w:val="000000"/>
        </w:rPr>
        <w:t>the extent that the vesting requirements are satisfied and the shares underlying such awards vest.</w:t>
      </w:r>
    </w:p>
    <w:p>
      <w:pPr>
        <w:spacing w:after="0" w:line="10" w:lineRule="exact"/>
        <w:rPr>
          <w:rFonts w:ascii="Arial" w:cs="Arial" w:eastAsia="Arial" w:hAnsi="Arial"/>
          <w:sz w:val="13"/>
          <w:szCs w:val="13"/>
          <w:color w:val="61C4AF"/>
        </w:rPr>
      </w:pPr>
    </w:p>
    <w:p>
      <w:pPr>
        <w:ind w:left="240" w:right="80" w:hanging="232"/>
        <w:spacing w:after="0" w:line="284" w:lineRule="auto"/>
        <w:tabs>
          <w:tab w:leader="none" w:pos="240" w:val="left"/>
        </w:tabs>
        <w:numPr>
          <w:ilvl w:val="0"/>
          <w:numId w:val="227"/>
        </w:numPr>
        <w:rPr>
          <w:rFonts w:ascii="Arial" w:cs="Arial" w:eastAsia="Arial" w:hAnsi="Arial"/>
          <w:sz w:val="13"/>
          <w:szCs w:val="13"/>
          <w:color w:val="61C4AF"/>
        </w:rPr>
      </w:pPr>
      <w:r>
        <w:rPr>
          <w:rFonts w:ascii="Arial" w:cs="Arial" w:eastAsia="Arial" w:hAnsi="Arial"/>
          <w:sz w:val="13"/>
          <w:szCs w:val="13"/>
          <w:b w:val="1"/>
          <w:bCs w:val="1"/>
          <w:color w:val="61C4AF"/>
        </w:rPr>
        <w:t xml:space="preserve">No In-the-Money Stock Option or Stock Appreciation Right Grants. </w:t>
      </w:r>
      <w:r>
        <w:rPr>
          <w:rFonts w:ascii="Arial" w:cs="Arial" w:eastAsia="Arial" w:hAnsi="Arial"/>
          <w:sz w:val="13"/>
          <w:szCs w:val="13"/>
          <w:color w:val="000000"/>
        </w:rPr>
        <w:t>Stock options and stock appreciation rights may not be granted with an exercise or base price less than the fair</w:t>
      </w:r>
      <w:r>
        <w:rPr>
          <w:rFonts w:ascii="Arial" w:cs="Arial" w:eastAsia="Arial" w:hAnsi="Arial"/>
          <w:sz w:val="13"/>
          <w:szCs w:val="13"/>
          <w:b w:val="1"/>
          <w:bCs w:val="1"/>
          <w:color w:val="61C4AF"/>
        </w:rPr>
        <w:t xml:space="preserve"> </w:t>
      </w:r>
      <w:r>
        <w:rPr>
          <w:rFonts w:ascii="Arial" w:cs="Arial" w:eastAsia="Arial" w:hAnsi="Arial"/>
          <w:sz w:val="13"/>
          <w:szCs w:val="13"/>
          <w:color w:val="000000"/>
        </w:rPr>
        <w:t>market value, generally the closing price of our common stock on the Nasdaq Stock Market on the grant date.</w:t>
      </w:r>
    </w:p>
    <w:p>
      <w:pPr>
        <w:spacing w:after="0" w:line="10" w:lineRule="exact"/>
        <w:rPr>
          <w:rFonts w:ascii="Arial" w:cs="Arial" w:eastAsia="Arial" w:hAnsi="Arial"/>
          <w:sz w:val="13"/>
          <w:szCs w:val="13"/>
          <w:color w:val="61C4AF"/>
        </w:rPr>
      </w:pPr>
    </w:p>
    <w:p>
      <w:pPr>
        <w:ind w:left="240" w:hanging="232"/>
        <w:spacing w:after="0"/>
        <w:tabs>
          <w:tab w:leader="none" w:pos="240" w:val="left"/>
        </w:tabs>
        <w:numPr>
          <w:ilvl w:val="0"/>
          <w:numId w:val="227"/>
        </w:numPr>
        <w:rPr>
          <w:rFonts w:ascii="Arial" w:cs="Arial" w:eastAsia="Arial" w:hAnsi="Arial"/>
          <w:sz w:val="13"/>
          <w:szCs w:val="13"/>
          <w:color w:val="61C4AF"/>
        </w:rPr>
      </w:pPr>
      <w:r>
        <w:rPr>
          <w:rFonts w:ascii="Arial" w:cs="Arial" w:eastAsia="Arial" w:hAnsi="Arial"/>
          <w:sz w:val="13"/>
          <w:szCs w:val="13"/>
          <w:b w:val="1"/>
          <w:bCs w:val="1"/>
          <w:color w:val="61C4AF"/>
        </w:rPr>
        <w:t xml:space="preserve">Clawback Policy. </w:t>
      </w:r>
      <w:r>
        <w:rPr>
          <w:rFonts w:ascii="Arial" w:cs="Arial" w:eastAsia="Arial" w:hAnsi="Arial"/>
          <w:sz w:val="13"/>
          <w:szCs w:val="13"/>
          <w:color w:val="000000"/>
        </w:rPr>
        <w:t>Awards granted under our 2017 Performance Incentive Plan are subject to our compensation recovery (clawback) policy.</w:t>
      </w:r>
    </w:p>
    <w:p>
      <w:pPr>
        <w:spacing w:after="0" w:line="66" w:lineRule="exact"/>
        <w:rPr>
          <w:rFonts w:ascii="Arial" w:cs="Arial" w:eastAsia="Arial" w:hAnsi="Arial"/>
          <w:sz w:val="13"/>
          <w:szCs w:val="13"/>
          <w:color w:val="61C4AF"/>
        </w:rPr>
      </w:pPr>
    </w:p>
    <w:p>
      <w:pPr>
        <w:ind w:left="240" w:right="40" w:hanging="232"/>
        <w:spacing w:after="0" w:line="253" w:lineRule="auto"/>
        <w:tabs>
          <w:tab w:leader="none" w:pos="240" w:val="left"/>
        </w:tabs>
        <w:numPr>
          <w:ilvl w:val="0"/>
          <w:numId w:val="227"/>
        </w:numPr>
        <w:rPr>
          <w:rFonts w:ascii="Arial" w:cs="Arial" w:eastAsia="Arial" w:hAnsi="Arial"/>
          <w:sz w:val="13"/>
          <w:szCs w:val="13"/>
          <w:color w:val="61C4AF"/>
        </w:rPr>
      </w:pPr>
      <w:r>
        <w:rPr>
          <w:rFonts w:ascii="Arial" w:cs="Arial" w:eastAsia="Arial" w:hAnsi="Arial"/>
          <w:sz w:val="13"/>
          <w:szCs w:val="13"/>
          <w:b w:val="1"/>
          <w:bCs w:val="1"/>
          <w:color w:val="61C4AF"/>
        </w:rPr>
        <w:t xml:space="preserve">Minimum Vesting Requirements. </w:t>
      </w:r>
      <w:r>
        <w:rPr>
          <w:rFonts w:ascii="Arial" w:cs="Arial" w:eastAsia="Arial" w:hAnsi="Arial"/>
          <w:sz w:val="13"/>
          <w:szCs w:val="13"/>
          <w:color w:val="000000"/>
        </w:rPr>
        <w:t>Except pursuant to any required accelerated vesting in connection with a change in control event, or as described below, our 2017 Performance</w:t>
      </w:r>
      <w:r>
        <w:rPr>
          <w:rFonts w:ascii="Arial" w:cs="Arial" w:eastAsia="Arial" w:hAnsi="Arial"/>
          <w:sz w:val="13"/>
          <w:szCs w:val="13"/>
          <w:b w:val="1"/>
          <w:bCs w:val="1"/>
          <w:color w:val="61C4AF"/>
        </w:rPr>
        <w:t xml:space="preserve"> </w:t>
      </w:r>
      <w:r>
        <w:rPr>
          <w:rFonts w:ascii="Arial" w:cs="Arial" w:eastAsia="Arial" w:hAnsi="Arial"/>
          <w:sz w:val="13"/>
          <w:szCs w:val="13"/>
          <w:color w:val="000000"/>
        </w:rPr>
        <w:t>Incentive Plan provides that each award granted under the plan will be subject to a minimum vesting period of one year. Awards may, however, be granted under the plan with minimum vesting requirements of less than one year, or no vesting requirements, provided that the total number of shares of our common stock subject to such awards will not exceed 5% of the aggregate share limit.</w:t>
      </w:r>
    </w:p>
    <w:p>
      <w:pPr>
        <w:spacing w:after="0" w:line="31" w:lineRule="exact"/>
        <w:rPr>
          <w:rFonts w:ascii="Arial" w:cs="Arial" w:eastAsia="Arial" w:hAnsi="Arial"/>
          <w:sz w:val="13"/>
          <w:szCs w:val="13"/>
          <w:color w:val="61C4AF"/>
        </w:rPr>
      </w:pPr>
    </w:p>
    <w:p>
      <w:pPr>
        <w:ind w:left="240" w:right="160" w:hanging="232"/>
        <w:spacing w:after="0" w:line="247" w:lineRule="auto"/>
        <w:tabs>
          <w:tab w:leader="none" w:pos="240" w:val="left"/>
        </w:tabs>
        <w:numPr>
          <w:ilvl w:val="0"/>
          <w:numId w:val="227"/>
        </w:numPr>
        <w:rPr>
          <w:rFonts w:ascii="Arial" w:cs="Arial" w:eastAsia="Arial" w:hAnsi="Arial"/>
          <w:sz w:val="13"/>
          <w:szCs w:val="13"/>
          <w:color w:val="61C4AF"/>
        </w:rPr>
      </w:pPr>
      <w:r>
        <w:rPr>
          <w:rFonts w:ascii="Arial" w:cs="Arial" w:eastAsia="Arial" w:hAnsi="Arial"/>
          <w:sz w:val="13"/>
          <w:szCs w:val="13"/>
          <w:b w:val="1"/>
          <w:bCs w:val="1"/>
          <w:color w:val="61C4AF"/>
        </w:rPr>
        <w:t xml:space="preserve">Share Recycling. </w:t>
      </w:r>
      <w:r>
        <w:rPr>
          <w:rFonts w:ascii="Arial" w:cs="Arial" w:eastAsia="Arial" w:hAnsi="Arial"/>
          <w:sz w:val="13"/>
          <w:szCs w:val="13"/>
          <w:color w:val="000000"/>
        </w:rPr>
        <w:t>Shares that are reacquired or withheld by us in connection with the exercise of stock options, the settlement of stock appreciation rights or the payment of required</w:t>
      </w:r>
      <w:r>
        <w:rPr>
          <w:rFonts w:ascii="Arial" w:cs="Arial" w:eastAsia="Arial" w:hAnsi="Arial"/>
          <w:sz w:val="13"/>
          <w:szCs w:val="13"/>
          <w:b w:val="1"/>
          <w:bCs w:val="1"/>
          <w:color w:val="61C4AF"/>
        </w:rPr>
        <w:t xml:space="preserve"> </w:t>
      </w:r>
      <w:r>
        <w:rPr>
          <w:rFonts w:ascii="Arial" w:cs="Arial" w:eastAsia="Arial" w:hAnsi="Arial"/>
          <w:sz w:val="13"/>
          <w:szCs w:val="13"/>
          <w:color w:val="000000"/>
        </w:rPr>
        <w:t>withholding taxes on stock options or stock appreciation rights will not be available again for new award grants under our 2017 Performance Incentive Plan. However, shares that are reacquired or withheld by us as payment in connection with a full-value award (as defined below) under our 2017 Performance Incentive Plan or the SanDisk Plan, as well as shares reacquired or withheld by us to satisfy the tax withholding obligations related to a full-value award under our 2017 Performance Incentive Plan or the SanDisk Plan will be available for new award grants under our 2017 Performance Incentive Plan. The share limit of our 2017 Performance Incentive Plan may not be increased by repurchasing shares of our common stock on the market (by using cash received through the exercise of stock options or otherwise).</w:t>
      </w:r>
    </w:p>
    <w:p>
      <w:pPr>
        <w:spacing w:after="0" w:line="182"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23628F"/>
        </w:rPr>
        <w:t>2020 PROXY STATEMENT</w:t>
      </w:r>
      <w:r>
        <w:rPr>
          <w:sz w:val="20"/>
          <w:szCs w:val="20"/>
          <w:color w:val="auto"/>
        </w:rPr>
        <w:tab/>
      </w:r>
      <w:r>
        <w:rPr>
          <w:rFonts w:ascii="Arial" w:cs="Arial" w:eastAsia="Arial" w:hAnsi="Arial"/>
          <w:sz w:val="16"/>
          <w:szCs w:val="16"/>
          <w:b w:val="1"/>
          <w:bCs w:val="1"/>
          <w:color w:val="23628F"/>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153275" cy="209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23628F"/>
        </w:rPr>
        <w:t>EQUITY PLAN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234440" cy="6858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34440" cy="68580"/>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2017 PERFORMANCE INCENTIVE PLAN CHANGE</w:t>
      </w:r>
    </w:p>
    <w:p>
      <w:pPr>
        <w:spacing w:after="0" w:line="252" w:lineRule="exact"/>
        <w:rPr>
          <w:sz w:val="20"/>
          <w:szCs w:val="20"/>
          <w:color w:val="auto"/>
        </w:rPr>
      </w:pPr>
    </w:p>
    <w:p>
      <w:pPr>
        <w:spacing w:after="0" w:line="248" w:lineRule="auto"/>
        <w:rPr>
          <w:sz w:val="20"/>
          <w:szCs w:val="20"/>
          <w:color w:val="auto"/>
        </w:rPr>
      </w:pPr>
      <w:r>
        <w:rPr>
          <w:rFonts w:ascii="Arial" w:cs="Arial" w:eastAsia="Arial" w:hAnsi="Arial"/>
          <w:sz w:val="13"/>
          <w:szCs w:val="13"/>
          <w:color w:val="auto"/>
        </w:rPr>
        <w:t>The only material change as a result of the amendment and restatement of our 2017 Performance Incentive Plan is to authorize an increase in the overall limit on the number of shares of common stock that may be issued or transferred pursuant to award grants under the plan by an additional 9.8 million shares, from 95,780,215 shares to 105,580,215 shares. This amended and restated version of our 2017 Performance Incentive Plan is subject to stockholder approval of this Proposal 3.</w:t>
      </w:r>
    </w:p>
    <w:p>
      <w:pPr>
        <w:spacing w:after="0" w:line="198" w:lineRule="exact"/>
        <w:rPr>
          <w:sz w:val="20"/>
          <w:szCs w:val="20"/>
          <w:color w:val="auto"/>
        </w:rPr>
      </w:pPr>
    </w:p>
    <w:p>
      <w:pPr>
        <w:ind w:right="60"/>
        <w:spacing w:after="0" w:line="243" w:lineRule="auto"/>
        <w:rPr>
          <w:sz w:val="20"/>
          <w:szCs w:val="20"/>
          <w:color w:val="auto"/>
        </w:rPr>
      </w:pPr>
      <w:r>
        <w:rPr>
          <w:rFonts w:ascii="Arial" w:cs="Arial" w:eastAsia="Arial" w:hAnsi="Arial"/>
          <w:sz w:val="13"/>
          <w:szCs w:val="13"/>
          <w:color w:val="auto"/>
        </w:rPr>
        <w:t>As of September 4, 2020, a total of 19,170,795 shares of our common stock were subject to outstanding awards granted under our 2017 Performance Incentive Plan, a total of 424,946 shares of our common stock were subject to outstanding awards granted under the SanDisk Plan (which will be available for new grants under our 2017 Performance Incentive Plan if they expire or are forfeited, terminated, cancelled or otherwise reacquired prior to being vested or exercised, as applicable, after the Effective Date) and a total of 2,642,851 shares of our common stock were available for new award grants under our 2017 Performance Incentive Plan (before giving effect to the increase in the aggregate share limit being requested in this Proposal 3). No new awards may be granted under the SanDisk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234440" cy="6858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34440" cy="68580"/>
                    </a:xfrm>
                    <a:prstGeom prst="rect">
                      <a:avLst/>
                    </a:prstGeom>
                    <a:noFill/>
                  </pic:spPr>
                </pic:pic>
              </a:graphicData>
            </a:graphic>
          </wp:anchor>
        </w:drawing>
      </w:r>
    </w:p>
    <w:p>
      <w:pPr>
        <w:spacing w:after="0" w:line="306"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HISTORICAL AWARD INFORMATION</w:t>
      </w:r>
    </w:p>
    <w:p>
      <w:pPr>
        <w:spacing w:after="0" w:line="219"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Share Pool</w:t>
      </w:r>
    </w:p>
    <w:p>
      <w:pPr>
        <w:spacing w:after="0" w:line="257" w:lineRule="exact"/>
        <w:rPr>
          <w:sz w:val="20"/>
          <w:szCs w:val="20"/>
          <w:color w:val="auto"/>
        </w:rPr>
      </w:pPr>
    </w:p>
    <w:p>
      <w:pPr>
        <w:ind w:right="80"/>
        <w:spacing w:after="0" w:line="241" w:lineRule="auto"/>
        <w:rPr>
          <w:sz w:val="20"/>
          <w:szCs w:val="20"/>
          <w:color w:val="auto"/>
        </w:rPr>
      </w:pPr>
      <w:r>
        <w:rPr>
          <w:rFonts w:ascii="Arial" w:cs="Arial" w:eastAsia="Arial" w:hAnsi="Arial"/>
          <w:sz w:val="13"/>
          <w:szCs w:val="13"/>
          <w:color w:val="auto"/>
        </w:rPr>
        <w:t>As of the Effective Date, the overall limit on the number of shares of our common stock that may be issued or transferred pursuant to award grants under our 2017 Performance Incentive Plan was 95,780,215 shares, which includes 829,631 shares that became available for new award grants under the plan after August 7, 2019 and before the Effective Date as a result of the forfeiture, cancellation or expiration of awards under the SanDisk Plan, as well as shares reacquired or withheld by us to satisfy the tax withholding obligations related to full-value awards under the SanDisk Plan, but does not include the proposed 9.8 million share increase requested under the amended and restated version of our 2017 Performance Incentive Plan. Shares that are subject to full-value awards granted under our 2017 Performance Incentive Plan are counted against the total share limit as 1.72 shares for every one (1) share granted, whereas shares that are subject to awards of stock options or stock appreciation rights are counted against the total share limit as one (1) share for every one (1) share granted. This fungible share counting ratio of 1.72 to one (1) continues under the amended and restated version of our 2017 Performance Incentive Plan.</w:t>
      </w:r>
    </w:p>
    <w:p>
      <w:pPr>
        <w:spacing w:after="0" w:line="205" w:lineRule="exact"/>
        <w:rPr>
          <w:sz w:val="20"/>
          <w:szCs w:val="20"/>
          <w:color w:val="auto"/>
        </w:rPr>
      </w:pPr>
    </w:p>
    <w:p>
      <w:pPr>
        <w:ind w:right="60"/>
        <w:spacing w:after="0" w:line="242" w:lineRule="auto"/>
        <w:rPr>
          <w:sz w:val="20"/>
          <w:szCs w:val="20"/>
          <w:color w:val="auto"/>
        </w:rPr>
      </w:pPr>
      <w:r>
        <w:rPr>
          <w:rFonts w:ascii="Arial" w:cs="Arial" w:eastAsia="Arial" w:hAnsi="Arial"/>
          <w:sz w:val="13"/>
          <w:szCs w:val="13"/>
          <w:color w:val="auto"/>
        </w:rPr>
        <w:t>As of the Effective Date, there were outstanding under our 2017 Performance Incentive Plan: 2,458,186 stock options; 10,637,245 unvested RSUs (including PSUs credited based on actual performance for completed performance periods that remain subject to service-based vesting requirements and stock units credited as dividend equivalents through that date); 43,341 outstanding RSUs that have vested but as to which payment has been deferred; and 1,077,493 PSUs with open performance-based vesting conditions (presented at the applicable target level of performance and including dividend equivalents credited through that date on the target level of stock units), in each case, as counted on a 1:1 basis without applying the fungible share counting ratio. The amended and restated version of our 2017 Performance Incentive Plan continues to preserve our flexibility to shift the type and mix of awards granted from time to time as may be warranted by the circumstances.</w:t>
      </w:r>
    </w:p>
    <w:p>
      <w:pPr>
        <w:spacing w:after="0" w:line="198" w:lineRule="exact"/>
        <w:rPr>
          <w:sz w:val="20"/>
          <w:szCs w:val="20"/>
          <w:color w:val="auto"/>
        </w:rPr>
      </w:pPr>
    </w:p>
    <w:p>
      <w:pPr>
        <w:ind w:left="440" w:hanging="432"/>
        <w:spacing w:after="0"/>
        <w:tabs>
          <w:tab w:leader="none" w:pos="440" w:val="left"/>
        </w:tabs>
        <w:numPr>
          <w:ilvl w:val="0"/>
          <w:numId w:val="228"/>
        </w:numPr>
        <w:rPr>
          <w:rFonts w:ascii="Arial" w:cs="Arial" w:eastAsia="Arial" w:hAnsi="Arial"/>
          <w:sz w:val="18"/>
          <w:szCs w:val="18"/>
          <w:b w:val="1"/>
          <w:bCs w:val="1"/>
          <w:color w:val="23628F"/>
        </w:rPr>
      </w:pPr>
      <w:r>
        <w:rPr>
          <w:rFonts w:ascii="Arial" w:cs="Arial" w:eastAsia="Arial" w:hAnsi="Arial"/>
          <w:sz w:val="13"/>
          <w:szCs w:val="13"/>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153275" cy="209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right"/>
        <w:spacing w:after="0"/>
        <w:rPr>
          <w:sz w:val="20"/>
          <w:szCs w:val="20"/>
          <w:color w:val="auto"/>
        </w:rPr>
      </w:pPr>
      <w:r>
        <w:rPr>
          <w:rFonts w:ascii="Arial" w:cs="Arial" w:eastAsia="Arial" w:hAnsi="Arial"/>
          <w:sz w:val="13"/>
          <w:szCs w:val="13"/>
          <w:color w:val="23628F"/>
        </w:rPr>
        <w:t>EQUITY PLAN PROPOSAL</w:t>
      </w:r>
    </w:p>
    <w:p>
      <w:pPr>
        <w:spacing w:after="0" w:line="182"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Outstanding Awards under Our 2017 Performance Incentive Plan</w:t>
      </w:r>
    </w:p>
    <w:p>
      <w:pPr>
        <w:spacing w:after="0" w:line="257" w:lineRule="exact"/>
        <w:rPr>
          <w:sz w:val="20"/>
          <w:szCs w:val="20"/>
          <w:color w:val="auto"/>
        </w:rPr>
      </w:pPr>
    </w:p>
    <w:p>
      <w:pPr>
        <w:ind w:right="140"/>
        <w:spacing w:after="0" w:line="258" w:lineRule="auto"/>
        <w:rPr>
          <w:sz w:val="20"/>
          <w:szCs w:val="20"/>
          <w:color w:val="auto"/>
        </w:rPr>
      </w:pPr>
      <w:r>
        <w:rPr>
          <w:rFonts w:ascii="Arial" w:cs="Arial" w:eastAsia="Arial" w:hAnsi="Arial"/>
          <w:sz w:val="13"/>
          <w:szCs w:val="13"/>
          <w:color w:val="auto"/>
        </w:rPr>
        <w:t>As of September 4, 2020, 2,642,851 shares were available for new grants under our 2017 Performance Incentive Plan. The table below presents the number of shares, including dividend equivalents, which were subject to various outstanding equity awards at September 4, 2020 under our 2017 Performance Incentive Plan, the SanDisk Plan and all other assumed plans: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2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2017</w:t>
            </w:r>
          </w:p>
        </w:tc>
        <w:tc>
          <w:tcPr>
            <w:tcW w:w="1140" w:type="dxa"/>
            <w:vAlign w:val="bottom"/>
            <w:tcBorders>
              <w:right w:val="single" w:sz="8" w:color="auto"/>
            </w:tcBorders>
          </w:tcPr>
          <w:p>
            <w:pPr>
              <w:spacing w:after="0"/>
              <w:rPr>
                <w:sz w:val="13"/>
                <w:szCs w:val="13"/>
                <w:color w:val="auto"/>
              </w:rPr>
            </w:pPr>
          </w:p>
        </w:tc>
        <w:tc>
          <w:tcPr>
            <w:tcW w:w="800" w:type="dxa"/>
            <w:vAlign w:val="bottom"/>
          </w:tcPr>
          <w:p>
            <w:pPr>
              <w:spacing w:after="0"/>
              <w:rPr>
                <w:sz w:val="13"/>
                <w:szCs w:val="13"/>
                <w:color w:val="auto"/>
              </w:rPr>
            </w:pPr>
          </w:p>
        </w:tc>
      </w:tr>
      <w:tr>
        <w:trPr>
          <w:trHeight w:val="149"/>
        </w:trPr>
        <w:tc>
          <w:tcPr>
            <w:tcW w:w="824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Performance</w:t>
            </w:r>
          </w:p>
        </w:tc>
        <w:tc>
          <w:tcPr>
            <w:tcW w:w="11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r>
      <w:tr>
        <w:trPr>
          <w:trHeight w:val="186"/>
        </w:trPr>
        <w:tc>
          <w:tcPr>
            <w:tcW w:w="82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rPr>
              <w:t>Outstanding Awards</w:t>
            </w:r>
          </w:p>
        </w:tc>
        <w:tc>
          <w:tcPr>
            <w:tcW w:w="106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Incentive Plan</w:t>
            </w:r>
          </w:p>
        </w:tc>
        <w:tc>
          <w:tcPr>
            <w:tcW w:w="114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All Other Plans</w:t>
            </w: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Totals</w:t>
            </w:r>
          </w:p>
        </w:tc>
      </w:tr>
      <w:tr>
        <w:trPr>
          <w:trHeight w:val="202"/>
        </w:trPr>
        <w:tc>
          <w:tcPr>
            <w:tcW w:w="8240" w:type="dxa"/>
            <w:vAlign w:val="bottom"/>
          </w:tcPr>
          <w:p>
            <w:pPr>
              <w:ind w:left="80"/>
              <w:spacing w:after="0"/>
              <w:rPr>
                <w:sz w:val="20"/>
                <w:szCs w:val="20"/>
                <w:color w:val="auto"/>
              </w:rPr>
            </w:pPr>
            <w:r>
              <w:rPr>
                <w:rFonts w:ascii="Arial" w:cs="Arial" w:eastAsia="Arial" w:hAnsi="Arial"/>
                <w:sz w:val="13"/>
                <w:szCs w:val="13"/>
                <w:color w:val="auto"/>
              </w:rPr>
              <w:t>Stock options (number of shares)</w:t>
            </w: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2,258,493</w:t>
            </w:r>
          </w:p>
        </w:tc>
        <w:tc>
          <w:tcPr>
            <w:tcW w:w="1140" w:type="dxa"/>
            <w:vAlign w:val="bottom"/>
          </w:tcPr>
          <w:p>
            <w:pPr>
              <w:jc w:val="right"/>
              <w:ind w:right="33"/>
              <w:spacing w:after="0"/>
              <w:rPr>
                <w:sz w:val="20"/>
                <w:szCs w:val="20"/>
                <w:color w:val="auto"/>
              </w:rPr>
            </w:pPr>
            <w:r>
              <w:rPr>
                <w:rFonts w:ascii="Arial" w:cs="Arial" w:eastAsia="Arial" w:hAnsi="Arial"/>
                <w:sz w:val="13"/>
                <w:szCs w:val="13"/>
                <w:color w:val="auto"/>
              </w:rPr>
              <w:t>262,332</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2,520,825</w:t>
            </w:r>
          </w:p>
        </w:tc>
      </w:tr>
      <w:tr>
        <w:trPr>
          <w:trHeight w:val="41"/>
        </w:trPr>
        <w:tc>
          <w:tcPr>
            <w:tcW w:w="8240" w:type="dxa"/>
            <w:vAlign w:val="bottom"/>
            <w:tcBorders>
              <w:bottom w:val="single" w:sz="8" w:color="959595"/>
            </w:tcBorders>
          </w:tcPr>
          <w:p>
            <w:pPr>
              <w:spacing w:after="0"/>
              <w:rPr>
                <w:sz w:val="3"/>
                <w:szCs w:val="3"/>
                <w:color w:val="auto"/>
              </w:rPr>
            </w:pPr>
          </w:p>
        </w:tc>
        <w:tc>
          <w:tcPr>
            <w:tcW w:w="1060" w:type="dxa"/>
            <w:vAlign w:val="bottom"/>
            <w:tcBorders>
              <w:bottom w:val="single" w:sz="8" w:color="959595"/>
            </w:tcBorders>
          </w:tcPr>
          <w:p>
            <w:pPr>
              <w:spacing w:after="0"/>
              <w:rPr>
                <w:sz w:val="3"/>
                <w:szCs w:val="3"/>
                <w:color w:val="auto"/>
              </w:rPr>
            </w:pPr>
          </w:p>
        </w:tc>
        <w:tc>
          <w:tcPr>
            <w:tcW w:w="1140" w:type="dxa"/>
            <w:vAlign w:val="bottom"/>
            <w:tcBorders>
              <w:bottom w:val="single" w:sz="8" w:color="959595"/>
            </w:tcBorders>
          </w:tcPr>
          <w:p>
            <w:pPr>
              <w:spacing w:after="0"/>
              <w:rPr>
                <w:sz w:val="3"/>
                <w:szCs w:val="3"/>
                <w:color w:val="auto"/>
              </w:rPr>
            </w:pPr>
          </w:p>
        </w:tc>
        <w:tc>
          <w:tcPr>
            <w:tcW w:w="800" w:type="dxa"/>
            <w:vAlign w:val="bottom"/>
            <w:tcBorders>
              <w:bottom w:val="single" w:sz="8" w:color="959595"/>
            </w:tcBorders>
          </w:tcPr>
          <w:p>
            <w:pPr>
              <w:spacing w:after="0"/>
              <w:rPr>
                <w:sz w:val="3"/>
                <w:szCs w:val="3"/>
                <w:color w:val="auto"/>
              </w:rPr>
            </w:pPr>
          </w:p>
        </w:tc>
      </w:tr>
      <w:tr>
        <w:trPr>
          <w:trHeight w:val="195"/>
        </w:trPr>
        <w:tc>
          <w:tcPr>
            <w:tcW w:w="8240" w:type="dxa"/>
            <w:vAlign w:val="bottom"/>
          </w:tcPr>
          <w:p>
            <w:pPr>
              <w:ind w:left="80"/>
              <w:spacing w:after="0"/>
              <w:rPr>
                <w:sz w:val="20"/>
                <w:szCs w:val="20"/>
                <w:color w:val="auto"/>
              </w:rPr>
            </w:pPr>
            <w:r>
              <w:rPr>
                <w:rFonts w:ascii="Arial" w:cs="Arial" w:eastAsia="Arial" w:hAnsi="Arial"/>
                <w:sz w:val="13"/>
                <w:szCs w:val="13"/>
                <w:color w:val="auto"/>
              </w:rPr>
              <w:t>Weighted-average exercise price of stock options</w:t>
            </w: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$71.96</w:t>
            </w:r>
          </w:p>
        </w:tc>
        <w:tc>
          <w:tcPr>
            <w:tcW w:w="1140" w:type="dxa"/>
            <w:vAlign w:val="bottom"/>
          </w:tcPr>
          <w:p>
            <w:pPr>
              <w:jc w:val="right"/>
              <w:ind w:right="33"/>
              <w:spacing w:after="0"/>
              <w:rPr>
                <w:sz w:val="20"/>
                <w:szCs w:val="20"/>
                <w:color w:val="auto"/>
              </w:rPr>
            </w:pPr>
            <w:r>
              <w:rPr>
                <w:rFonts w:ascii="Arial" w:cs="Arial" w:eastAsia="Arial" w:hAnsi="Arial"/>
                <w:sz w:val="13"/>
                <w:szCs w:val="13"/>
                <w:color w:val="auto"/>
              </w:rPr>
              <w:t>$45.99</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$69.26</w:t>
            </w:r>
          </w:p>
        </w:tc>
      </w:tr>
      <w:tr>
        <w:trPr>
          <w:trHeight w:val="41"/>
        </w:trPr>
        <w:tc>
          <w:tcPr>
            <w:tcW w:w="8240" w:type="dxa"/>
            <w:vAlign w:val="bottom"/>
            <w:tcBorders>
              <w:bottom w:val="single" w:sz="8" w:color="959595"/>
            </w:tcBorders>
          </w:tcPr>
          <w:p>
            <w:pPr>
              <w:spacing w:after="0"/>
              <w:rPr>
                <w:sz w:val="3"/>
                <w:szCs w:val="3"/>
                <w:color w:val="auto"/>
              </w:rPr>
            </w:pPr>
          </w:p>
        </w:tc>
        <w:tc>
          <w:tcPr>
            <w:tcW w:w="1060" w:type="dxa"/>
            <w:vAlign w:val="bottom"/>
            <w:tcBorders>
              <w:bottom w:val="single" w:sz="8" w:color="959595"/>
            </w:tcBorders>
          </w:tcPr>
          <w:p>
            <w:pPr>
              <w:spacing w:after="0"/>
              <w:rPr>
                <w:sz w:val="3"/>
                <w:szCs w:val="3"/>
                <w:color w:val="auto"/>
              </w:rPr>
            </w:pPr>
          </w:p>
        </w:tc>
        <w:tc>
          <w:tcPr>
            <w:tcW w:w="1140" w:type="dxa"/>
            <w:vAlign w:val="bottom"/>
            <w:tcBorders>
              <w:bottom w:val="single" w:sz="8" w:color="959595"/>
            </w:tcBorders>
          </w:tcPr>
          <w:p>
            <w:pPr>
              <w:spacing w:after="0"/>
              <w:rPr>
                <w:sz w:val="3"/>
                <w:szCs w:val="3"/>
                <w:color w:val="auto"/>
              </w:rPr>
            </w:pPr>
          </w:p>
        </w:tc>
        <w:tc>
          <w:tcPr>
            <w:tcW w:w="800" w:type="dxa"/>
            <w:vAlign w:val="bottom"/>
            <w:tcBorders>
              <w:bottom w:val="single" w:sz="8" w:color="959595"/>
            </w:tcBorders>
          </w:tcPr>
          <w:p>
            <w:pPr>
              <w:spacing w:after="0"/>
              <w:rPr>
                <w:sz w:val="3"/>
                <w:szCs w:val="3"/>
                <w:color w:val="auto"/>
              </w:rPr>
            </w:pPr>
          </w:p>
        </w:tc>
      </w:tr>
      <w:tr>
        <w:trPr>
          <w:trHeight w:val="195"/>
        </w:trPr>
        <w:tc>
          <w:tcPr>
            <w:tcW w:w="8240" w:type="dxa"/>
            <w:vAlign w:val="bottom"/>
          </w:tcPr>
          <w:p>
            <w:pPr>
              <w:ind w:left="80"/>
              <w:spacing w:after="0"/>
              <w:rPr>
                <w:sz w:val="20"/>
                <w:szCs w:val="20"/>
                <w:color w:val="auto"/>
              </w:rPr>
            </w:pPr>
            <w:r>
              <w:rPr>
                <w:rFonts w:ascii="Arial" w:cs="Arial" w:eastAsia="Arial" w:hAnsi="Arial"/>
                <w:sz w:val="13"/>
                <w:szCs w:val="13"/>
                <w:color w:val="auto"/>
              </w:rPr>
              <w:t>Weighted-average remaining term of stock options (years)</w:t>
            </w: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1.8</w:t>
            </w:r>
          </w:p>
        </w:tc>
        <w:tc>
          <w:tcPr>
            <w:tcW w:w="1140" w:type="dxa"/>
            <w:vAlign w:val="bottom"/>
          </w:tcPr>
          <w:p>
            <w:pPr>
              <w:jc w:val="right"/>
              <w:ind w:right="33"/>
              <w:spacing w:after="0"/>
              <w:rPr>
                <w:sz w:val="20"/>
                <w:szCs w:val="20"/>
                <w:color w:val="auto"/>
              </w:rPr>
            </w:pPr>
            <w:r>
              <w:rPr>
                <w:rFonts w:ascii="Arial" w:cs="Arial" w:eastAsia="Arial" w:hAnsi="Arial"/>
                <w:sz w:val="13"/>
                <w:szCs w:val="13"/>
                <w:color w:val="auto"/>
              </w:rPr>
              <w:t>2.3</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1.9</w:t>
            </w:r>
          </w:p>
        </w:tc>
      </w:tr>
      <w:tr>
        <w:trPr>
          <w:trHeight w:val="41"/>
        </w:trPr>
        <w:tc>
          <w:tcPr>
            <w:tcW w:w="8240" w:type="dxa"/>
            <w:vAlign w:val="bottom"/>
            <w:tcBorders>
              <w:bottom w:val="single" w:sz="8" w:color="959595"/>
            </w:tcBorders>
          </w:tcPr>
          <w:p>
            <w:pPr>
              <w:spacing w:after="0"/>
              <w:rPr>
                <w:sz w:val="3"/>
                <w:szCs w:val="3"/>
                <w:color w:val="auto"/>
              </w:rPr>
            </w:pPr>
          </w:p>
        </w:tc>
        <w:tc>
          <w:tcPr>
            <w:tcW w:w="1060" w:type="dxa"/>
            <w:vAlign w:val="bottom"/>
            <w:tcBorders>
              <w:bottom w:val="single" w:sz="8" w:color="959595"/>
            </w:tcBorders>
          </w:tcPr>
          <w:p>
            <w:pPr>
              <w:spacing w:after="0"/>
              <w:rPr>
                <w:sz w:val="3"/>
                <w:szCs w:val="3"/>
                <w:color w:val="auto"/>
              </w:rPr>
            </w:pPr>
          </w:p>
        </w:tc>
        <w:tc>
          <w:tcPr>
            <w:tcW w:w="1140" w:type="dxa"/>
            <w:vAlign w:val="bottom"/>
            <w:tcBorders>
              <w:bottom w:val="single" w:sz="8" w:color="959595"/>
            </w:tcBorders>
          </w:tcPr>
          <w:p>
            <w:pPr>
              <w:spacing w:after="0"/>
              <w:rPr>
                <w:sz w:val="3"/>
                <w:szCs w:val="3"/>
                <w:color w:val="auto"/>
              </w:rPr>
            </w:pPr>
          </w:p>
        </w:tc>
        <w:tc>
          <w:tcPr>
            <w:tcW w:w="800" w:type="dxa"/>
            <w:vAlign w:val="bottom"/>
            <w:tcBorders>
              <w:bottom w:val="single" w:sz="8" w:color="959595"/>
            </w:tcBorders>
          </w:tcPr>
          <w:p>
            <w:pPr>
              <w:spacing w:after="0"/>
              <w:rPr>
                <w:sz w:val="3"/>
                <w:szCs w:val="3"/>
                <w:color w:val="auto"/>
              </w:rPr>
            </w:pPr>
          </w:p>
        </w:tc>
      </w:tr>
      <w:tr>
        <w:trPr>
          <w:trHeight w:val="291"/>
        </w:trPr>
        <w:tc>
          <w:tcPr>
            <w:tcW w:w="8240" w:type="dxa"/>
            <w:vAlign w:val="bottom"/>
            <w:tcBorders>
              <w:bottom w:val="single" w:sz="8" w:color="959595"/>
            </w:tcBorders>
          </w:tcPr>
          <w:p>
            <w:pPr>
              <w:ind w:left="80"/>
              <w:spacing w:after="0"/>
              <w:rPr>
                <w:sz w:val="20"/>
                <w:szCs w:val="20"/>
                <w:color w:val="auto"/>
              </w:rPr>
            </w:pPr>
            <w:r>
              <w:rPr>
                <w:rFonts w:ascii="Arial" w:cs="Arial" w:eastAsia="Arial" w:hAnsi="Arial"/>
                <w:sz w:val="13"/>
                <w:szCs w:val="13"/>
                <w:color w:val="auto"/>
              </w:rPr>
              <w:t>Full-value awards (including corresponding dividend equivalents)</w:t>
            </w:r>
            <w:r>
              <w:rPr>
                <w:rFonts w:ascii="Arial" w:cs="Arial" w:eastAsia="Arial" w:hAnsi="Arial"/>
                <w:sz w:val="22"/>
                <w:szCs w:val="22"/>
                <w:color w:val="auto"/>
                <w:vertAlign w:val="superscript"/>
              </w:rPr>
              <w:t>(1)</w:t>
            </w:r>
          </w:p>
        </w:tc>
        <w:tc>
          <w:tcPr>
            <w:tcW w:w="10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16,912,302</w:t>
            </w:r>
          </w:p>
        </w:tc>
        <w:tc>
          <w:tcPr>
            <w:tcW w:w="114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181,660</w:t>
            </w:r>
          </w:p>
        </w:tc>
        <w:tc>
          <w:tcPr>
            <w:tcW w:w="80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17,093,962</w:t>
            </w:r>
          </w:p>
        </w:tc>
      </w:tr>
    </w:tbl>
    <w:p>
      <w:pPr>
        <w:spacing w:after="0" w:line="107" w:lineRule="exact"/>
        <w:rPr>
          <w:sz w:val="20"/>
          <w:szCs w:val="20"/>
          <w:color w:val="auto"/>
        </w:rPr>
      </w:pPr>
    </w:p>
    <w:p>
      <w:pPr>
        <w:ind w:left="300" w:right="180" w:hanging="292"/>
        <w:spacing w:after="0" w:line="243" w:lineRule="auto"/>
        <w:tabs>
          <w:tab w:leader="none" w:pos="300" w:val="left"/>
        </w:tabs>
        <w:numPr>
          <w:ilvl w:val="0"/>
          <w:numId w:val="229"/>
        </w:numPr>
        <w:rPr>
          <w:rFonts w:ascii="Arial" w:cs="Arial" w:eastAsia="Arial" w:hAnsi="Arial"/>
          <w:sz w:val="11"/>
          <w:szCs w:val="11"/>
          <w:color w:val="auto"/>
        </w:rPr>
      </w:pPr>
      <w:r>
        <w:rPr>
          <w:rFonts w:ascii="Arial" w:cs="Arial" w:eastAsia="Arial" w:hAnsi="Arial"/>
          <w:sz w:val="13"/>
          <w:szCs w:val="13"/>
          <w:color w:val="auto"/>
        </w:rPr>
        <w:t>The number of shares subject to outstanding full-value awards in the table above is presented taking PSU awards into account based on the number of stock units actually credited based on performance as to completed performance periods (to the extent the awards remained outstanding on September 4, 2020 and subject to service-based vesting conditions, and including dividend equivalents credited through that date) and, as to awards that remain subject to performance-based vesting conditions, based on the applicable target level of performance (including dividend equivalents credited through that date on the target level of stock units). The number of shares subject to outstanding full-value awards is also presented on a 1:1 basis without applying the fungible share counting ratio.</w:t>
      </w:r>
    </w:p>
    <w:p>
      <w:pPr>
        <w:spacing w:after="0" w:line="202" w:lineRule="exact"/>
        <w:rPr>
          <w:sz w:val="20"/>
          <w:szCs w:val="20"/>
          <w:color w:val="auto"/>
        </w:rPr>
      </w:pPr>
    </w:p>
    <w:p>
      <w:pPr>
        <w:ind w:right="20"/>
        <w:spacing w:after="0" w:line="241" w:lineRule="auto"/>
        <w:rPr>
          <w:sz w:val="20"/>
          <w:szCs w:val="20"/>
          <w:color w:val="auto"/>
        </w:rPr>
      </w:pPr>
      <w:r>
        <w:rPr>
          <w:rFonts w:ascii="Arial" w:cs="Arial" w:eastAsia="Arial" w:hAnsi="Arial"/>
          <w:sz w:val="13"/>
          <w:szCs w:val="13"/>
          <w:color w:val="auto"/>
        </w:rPr>
        <w:t>Our equity award mix favors the granting of full-value awards, such as RSU and PSU awards, which vest on the basis of continued service and/or attainment of long-term performance goals. These types of awards enable us to reduce our gross burn rate and limit dilution by granting fewer shares relative to the number of stock options that had been granted in prior years. As of September 4, 2020, there were outstanding under our 2017 Performance Incentive Plan: 2,258,493 stock options; 15,304,735 unvested RSUs (including PSUs credited based on actual performance for completed performance periods that remain subject to service-based vesting requirements and stock units credited as dividend equivalents through that date); 63,333 outstanding RSUs that have vested but as to which payment has been deferred; and 1,544,234 PSUs with open performance-based vesting conditions (presented at the applicable target level of performance and including dividend equivalents credited through that date on the target level of stock units), in each case, as counted on a 1:1 basis without applying the fungible share counting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1234440" cy="6858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34440" cy="6858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POTENTIAL DILUTION AND AWARD BURN RATE METRICS</w:t>
      </w:r>
    </w:p>
    <w:p>
      <w:pPr>
        <w:spacing w:after="0" w:line="252" w:lineRule="exact"/>
        <w:rPr>
          <w:sz w:val="20"/>
          <w:szCs w:val="20"/>
          <w:color w:val="auto"/>
        </w:rPr>
      </w:pPr>
    </w:p>
    <w:p>
      <w:pPr>
        <w:ind w:right="20"/>
        <w:spacing w:after="0" w:line="249" w:lineRule="auto"/>
        <w:rPr>
          <w:sz w:val="20"/>
          <w:szCs w:val="20"/>
          <w:color w:val="auto"/>
        </w:rPr>
      </w:pPr>
      <w:r>
        <w:rPr>
          <w:rFonts w:ascii="Arial" w:cs="Arial" w:eastAsia="Arial" w:hAnsi="Arial"/>
          <w:sz w:val="13"/>
          <w:szCs w:val="13"/>
          <w:color w:val="auto"/>
        </w:rPr>
        <w:t>The following section includes additional information to help you assess the potential dilutive impact of our equity awards and the proposed amendments to our 2017 Performance Incentive Plan.</w:t>
      </w:r>
    </w:p>
    <w:p>
      <w:pPr>
        <w:spacing w:after="0" w:line="358" w:lineRule="exact"/>
        <w:rPr>
          <w:sz w:val="20"/>
          <w:szCs w:val="20"/>
          <w:color w:val="auto"/>
        </w:rPr>
      </w:pPr>
    </w:p>
    <w:p>
      <w:pPr>
        <w:ind w:right="220"/>
        <w:spacing w:after="0" w:line="242" w:lineRule="auto"/>
        <w:rPr>
          <w:sz w:val="20"/>
          <w:szCs w:val="20"/>
          <w:color w:val="auto"/>
        </w:rPr>
      </w:pPr>
      <w:r>
        <w:rPr>
          <w:rFonts w:ascii="Arial" w:cs="Arial" w:eastAsia="Arial" w:hAnsi="Arial"/>
          <w:sz w:val="13"/>
          <w:szCs w:val="13"/>
          <w:color w:val="auto"/>
        </w:rPr>
        <w:t>The following table shows how our dilution and burn rate have changed over the past three fiscal years under our 2017 Performance Incentive Plan. “Dilution” refers to the number of shares of our common stock that are subject to outstanding awards or remain available for new award grants. “Burn rate” refers to how many shares are subject to awards that we grant over a particular period of time. As to the number of shares of our common stock subject to RSU and PSU awards outstanding on any particular date, the information presented includes the crediting of dividend equivalents on the awards through that date, to the extent the dividend equivalents are payable in shares of common stock. For historical PSU awards, the information presented is based on the target number of shares subject to the award (while the final vesting of the awards may range from 0% to 200% of the target number of shares subject to these awards based on performance over the performance period applicable to the awards).</w:t>
      </w:r>
    </w:p>
    <w:p>
      <w:pPr>
        <w:spacing w:after="0" w:line="184"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3"/>
          <w:szCs w:val="13"/>
          <w:color w:val="23628F"/>
        </w:rPr>
        <w:t>2020 PROXY STATEMENT</w:t>
      </w:r>
      <w:r>
        <w:rPr>
          <w:sz w:val="20"/>
          <w:szCs w:val="20"/>
          <w:color w:val="auto"/>
        </w:rPr>
        <w:tab/>
      </w:r>
      <w:r>
        <w:rPr>
          <w:rFonts w:ascii="Arial" w:cs="Arial" w:eastAsia="Arial" w:hAnsi="Arial"/>
          <w:sz w:val="16"/>
          <w:szCs w:val="16"/>
          <w:b w:val="1"/>
          <w:bCs w:val="1"/>
          <w:color w:val="23628F"/>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153275" cy="209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23628F"/>
        </w:rPr>
        <w:t>EQUITY PLAN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3257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Key Equity Metrics</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right"/>
        <w:ind w:right="80"/>
        <w:spacing w:after="0"/>
        <w:rPr>
          <w:sz w:val="20"/>
          <w:szCs w:val="20"/>
          <w:color w:val="auto"/>
        </w:rPr>
      </w:pPr>
      <w:r>
        <w:rPr>
          <w:rFonts w:ascii="Arial" w:cs="Arial" w:eastAsia="Arial" w:hAnsi="Arial"/>
          <w:sz w:val="13"/>
          <w:szCs w:val="13"/>
          <w:b w:val="1"/>
          <w:bCs w:val="1"/>
          <w:color w:val="auto"/>
        </w:rPr>
        <w:t>3-Year</w:t>
      </w:r>
    </w:p>
    <w:p>
      <w:pPr>
        <w:spacing w:after="0" w:line="14" w:lineRule="exact"/>
        <w:rPr>
          <w:sz w:val="20"/>
          <w:szCs w:val="20"/>
          <w:color w:val="auto"/>
        </w:rPr>
      </w:pPr>
    </w:p>
    <w:p>
      <w:pPr>
        <w:jc w:val="right"/>
        <w:ind w:right="80"/>
        <w:spacing w:after="0"/>
        <w:rPr>
          <w:sz w:val="20"/>
          <w:szCs w:val="20"/>
          <w:color w:val="auto"/>
        </w:rPr>
      </w:pPr>
      <w:r>
        <w:rPr>
          <w:rFonts w:ascii="Arial" w:cs="Arial" w:eastAsia="Arial" w:hAnsi="Arial"/>
          <w:sz w:val="13"/>
          <w:szCs w:val="13"/>
          <w:b w:val="1"/>
          <w:bCs w:val="1"/>
          <w:color w:val="auto"/>
        </w:rPr>
        <w:t>Average</w:t>
      </w:r>
    </w:p>
    <w:p>
      <w:pPr>
        <w:jc w:val="right"/>
        <w:ind w:right="80"/>
        <w:spacing w:after="0"/>
        <w:tabs>
          <w:tab w:leader="none" w:pos="2920" w:val="left"/>
          <w:tab w:leader="none" w:pos="2020" w:val="left"/>
          <w:tab w:leader="none" w:pos="1120" w:val="left"/>
        </w:tabs>
        <w:rPr>
          <w:sz w:val="20"/>
          <w:szCs w:val="20"/>
          <w:color w:val="auto"/>
        </w:rPr>
      </w:pPr>
      <w:r>
        <w:rPr>
          <w:rFonts w:ascii="Arial" w:cs="Arial" w:eastAsia="Arial" w:hAnsi="Arial"/>
          <w:sz w:val="13"/>
          <w:szCs w:val="13"/>
          <w:b w:val="1"/>
          <w:bCs w:val="1"/>
          <w:color w:val="auto"/>
        </w:rPr>
        <w:t>Fiscal 2020</w:t>
        <w:tab/>
        <w:t>Fiscal 2019</w:t>
        <w:tab/>
        <w:t>Fiscal 2018</w:t>
        <w:tab/>
        <w:t>(Fiscal 2018-2020)</w:t>
      </w:r>
    </w:p>
    <w:p>
      <w:pPr>
        <w:spacing w:after="0" w:line="67" w:lineRule="exact"/>
        <w:rPr>
          <w:sz w:val="20"/>
          <w:szCs w:val="20"/>
          <w:color w:val="auto"/>
        </w:rPr>
      </w:pPr>
    </w:p>
    <w:p>
      <w:pPr>
        <w:sectPr>
          <w:pgSz w:w="11900" w:h="16838" w:orient="portrait"/>
          <w:cols w:equalWidth="0" w:num="2">
            <w:col w:w="6620" w:space="720"/>
            <w:col w:w="39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55"/>
        </w:trPr>
        <w:tc>
          <w:tcPr>
            <w:tcW w:w="5260" w:type="dxa"/>
            <w:vAlign w:val="bottom"/>
          </w:tcPr>
          <w:p>
            <w:pPr>
              <w:ind w:left="80"/>
              <w:spacing w:after="0"/>
              <w:rPr>
                <w:sz w:val="20"/>
                <w:szCs w:val="20"/>
                <w:color w:val="auto"/>
              </w:rPr>
            </w:pPr>
            <w:r>
              <w:rPr>
                <w:rFonts w:ascii="Arial" w:cs="Arial" w:eastAsia="Arial" w:hAnsi="Arial"/>
                <w:sz w:val="13"/>
                <w:szCs w:val="13"/>
                <w:color w:val="auto"/>
              </w:rPr>
              <w:t>Shares subject to awards granted during year,</w:t>
            </w:r>
          </w:p>
        </w:tc>
        <w:tc>
          <w:tcPr>
            <w:tcW w:w="2900" w:type="dxa"/>
            <w:vAlign w:val="bottom"/>
          </w:tcPr>
          <w:p>
            <w:pPr>
              <w:jc w:val="right"/>
              <w:ind w:right="33"/>
              <w:spacing w:after="0"/>
              <w:rPr>
                <w:sz w:val="20"/>
                <w:szCs w:val="20"/>
                <w:color w:val="auto"/>
              </w:rPr>
            </w:pPr>
            <w:r>
              <w:rPr>
                <w:rFonts w:ascii="Arial" w:cs="Arial" w:eastAsia="Arial" w:hAnsi="Arial"/>
                <w:sz w:val="13"/>
                <w:szCs w:val="13"/>
                <w:color w:val="auto"/>
              </w:rPr>
              <w:t>7.4 million</w:t>
            </w: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7.3 million</w:t>
            </w:r>
          </w:p>
        </w:tc>
        <w:tc>
          <w:tcPr>
            <w:tcW w:w="1100" w:type="dxa"/>
            <w:vAlign w:val="bottom"/>
          </w:tcPr>
          <w:p>
            <w:pPr>
              <w:jc w:val="right"/>
              <w:ind w:right="253"/>
              <w:spacing w:after="0"/>
              <w:rPr>
                <w:sz w:val="20"/>
                <w:szCs w:val="20"/>
                <w:color w:val="auto"/>
              </w:rPr>
            </w:pPr>
            <w:r>
              <w:rPr>
                <w:rFonts w:ascii="Arial" w:cs="Arial" w:eastAsia="Arial" w:hAnsi="Arial"/>
                <w:sz w:val="13"/>
                <w:szCs w:val="13"/>
                <w:color w:val="auto"/>
              </w:rPr>
              <w:t>6.3 million</w:t>
            </w:r>
          </w:p>
        </w:tc>
        <w:tc>
          <w:tcPr>
            <w:tcW w:w="1080" w:type="dxa"/>
            <w:vAlign w:val="bottom"/>
          </w:tcPr>
          <w:p>
            <w:pPr>
              <w:jc w:val="right"/>
              <w:ind w:right="13"/>
              <w:spacing w:after="0"/>
              <w:rPr>
                <w:sz w:val="20"/>
                <w:szCs w:val="20"/>
                <w:color w:val="auto"/>
              </w:rPr>
            </w:pPr>
            <w:r>
              <w:rPr>
                <w:rFonts w:ascii="Arial" w:cs="Arial" w:eastAsia="Arial" w:hAnsi="Arial"/>
                <w:sz w:val="13"/>
                <w:szCs w:val="13"/>
                <w:color w:val="auto"/>
              </w:rPr>
              <w:t>7.0 million</w:t>
            </w:r>
          </w:p>
        </w:tc>
      </w:tr>
      <w:tr>
        <w:trPr>
          <w:trHeight w:val="210"/>
        </w:trPr>
        <w:tc>
          <w:tcPr>
            <w:tcW w:w="5260" w:type="dxa"/>
            <w:vAlign w:val="bottom"/>
            <w:tcBorders>
              <w:bottom w:val="single" w:sz="8" w:color="959595"/>
            </w:tcBorders>
          </w:tcPr>
          <w:p>
            <w:pPr>
              <w:ind w:left="80"/>
              <w:spacing w:after="0" w:line="210" w:lineRule="exact"/>
              <w:rPr>
                <w:sz w:val="20"/>
                <w:szCs w:val="20"/>
                <w:color w:val="auto"/>
              </w:rPr>
            </w:pPr>
            <w:r>
              <w:rPr>
                <w:rFonts w:ascii="Arial" w:cs="Arial" w:eastAsia="Arial" w:hAnsi="Arial"/>
                <w:sz w:val="13"/>
                <w:szCs w:val="13"/>
                <w:color w:val="auto"/>
              </w:rPr>
              <w:t>counted on 1:1 basis</w:t>
            </w:r>
            <w:r>
              <w:rPr>
                <w:rFonts w:ascii="Arial" w:cs="Arial" w:eastAsia="Arial" w:hAnsi="Arial"/>
                <w:sz w:val="22"/>
                <w:szCs w:val="22"/>
                <w:color w:val="auto"/>
                <w:vertAlign w:val="superscript"/>
              </w:rPr>
              <w:t>(1)</w:t>
            </w:r>
          </w:p>
        </w:tc>
        <w:tc>
          <w:tcPr>
            <w:tcW w:w="2900" w:type="dxa"/>
            <w:vAlign w:val="bottom"/>
            <w:tcBorders>
              <w:bottom w:val="single" w:sz="8" w:color="959595"/>
            </w:tcBorders>
          </w:tcPr>
          <w:p>
            <w:pPr>
              <w:spacing w:after="0"/>
              <w:rPr>
                <w:sz w:val="18"/>
                <w:szCs w:val="18"/>
                <w:color w:val="auto"/>
              </w:rPr>
            </w:pPr>
          </w:p>
        </w:tc>
        <w:tc>
          <w:tcPr>
            <w:tcW w:w="900" w:type="dxa"/>
            <w:vAlign w:val="bottom"/>
            <w:tcBorders>
              <w:bottom w:val="single" w:sz="8" w:color="959595"/>
            </w:tcBorders>
          </w:tcPr>
          <w:p>
            <w:pPr>
              <w:spacing w:after="0"/>
              <w:rPr>
                <w:sz w:val="18"/>
                <w:szCs w:val="18"/>
                <w:color w:val="auto"/>
              </w:rPr>
            </w:pPr>
          </w:p>
        </w:tc>
        <w:tc>
          <w:tcPr>
            <w:tcW w:w="1100" w:type="dxa"/>
            <w:vAlign w:val="bottom"/>
            <w:tcBorders>
              <w:bottom w:val="single" w:sz="8" w:color="959595"/>
            </w:tcBorders>
          </w:tcPr>
          <w:p>
            <w:pPr>
              <w:spacing w:after="0"/>
              <w:rPr>
                <w:sz w:val="18"/>
                <w:szCs w:val="18"/>
                <w:color w:val="auto"/>
              </w:rPr>
            </w:pPr>
          </w:p>
        </w:tc>
        <w:tc>
          <w:tcPr>
            <w:tcW w:w="1080" w:type="dxa"/>
            <w:vAlign w:val="bottom"/>
            <w:tcBorders>
              <w:bottom w:val="single" w:sz="8" w:color="959595"/>
            </w:tcBorders>
          </w:tcPr>
          <w:p>
            <w:pPr>
              <w:spacing w:after="0"/>
              <w:rPr>
                <w:sz w:val="18"/>
                <w:szCs w:val="18"/>
                <w:color w:val="auto"/>
              </w:rPr>
            </w:pPr>
          </w:p>
        </w:tc>
      </w:tr>
      <w:tr>
        <w:trPr>
          <w:trHeight w:val="168"/>
        </w:trPr>
        <w:tc>
          <w:tcPr>
            <w:tcW w:w="5260" w:type="dxa"/>
            <w:vAlign w:val="bottom"/>
          </w:tcPr>
          <w:p>
            <w:pPr>
              <w:ind w:left="80"/>
              <w:spacing w:after="0"/>
              <w:rPr>
                <w:sz w:val="20"/>
                <w:szCs w:val="20"/>
                <w:color w:val="auto"/>
              </w:rPr>
            </w:pPr>
            <w:r>
              <w:rPr>
                <w:rFonts w:ascii="Arial" w:cs="Arial" w:eastAsia="Arial" w:hAnsi="Arial"/>
                <w:sz w:val="13"/>
                <w:szCs w:val="13"/>
                <w:color w:val="auto"/>
              </w:rPr>
              <w:t>Shares subject to awards granted during year,</w:t>
            </w:r>
          </w:p>
        </w:tc>
        <w:tc>
          <w:tcPr>
            <w:tcW w:w="2900" w:type="dxa"/>
            <w:vAlign w:val="bottom"/>
          </w:tcPr>
          <w:p>
            <w:pPr>
              <w:jc w:val="right"/>
              <w:ind w:right="33"/>
              <w:spacing w:after="0"/>
              <w:rPr>
                <w:sz w:val="20"/>
                <w:szCs w:val="20"/>
                <w:color w:val="auto"/>
              </w:rPr>
            </w:pPr>
            <w:r>
              <w:rPr>
                <w:rFonts w:ascii="Arial" w:cs="Arial" w:eastAsia="Arial" w:hAnsi="Arial"/>
                <w:sz w:val="13"/>
                <w:szCs w:val="13"/>
                <w:color w:val="auto"/>
              </w:rPr>
              <w:t>12.7 million</w:t>
            </w:r>
          </w:p>
        </w:tc>
        <w:tc>
          <w:tcPr>
            <w:tcW w:w="900" w:type="dxa"/>
            <w:vAlign w:val="bottom"/>
          </w:tcPr>
          <w:p>
            <w:pPr>
              <w:jc w:val="right"/>
              <w:ind w:right="33"/>
              <w:spacing w:after="0"/>
              <w:rPr>
                <w:sz w:val="20"/>
                <w:szCs w:val="20"/>
                <w:color w:val="auto"/>
              </w:rPr>
            </w:pPr>
            <w:r>
              <w:rPr>
                <w:rFonts w:ascii="Arial" w:cs="Arial" w:eastAsia="Arial" w:hAnsi="Arial"/>
                <w:sz w:val="13"/>
                <w:szCs w:val="13"/>
                <w:color w:val="auto"/>
              </w:rPr>
              <w:t>12.6 million</w:t>
            </w:r>
          </w:p>
        </w:tc>
        <w:tc>
          <w:tcPr>
            <w:tcW w:w="1100" w:type="dxa"/>
            <w:vAlign w:val="bottom"/>
          </w:tcPr>
          <w:p>
            <w:pPr>
              <w:jc w:val="right"/>
              <w:ind w:right="253"/>
              <w:spacing w:after="0"/>
              <w:rPr>
                <w:sz w:val="20"/>
                <w:szCs w:val="20"/>
                <w:color w:val="auto"/>
              </w:rPr>
            </w:pPr>
            <w:r>
              <w:rPr>
                <w:rFonts w:ascii="Arial" w:cs="Arial" w:eastAsia="Arial" w:hAnsi="Arial"/>
                <w:sz w:val="13"/>
                <w:szCs w:val="13"/>
                <w:color w:val="auto"/>
              </w:rPr>
              <w:t>10.8 million</w:t>
            </w:r>
          </w:p>
        </w:tc>
        <w:tc>
          <w:tcPr>
            <w:tcW w:w="1080" w:type="dxa"/>
            <w:vAlign w:val="bottom"/>
          </w:tcPr>
          <w:p>
            <w:pPr>
              <w:jc w:val="right"/>
              <w:ind w:right="13"/>
              <w:spacing w:after="0"/>
              <w:rPr>
                <w:sz w:val="20"/>
                <w:szCs w:val="20"/>
                <w:color w:val="auto"/>
              </w:rPr>
            </w:pPr>
            <w:r>
              <w:rPr>
                <w:rFonts w:ascii="Arial" w:cs="Arial" w:eastAsia="Arial" w:hAnsi="Arial"/>
                <w:sz w:val="13"/>
                <w:szCs w:val="13"/>
                <w:color w:val="auto"/>
              </w:rPr>
              <w:t>12.0 million</w:t>
            </w:r>
          </w:p>
        </w:tc>
      </w:tr>
      <w:tr>
        <w:trPr>
          <w:trHeight w:val="155"/>
        </w:trPr>
        <w:tc>
          <w:tcPr>
            <w:tcW w:w="5260" w:type="dxa"/>
            <w:vAlign w:val="bottom"/>
          </w:tcPr>
          <w:p>
            <w:pPr>
              <w:ind w:left="80"/>
              <w:spacing w:after="0"/>
              <w:rPr>
                <w:sz w:val="20"/>
                <w:szCs w:val="20"/>
                <w:color w:val="auto"/>
              </w:rPr>
            </w:pPr>
            <w:r>
              <w:rPr>
                <w:rFonts w:ascii="Arial" w:cs="Arial" w:eastAsia="Arial" w:hAnsi="Arial"/>
                <w:sz w:val="13"/>
                <w:szCs w:val="13"/>
                <w:color w:val="auto"/>
              </w:rPr>
              <w:t>counted using the full-value fungible share counting</w:t>
            </w:r>
          </w:p>
        </w:tc>
        <w:tc>
          <w:tcPr>
            <w:tcW w:w="2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10"/>
        </w:trPr>
        <w:tc>
          <w:tcPr>
            <w:tcW w:w="5260" w:type="dxa"/>
            <w:vAlign w:val="bottom"/>
            <w:tcBorders>
              <w:bottom w:val="single" w:sz="8" w:color="959595"/>
            </w:tcBorders>
          </w:tcPr>
          <w:p>
            <w:pPr>
              <w:ind w:left="80"/>
              <w:spacing w:after="0" w:line="210" w:lineRule="exact"/>
              <w:rPr>
                <w:sz w:val="20"/>
                <w:szCs w:val="20"/>
                <w:color w:val="auto"/>
              </w:rPr>
            </w:pPr>
            <w:r>
              <w:rPr>
                <w:rFonts w:ascii="Arial" w:cs="Arial" w:eastAsia="Arial" w:hAnsi="Arial"/>
                <w:sz w:val="13"/>
                <w:szCs w:val="13"/>
                <w:color w:val="auto"/>
              </w:rPr>
              <w:t>ratio of 1.72:1</w:t>
            </w:r>
            <w:r>
              <w:rPr>
                <w:rFonts w:ascii="Arial" w:cs="Arial" w:eastAsia="Arial" w:hAnsi="Arial"/>
                <w:sz w:val="22"/>
                <w:szCs w:val="22"/>
                <w:color w:val="auto"/>
                <w:vertAlign w:val="superscript"/>
              </w:rPr>
              <w:t>(2)</w:t>
            </w:r>
          </w:p>
        </w:tc>
        <w:tc>
          <w:tcPr>
            <w:tcW w:w="2900" w:type="dxa"/>
            <w:vAlign w:val="bottom"/>
            <w:tcBorders>
              <w:bottom w:val="single" w:sz="8" w:color="959595"/>
            </w:tcBorders>
          </w:tcPr>
          <w:p>
            <w:pPr>
              <w:spacing w:after="0"/>
              <w:rPr>
                <w:sz w:val="18"/>
                <w:szCs w:val="18"/>
                <w:color w:val="auto"/>
              </w:rPr>
            </w:pPr>
          </w:p>
        </w:tc>
        <w:tc>
          <w:tcPr>
            <w:tcW w:w="900" w:type="dxa"/>
            <w:vAlign w:val="bottom"/>
            <w:tcBorders>
              <w:bottom w:val="single" w:sz="8" w:color="959595"/>
            </w:tcBorders>
          </w:tcPr>
          <w:p>
            <w:pPr>
              <w:spacing w:after="0"/>
              <w:rPr>
                <w:sz w:val="18"/>
                <w:szCs w:val="18"/>
                <w:color w:val="auto"/>
              </w:rPr>
            </w:pPr>
          </w:p>
        </w:tc>
        <w:tc>
          <w:tcPr>
            <w:tcW w:w="1100" w:type="dxa"/>
            <w:vAlign w:val="bottom"/>
            <w:tcBorders>
              <w:bottom w:val="single" w:sz="8" w:color="959595"/>
            </w:tcBorders>
          </w:tcPr>
          <w:p>
            <w:pPr>
              <w:spacing w:after="0"/>
              <w:rPr>
                <w:sz w:val="18"/>
                <w:szCs w:val="18"/>
                <w:color w:val="auto"/>
              </w:rPr>
            </w:pPr>
          </w:p>
        </w:tc>
        <w:tc>
          <w:tcPr>
            <w:tcW w:w="1080" w:type="dxa"/>
            <w:vAlign w:val="bottom"/>
            <w:tcBorders>
              <w:bottom w:val="single" w:sz="8" w:color="959595"/>
            </w:tcBorders>
          </w:tcPr>
          <w:p>
            <w:pPr>
              <w:spacing w:after="0"/>
              <w:rPr>
                <w:sz w:val="18"/>
                <w:szCs w:val="18"/>
                <w:color w:val="auto"/>
              </w:rPr>
            </w:pPr>
          </w:p>
        </w:tc>
      </w:tr>
      <w:tr>
        <w:trPr>
          <w:trHeight w:val="237"/>
        </w:trPr>
        <w:tc>
          <w:tcPr>
            <w:tcW w:w="5260" w:type="dxa"/>
            <w:vAlign w:val="bottom"/>
            <w:tcBorders>
              <w:bottom w:val="single" w:sz="8" w:color="959595"/>
            </w:tcBorders>
          </w:tcPr>
          <w:p>
            <w:pPr>
              <w:ind w:left="80"/>
              <w:spacing w:after="0" w:line="237" w:lineRule="exact"/>
              <w:rPr>
                <w:sz w:val="20"/>
                <w:szCs w:val="20"/>
                <w:color w:val="auto"/>
              </w:rPr>
            </w:pPr>
            <w:r>
              <w:rPr>
                <w:rFonts w:ascii="Arial" w:cs="Arial" w:eastAsia="Arial" w:hAnsi="Arial"/>
                <w:sz w:val="13"/>
                <w:szCs w:val="13"/>
                <w:color w:val="auto"/>
              </w:rPr>
              <w:t>Gross burn rate during year</w:t>
            </w:r>
            <w:r>
              <w:rPr>
                <w:rFonts w:ascii="Arial" w:cs="Arial" w:eastAsia="Arial" w:hAnsi="Arial"/>
                <w:sz w:val="22"/>
                <w:szCs w:val="22"/>
                <w:color w:val="auto"/>
                <w:vertAlign w:val="superscript"/>
              </w:rPr>
              <w:t>(3)</w:t>
            </w:r>
          </w:p>
        </w:tc>
        <w:tc>
          <w:tcPr>
            <w:tcW w:w="290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2.48%</w:t>
            </w:r>
          </w:p>
        </w:tc>
        <w:tc>
          <w:tcPr>
            <w:tcW w:w="90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2.50%</w:t>
            </w:r>
          </w:p>
        </w:tc>
        <w:tc>
          <w:tcPr>
            <w:tcW w:w="1100" w:type="dxa"/>
            <w:vAlign w:val="bottom"/>
            <w:tcBorders>
              <w:bottom w:val="single" w:sz="8" w:color="959595"/>
            </w:tcBorders>
          </w:tcPr>
          <w:p>
            <w:pPr>
              <w:jc w:val="right"/>
              <w:ind w:right="253"/>
              <w:spacing w:after="0"/>
              <w:rPr>
                <w:sz w:val="20"/>
                <w:szCs w:val="20"/>
                <w:color w:val="auto"/>
              </w:rPr>
            </w:pPr>
            <w:r>
              <w:rPr>
                <w:rFonts w:ascii="Arial" w:cs="Arial" w:eastAsia="Arial" w:hAnsi="Arial"/>
                <w:sz w:val="13"/>
                <w:szCs w:val="13"/>
                <w:color w:val="auto"/>
              </w:rPr>
              <w:t>2.12%</w:t>
            </w:r>
          </w:p>
        </w:tc>
        <w:tc>
          <w:tcPr>
            <w:tcW w:w="10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2.37%</w:t>
            </w:r>
          </w:p>
        </w:tc>
      </w:tr>
      <w:tr>
        <w:trPr>
          <w:trHeight w:val="237"/>
        </w:trPr>
        <w:tc>
          <w:tcPr>
            <w:tcW w:w="5260" w:type="dxa"/>
            <w:vAlign w:val="bottom"/>
            <w:tcBorders>
              <w:bottom w:val="single" w:sz="8" w:color="959595"/>
            </w:tcBorders>
          </w:tcPr>
          <w:p>
            <w:pPr>
              <w:ind w:left="80"/>
              <w:spacing w:after="0" w:line="237" w:lineRule="exact"/>
              <w:rPr>
                <w:sz w:val="20"/>
                <w:szCs w:val="20"/>
                <w:color w:val="auto"/>
              </w:rPr>
            </w:pPr>
            <w:r>
              <w:rPr>
                <w:rFonts w:ascii="Arial" w:cs="Arial" w:eastAsia="Arial" w:hAnsi="Arial"/>
                <w:sz w:val="13"/>
                <w:szCs w:val="13"/>
                <w:color w:val="auto"/>
              </w:rPr>
              <w:t>Net burn rate during year</w:t>
            </w:r>
            <w:r>
              <w:rPr>
                <w:rFonts w:ascii="Arial" w:cs="Arial" w:eastAsia="Arial" w:hAnsi="Arial"/>
                <w:sz w:val="22"/>
                <w:szCs w:val="22"/>
                <w:color w:val="auto"/>
                <w:vertAlign w:val="superscript"/>
              </w:rPr>
              <w:t>(4)</w:t>
            </w:r>
          </w:p>
        </w:tc>
        <w:tc>
          <w:tcPr>
            <w:tcW w:w="290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1.91%</w:t>
            </w:r>
          </w:p>
        </w:tc>
        <w:tc>
          <w:tcPr>
            <w:tcW w:w="90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1.64%</w:t>
            </w:r>
          </w:p>
        </w:tc>
        <w:tc>
          <w:tcPr>
            <w:tcW w:w="1100" w:type="dxa"/>
            <w:vAlign w:val="bottom"/>
            <w:tcBorders>
              <w:bottom w:val="single" w:sz="8" w:color="959595"/>
            </w:tcBorders>
          </w:tcPr>
          <w:p>
            <w:pPr>
              <w:jc w:val="right"/>
              <w:ind w:right="253"/>
              <w:spacing w:after="0"/>
              <w:rPr>
                <w:sz w:val="20"/>
                <w:szCs w:val="20"/>
                <w:color w:val="auto"/>
              </w:rPr>
            </w:pPr>
            <w:r>
              <w:rPr>
                <w:rFonts w:ascii="Arial" w:cs="Arial" w:eastAsia="Arial" w:hAnsi="Arial"/>
                <w:sz w:val="13"/>
                <w:szCs w:val="13"/>
                <w:color w:val="auto"/>
              </w:rPr>
              <w:t>1.62%</w:t>
            </w:r>
          </w:p>
        </w:tc>
        <w:tc>
          <w:tcPr>
            <w:tcW w:w="10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1.72%</w:t>
            </w:r>
          </w:p>
        </w:tc>
      </w:tr>
      <w:tr>
        <w:trPr>
          <w:trHeight w:val="237"/>
        </w:trPr>
        <w:tc>
          <w:tcPr>
            <w:tcW w:w="5260" w:type="dxa"/>
            <w:vAlign w:val="bottom"/>
            <w:tcBorders>
              <w:bottom w:val="single" w:sz="8" w:color="959595"/>
            </w:tcBorders>
          </w:tcPr>
          <w:p>
            <w:pPr>
              <w:ind w:left="80"/>
              <w:spacing w:after="0" w:line="237" w:lineRule="exact"/>
              <w:rPr>
                <w:sz w:val="20"/>
                <w:szCs w:val="20"/>
                <w:color w:val="auto"/>
              </w:rPr>
            </w:pPr>
            <w:r>
              <w:rPr>
                <w:rFonts w:ascii="Arial" w:cs="Arial" w:eastAsia="Arial" w:hAnsi="Arial"/>
                <w:sz w:val="13"/>
                <w:szCs w:val="13"/>
                <w:color w:val="auto"/>
              </w:rPr>
              <w:t>Dilution at end of year</w:t>
            </w:r>
            <w:r>
              <w:rPr>
                <w:rFonts w:ascii="Arial" w:cs="Arial" w:eastAsia="Arial" w:hAnsi="Arial"/>
                <w:sz w:val="22"/>
                <w:szCs w:val="22"/>
                <w:color w:val="auto"/>
                <w:vertAlign w:val="superscript"/>
              </w:rPr>
              <w:t>(5)</w:t>
            </w:r>
          </w:p>
        </w:tc>
        <w:tc>
          <w:tcPr>
            <w:tcW w:w="290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10.06%</w:t>
            </w:r>
          </w:p>
        </w:tc>
        <w:tc>
          <w:tcPr>
            <w:tcW w:w="90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11.03%</w:t>
            </w:r>
          </w:p>
        </w:tc>
        <w:tc>
          <w:tcPr>
            <w:tcW w:w="1100" w:type="dxa"/>
            <w:vAlign w:val="bottom"/>
            <w:tcBorders>
              <w:bottom w:val="single" w:sz="8" w:color="959595"/>
            </w:tcBorders>
          </w:tcPr>
          <w:p>
            <w:pPr>
              <w:jc w:val="right"/>
              <w:ind w:right="253"/>
              <w:spacing w:after="0"/>
              <w:rPr>
                <w:sz w:val="20"/>
                <w:szCs w:val="20"/>
                <w:color w:val="auto"/>
              </w:rPr>
            </w:pPr>
            <w:r>
              <w:rPr>
                <w:rFonts w:ascii="Arial" w:cs="Arial" w:eastAsia="Arial" w:hAnsi="Arial"/>
                <w:sz w:val="13"/>
                <w:szCs w:val="13"/>
                <w:color w:val="auto"/>
              </w:rPr>
              <w:t>11.89%</w:t>
            </w:r>
          </w:p>
        </w:tc>
        <w:tc>
          <w:tcPr>
            <w:tcW w:w="10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11.00%</w:t>
            </w:r>
          </w:p>
        </w:tc>
      </w:tr>
      <w:tr>
        <w:trPr>
          <w:trHeight w:val="236"/>
        </w:trPr>
        <w:tc>
          <w:tcPr>
            <w:tcW w:w="5260" w:type="dxa"/>
            <w:vAlign w:val="bottom"/>
            <w:tcBorders>
              <w:bottom w:val="single" w:sz="8" w:color="959595"/>
            </w:tcBorders>
          </w:tcPr>
          <w:p>
            <w:pPr>
              <w:ind w:left="80"/>
              <w:spacing w:after="0" w:line="237" w:lineRule="exact"/>
              <w:rPr>
                <w:sz w:val="20"/>
                <w:szCs w:val="20"/>
                <w:color w:val="auto"/>
              </w:rPr>
            </w:pPr>
            <w:r>
              <w:rPr>
                <w:rFonts w:ascii="Arial" w:cs="Arial" w:eastAsia="Arial" w:hAnsi="Arial"/>
                <w:sz w:val="13"/>
                <w:szCs w:val="13"/>
                <w:color w:val="auto"/>
              </w:rPr>
              <w:t>Full dilution at end of year</w:t>
            </w:r>
            <w:r>
              <w:rPr>
                <w:rFonts w:ascii="Arial" w:cs="Arial" w:eastAsia="Arial" w:hAnsi="Arial"/>
                <w:sz w:val="22"/>
                <w:szCs w:val="22"/>
                <w:color w:val="auto"/>
                <w:vertAlign w:val="superscript"/>
              </w:rPr>
              <w:t>(6)</w:t>
            </w:r>
          </w:p>
        </w:tc>
        <w:tc>
          <w:tcPr>
            <w:tcW w:w="290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9.14%</w:t>
            </w:r>
          </w:p>
        </w:tc>
        <w:tc>
          <w:tcPr>
            <w:tcW w:w="90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9.94%</w:t>
            </w:r>
          </w:p>
        </w:tc>
        <w:tc>
          <w:tcPr>
            <w:tcW w:w="1100" w:type="dxa"/>
            <w:vAlign w:val="bottom"/>
            <w:tcBorders>
              <w:bottom w:val="single" w:sz="8" w:color="959595"/>
            </w:tcBorders>
          </w:tcPr>
          <w:p>
            <w:pPr>
              <w:jc w:val="right"/>
              <w:ind w:right="253"/>
              <w:spacing w:after="0"/>
              <w:rPr>
                <w:sz w:val="20"/>
                <w:szCs w:val="20"/>
                <w:color w:val="auto"/>
              </w:rPr>
            </w:pPr>
            <w:r>
              <w:rPr>
                <w:rFonts w:ascii="Arial" w:cs="Arial" w:eastAsia="Arial" w:hAnsi="Arial"/>
                <w:sz w:val="13"/>
                <w:szCs w:val="13"/>
                <w:color w:val="auto"/>
              </w:rPr>
              <w:t>10.63%</w:t>
            </w:r>
          </w:p>
        </w:tc>
        <w:tc>
          <w:tcPr>
            <w:tcW w:w="10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9.90%</w:t>
            </w:r>
          </w:p>
        </w:tc>
      </w:tr>
      <w:tr>
        <w:trPr>
          <w:trHeight w:val="237"/>
        </w:trPr>
        <w:tc>
          <w:tcPr>
            <w:tcW w:w="5260" w:type="dxa"/>
            <w:vAlign w:val="bottom"/>
            <w:tcBorders>
              <w:bottom w:val="single" w:sz="8" w:color="959595"/>
            </w:tcBorders>
          </w:tcPr>
          <w:p>
            <w:pPr>
              <w:ind w:left="80"/>
              <w:spacing w:after="0" w:line="237" w:lineRule="exact"/>
              <w:rPr>
                <w:sz w:val="20"/>
                <w:szCs w:val="20"/>
                <w:color w:val="auto"/>
              </w:rPr>
            </w:pPr>
            <w:r>
              <w:rPr>
                <w:rFonts w:ascii="Arial" w:cs="Arial" w:eastAsia="Arial" w:hAnsi="Arial"/>
                <w:sz w:val="13"/>
                <w:szCs w:val="13"/>
                <w:color w:val="auto"/>
              </w:rPr>
              <w:t>Overhang at end of year</w:t>
            </w:r>
            <w:r>
              <w:rPr>
                <w:rFonts w:ascii="Arial" w:cs="Arial" w:eastAsia="Arial" w:hAnsi="Arial"/>
                <w:sz w:val="22"/>
                <w:szCs w:val="22"/>
                <w:color w:val="auto"/>
                <w:vertAlign w:val="superscript"/>
              </w:rPr>
              <w:t>(7)</w:t>
            </w:r>
          </w:p>
        </w:tc>
        <w:tc>
          <w:tcPr>
            <w:tcW w:w="290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5.33%</w:t>
            </w:r>
          </w:p>
        </w:tc>
        <w:tc>
          <w:tcPr>
            <w:tcW w:w="900" w:type="dxa"/>
            <w:vAlign w:val="bottom"/>
            <w:tcBorders>
              <w:bottom w:val="single" w:sz="8" w:color="959595"/>
            </w:tcBorders>
          </w:tcPr>
          <w:p>
            <w:pPr>
              <w:jc w:val="right"/>
              <w:ind w:right="33"/>
              <w:spacing w:after="0"/>
              <w:rPr>
                <w:sz w:val="20"/>
                <w:szCs w:val="20"/>
                <w:color w:val="auto"/>
              </w:rPr>
            </w:pPr>
            <w:r>
              <w:rPr>
                <w:rFonts w:ascii="Arial" w:cs="Arial" w:eastAsia="Arial" w:hAnsi="Arial"/>
                <w:sz w:val="13"/>
                <w:szCs w:val="13"/>
                <w:color w:val="auto"/>
              </w:rPr>
              <w:t>5.28%</w:t>
            </w:r>
          </w:p>
        </w:tc>
        <w:tc>
          <w:tcPr>
            <w:tcW w:w="1100" w:type="dxa"/>
            <w:vAlign w:val="bottom"/>
            <w:tcBorders>
              <w:bottom w:val="single" w:sz="8" w:color="959595"/>
            </w:tcBorders>
          </w:tcPr>
          <w:p>
            <w:pPr>
              <w:jc w:val="right"/>
              <w:ind w:right="253"/>
              <w:spacing w:after="0"/>
              <w:rPr>
                <w:sz w:val="20"/>
                <w:szCs w:val="20"/>
                <w:color w:val="auto"/>
              </w:rPr>
            </w:pPr>
            <w:r>
              <w:rPr>
                <w:rFonts w:ascii="Arial" w:cs="Arial" w:eastAsia="Arial" w:hAnsi="Arial"/>
                <w:sz w:val="13"/>
                <w:szCs w:val="13"/>
                <w:color w:val="auto"/>
              </w:rPr>
              <w:t>5.88%</w:t>
            </w:r>
          </w:p>
        </w:tc>
        <w:tc>
          <w:tcPr>
            <w:tcW w:w="108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5.49%</w:t>
            </w:r>
          </w:p>
        </w:tc>
      </w:tr>
    </w:tbl>
    <w:p>
      <w:pPr>
        <w:spacing w:after="0" w:line="107" w:lineRule="exact"/>
        <w:rPr>
          <w:sz w:val="20"/>
          <w:szCs w:val="20"/>
          <w:color w:val="auto"/>
        </w:rPr>
      </w:pPr>
    </w:p>
    <w:p>
      <w:pPr>
        <w:ind w:left="300" w:hanging="292"/>
        <w:spacing w:after="0"/>
        <w:tabs>
          <w:tab w:leader="none" w:pos="300" w:val="left"/>
        </w:tabs>
        <w:numPr>
          <w:ilvl w:val="0"/>
          <w:numId w:val="230"/>
        </w:numPr>
        <w:rPr>
          <w:rFonts w:ascii="Arial" w:cs="Arial" w:eastAsia="Arial" w:hAnsi="Arial"/>
          <w:sz w:val="11"/>
          <w:szCs w:val="11"/>
          <w:color w:val="auto"/>
        </w:rPr>
      </w:pPr>
      <w:r>
        <w:rPr>
          <w:rFonts w:ascii="Arial" w:cs="Arial" w:eastAsia="Arial" w:hAnsi="Arial"/>
          <w:sz w:val="13"/>
          <w:szCs w:val="13"/>
          <w:color w:val="auto"/>
        </w:rPr>
        <w:t>Reflects total gross number of shares subject to equity awards granted during the fiscal year, and does not reflect subsequent forfeitures or cancellations.</w:t>
      </w:r>
    </w:p>
    <w:p>
      <w:pPr>
        <w:spacing w:after="0" w:line="12" w:lineRule="exact"/>
        <w:rPr>
          <w:rFonts w:ascii="Arial" w:cs="Arial" w:eastAsia="Arial" w:hAnsi="Arial"/>
          <w:sz w:val="11"/>
          <w:szCs w:val="11"/>
          <w:color w:val="auto"/>
        </w:rPr>
      </w:pPr>
    </w:p>
    <w:p>
      <w:pPr>
        <w:ind w:left="300" w:right="300" w:hanging="292"/>
        <w:spacing w:after="0" w:line="238" w:lineRule="auto"/>
        <w:tabs>
          <w:tab w:leader="none" w:pos="300" w:val="left"/>
        </w:tabs>
        <w:numPr>
          <w:ilvl w:val="0"/>
          <w:numId w:val="230"/>
        </w:numPr>
        <w:rPr>
          <w:rFonts w:ascii="Arial" w:cs="Arial" w:eastAsia="Arial" w:hAnsi="Arial"/>
          <w:sz w:val="11"/>
          <w:szCs w:val="11"/>
          <w:color w:val="auto"/>
        </w:rPr>
      </w:pPr>
      <w:r>
        <w:rPr>
          <w:rFonts w:ascii="Arial" w:cs="Arial" w:eastAsia="Arial" w:hAnsi="Arial"/>
          <w:sz w:val="13"/>
          <w:szCs w:val="13"/>
          <w:color w:val="auto"/>
        </w:rPr>
        <w:t>Reflects number of shares that are used during the fiscal year based on the awards granted (see footnote 1) and the fungible share counting provisions that require each full-value award to count as 1.72 shares, and each stock option to count as one share, against the pool of shares available under our 2017 Performance Incentive Plan.</w:t>
      </w:r>
    </w:p>
    <w:p>
      <w:pPr>
        <w:ind w:left="300" w:right="120" w:hanging="292"/>
        <w:spacing w:after="0" w:line="238" w:lineRule="auto"/>
        <w:tabs>
          <w:tab w:leader="none" w:pos="300" w:val="left"/>
        </w:tabs>
        <w:numPr>
          <w:ilvl w:val="0"/>
          <w:numId w:val="230"/>
        </w:numPr>
        <w:rPr>
          <w:rFonts w:ascii="Arial" w:cs="Arial" w:eastAsia="Arial" w:hAnsi="Arial"/>
          <w:sz w:val="11"/>
          <w:szCs w:val="11"/>
          <w:color w:val="auto"/>
        </w:rPr>
      </w:pPr>
      <w:r>
        <w:rPr>
          <w:rFonts w:ascii="Arial" w:cs="Arial" w:eastAsia="Arial" w:hAnsi="Arial"/>
          <w:sz w:val="13"/>
          <w:szCs w:val="13"/>
          <w:color w:val="auto"/>
        </w:rPr>
        <w:t>Gross burn rate is calculated by dividing the total number of shares subject to equity awards granted during the fiscal year (counted on a 1:1 basis without applying the fungible share counting ratio) by the total weighted-average number of shares outstanding during the period, and does not reflect subsequent forfeitures or cancellations.</w:t>
      </w:r>
    </w:p>
    <w:p>
      <w:pPr>
        <w:ind w:left="300" w:right="280" w:hanging="292"/>
        <w:spacing w:after="0" w:line="238" w:lineRule="auto"/>
        <w:tabs>
          <w:tab w:leader="none" w:pos="300" w:val="left"/>
        </w:tabs>
        <w:numPr>
          <w:ilvl w:val="0"/>
          <w:numId w:val="230"/>
        </w:numPr>
        <w:rPr>
          <w:rFonts w:ascii="Arial" w:cs="Arial" w:eastAsia="Arial" w:hAnsi="Arial"/>
          <w:sz w:val="11"/>
          <w:szCs w:val="11"/>
          <w:color w:val="auto"/>
        </w:rPr>
      </w:pPr>
      <w:r>
        <w:rPr>
          <w:rFonts w:ascii="Arial" w:cs="Arial" w:eastAsia="Arial" w:hAnsi="Arial"/>
          <w:sz w:val="13"/>
          <w:szCs w:val="13"/>
          <w:color w:val="auto"/>
        </w:rPr>
        <w:t>Net burn rate is calculated by dividing the total number of shares subject to equity awards granted during the fiscal year (counted on a 1:1 basis without applying the fungible share counting ratio) by the total weighted-average number of shares outstanding during the period, and takes into account any cancelled or forfeited equity awards.</w:t>
      </w:r>
    </w:p>
    <w:p>
      <w:pPr>
        <w:ind w:left="300" w:right="60" w:hanging="292"/>
        <w:spacing w:after="0" w:line="238" w:lineRule="auto"/>
        <w:tabs>
          <w:tab w:leader="none" w:pos="300" w:val="left"/>
        </w:tabs>
        <w:numPr>
          <w:ilvl w:val="0"/>
          <w:numId w:val="230"/>
        </w:numPr>
        <w:rPr>
          <w:rFonts w:ascii="Arial" w:cs="Arial" w:eastAsia="Arial" w:hAnsi="Arial"/>
          <w:sz w:val="11"/>
          <w:szCs w:val="11"/>
          <w:color w:val="auto"/>
        </w:rPr>
      </w:pPr>
      <w:r>
        <w:rPr>
          <w:rFonts w:ascii="Arial" w:cs="Arial" w:eastAsia="Arial" w:hAnsi="Arial"/>
          <w:sz w:val="13"/>
          <w:szCs w:val="13"/>
          <w:color w:val="auto"/>
        </w:rPr>
        <w:t>Dilution is calculated by dividing the sum of (i) the number of shares subject to equity awards outstanding at the end of the fiscal year, plus (ii) the number of shares available for future grants, by the number of shares outstanding at the end of the fiscal year.</w:t>
      </w:r>
    </w:p>
    <w:p>
      <w:pPr>
        <w:ind w:left="300" w:right="20" w:hanging="292"/>
        <w:spacing w:after="0" w:line="238" w:lineRule="auto"/>
        <w:tabs>
          <w:tab w:leader="none" w:pos="300" w:val="left"/>
        </w:tabs>
        <w:numPr>
          <w:ilvl w:val="0"/>
          <w:numId w:val="230"/>
        </w:numPr>
        <w:rPr>
          <w:rFonts w:ascii="Arial" w:cs="Arial" w:eastAsia="Arial" w:hAnsi="Arial"/>
          <w:sz w:val="11"/>
          <w:szCs w:val="11"/>
          <w:color w:val="auto"/>
        </w:rPr>
      </w:pPr>
      <w:r>
        <w:rPr>
          <w:rFonts w:ascii="Arial" w:cs="Arial" w:eastAsia="Arial" w:hAnsi="Arial"/>
          <w:sz w:val="13"/>
          <w:szCs w:val="13"/>
          <w:color w:val="auto"/>
        </w:rPr>
        <w:t>Full dilution is calculated by dividing (i) the sum of (a) the number of shares subject to equity awards outstanding at the end of the fiscal year plus (b) the number of shares available for future grants by (ii) the sum of (a) the number of shares outstanding at the end of the fiscal year, plus (b) the number of shares subject to equity awards outstanding at the end of the fiscal year, plus (c) the number of shares available for future grants.</w:t>
      </w:r>
    </w:p>
    <w:p>
      <w:pPr>
        <w:ind w:left="300" w:right="120" w:hanging="292"/>
        <w:spacing w:after="0" w:line="249" w:lineRule="auto"/>
        <w:tabs>
          <w:tab w:leader="none" w:pos="300" w:val="left"/>
        </w:tabs>
        <w:numPr>
          <w:ilvl w:val="0"/>
          <w:numId w:val="230"/>
        </w:numPr>
        <w:rPr>
          <w:rFonts w:ascii="Arial" w:cs="Arial" w:eastAsia="Arial" w:hAnsi="Arial"/>
          <w:sz w:val="11"/>
          <w:szCs w:val="11"/>
          <w:color w:val="auto"/>
        </w:rPr>
      </w:pPr>
      <w:r>
        <w:rPr>
          <w:rFonts w:ascii="Arial" w:cs="Arial" w:eastAsia="Arial" w:hAnsi="Arial"/>
          <w:sz w:val="13"/>
          <w:szCs w:val="13"/>
          <w:color w:val="auto"/>
        </w:rPr>
        <w:t>Overhang is calculated by dividing the number of shares subject to equity awards outstanding at the end of the fiscal year by the number of shares outstanding at the end of the fiscal year.</w:t>
      </w:r>
    </w:p>
    <w:p>
      <w:pPr>
        <w:spacing w:after="0" w:line="358" w:lineRule="exact"/>
        <w:rPr>
          <w:sz w:val="20"/>
          <w:szCs w:val="20"/>
          <w:color w:val="auto"/>
        </w:rPr>
      </w:pPr>
    </w:p>
    <w:p>
      <w:pPr>
        <w:ind w:right="40"/>
        <w:spacing w:after="0" w:line="258" w:lineRule="auto"/>
        <w:rPr>
          <w:sz w:val="20"/>
          <w:szCs w:val="20"/>
          <w:color w:val="auto"/>
        </w:rPr>
      </w:pPr>
      <w:r>
        <w:rPr>
          <w:rFonts w:ascii="Arial" w:cs="Arial" w:eastAsia="Arial" w:hAnsi="Arial"/>
          <w:sz w:val="13"/>
          <w:szCs w:val="13"/>
          <w:color w:val="auto"/>
        </w:rPr>
        <w:t>The weighted-average number of shares of our common stock issued and outstanding in each of the last three fiscal years is reported in our Annual Report on Form 10-K for the respective fiscal year. The number of shares of our common stock issued and outstanding as of July 3, 2020 and September 4, 2020 was 301,511,883 shares and 304,213,726 shares, respectively.</w:t>
      </w:r>
    </w:p>
    <w:p>
      <w:pPr>
        <w:spacing w:after="0" w:line="192" w:lineRule="exact"/>
        <w:rPr>
          <w:sz w:val="20"/>
          <w:szCs w:val="20"/>
          <w:color w:val="auto"/>
        </w:rPr>
      </w:pPr>
    </w:p>
    <w:p>
      <w:pPr>
        <w:ind w:right="40"/>
        <w:spacing w:after="0" w:line="243" w:lineRule="auto"/>
        <w:rPr>
          <w:sz w:val="20"/>
          <w:szCs w:val="20"/>
          <w:color w:val="auto"/>
        </w:rPr>
      </w:pPr>
      <w:r>
        <w:rPr>
          <w:rFonts w:ascii="Arial" w:cs="Arial" w:eastAsia="Arial" w:hAnsi="Arial"/>
          <w:sz w:val="13"/>
          <w:szCs w:val="13"/>
          <w:color w:val="auto"/>
        </w:rPr>
        <w:t>We anticipate that the 9.8 million additional shares requested for the amended and restated version of our 2017 Performance Incentive Plan, together with the shares currently available for future grants, will provide us with flexibility to continue to grant equity awards under the amended and restated version of our 2017 Performance Incentive Plan for approximately one year based on current grant practices and other factors. This estimate assumes the reserving of sufficient shares to cover potential payment of performance-based awards at maximum payment levels and covering dividend equivalents that may be credited with respect to the awards based on our recent dividend payments. However, this is only an estimate, in our judgment, based on current circumstances. The 9.8 million additional shares requested represents 3.22% of the number of shares of our common stock issued and outstanding as of September 4, 2020.</w:t>
      </w:r>
    </w:p>
    <w:p>
      <w:pPr>
        <w:spacing w:after="0" w:line="202" w:lineRule="exact"/>
        <w:rPr>
          <w:sz w:val="20"/>
          <w:szCs w:val="20"/>
          <w:color w:val="auto"/>
        </w:rPr>
      </w:pPr>
    </w:p>
    <w:p>
      <w:pPr>
        <w:ind w:right="20"/>
        <w:spacing w:after="0" w:line="242" w:lineRule="auto"/>
        <w:rPr>
          <w:sz w:val="20"/>
          <w:szCs w:val="20"/>
          <w:color w:val="auto"/>
        </w:rPr>
      </w:pPr>
      <w:r>
        <w:rPr>
          <w:rFonts w:ascii="Arial" w:cs="Arial" w:eastAsia="Arial" w:hAnsi="Arial"/>
          <w:sz w:val="13"/>
          <w:szCs w:val="13"/>
          <w:color w:val="auto"/>
        </w:rPr>
        <w:t>The total number of shares that are subject to our award grants in any one year or from year-to-year may change based on a number of variables, including, without limitation, the value of our common stock (because higher stock prices generally require that fewer shares be issued to produce awards of the same grant date fair value), changes in competitors’ compensation practices or changes in compensation practices in the market generally, changes in the number of employees, changes in the number of directors and officers, whether and the extent to which vesting conditions applicable to equity awards are satisfied, acquisition activity and the need to grant awards to new employees in connection with acquisitions, the need to attract, retain and incentivize key talent, the number of dividend equivalent rights outstanding, the extent to which they provide for settlement in stock and the amount and frequency of our dividend payments, the type of awards we grant and how we choose to balance total compensation between cash and equity awards.</w:t>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color w:val="auto"/>
        </w:rPr>
        <w:t>The closing price of our common stock on the Nasdaq Stock Market on September 4, 2020 was $38.16 per share.</w:t>
      </w:r>
    </w:p>
    <w:p>
      <w:pPr>
        <w:spacing w:after="0" w:line="211" w:lineRule="exact"/>
        <w:rPr>
          <w:sz w:val="20"/>
          <w:szCs w:val="20"/>
          <w:color w:val="auto"/>
        </w:rPr>
      </w:pPr>
    </w:p>
    <w:p>
      <w:pPr>
        <w:ind w:left="540" w:hanging="532"/>
        <w:spacing w:after="0"/>
        <w:tabs>
          <w:tab w:leader="none" w:pos="540" w:val="left"/>
        </w:tabs>
        <w:numPr>
          <w:ilvl w:val="0"/>
          <w:numId w:val="231"/>
        </w:numPr>
        <w:rPr>
          <w:rFonts w:ascii="Arial" w:cs="Arial" w:eastAsia="Arial" w:hAnsi="Arial"/>
          <w:sz w:val="18"/>
          <w:szCs w:val="18"/>
          <w:b w:val="1"/>
          <w:bCs w:val="1"/>
          <w:color w:val="23628F"/>
        </w:rPr>
      </w:pPr>
      <w:r>
        <w:rPr>
          <w:rFonts w:ascii="Arial" w:cs="Arial" w:eastAsia="Arial" w:hAnsi="Arial"/>
          <w:sz w:val="13"/>
          <w:szCs w:val="13"/>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153275" cy="215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4" w:name="page105"/>
    <w:bookmarkEnd w:id="104"/>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right"/>
        <w:spacing w:after="0"/>
        <w:rPr>
          <w:sz w:val="20"/>
          <w:szCs w:val="20"/>
          <w:color w:val="auto"/>
        </w:rPr>
      </w:pPr>
      <w:r>
        <w:rPr>
          <w:rFonts w:ascii="Arial" w:cs="Arial" w:eastAsia="Arial" w:hAnsi="Arial"/>
          <w:sz w:val="13"/>
          <w:szCs w:val="13"/>
          <w:color w:val="23628F"/>
        </w:rPr>
        <w:t>EQUITY PLAN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234440" cy="6858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34440" cy="68580"/>
                    </a:xfrm>
                    <a:prstGeom prst="rect">
                      <a:avLst/>
                    </a:prstGeom>
                    <a:noFill/>
                  </pic:spPr>
                </pic:pic>
              </a:graphicData>
            </a:graphic>
          </wp:anchor>
        </w:drawing>
      </w:r>
    </w:p>
    <w:p>
      <w:pPr>
        <w:spacing w:after="0" w:line="319" w:lineRule="exact"/>
        <w:rPr>
          <w:sz w:val="20"/>
          <w:szCs w:val="20"/>
          <w:color w:val="auto"/>
        </w:rPr>
      </w:pPr>
    </w:p>
    <w:p>
      <w:pPr>
        <w:ind w:right="1420"/>
        <w:spacing w:after="0" w:line="276" w:lineRule="auto"/>
        <w:rPr>
          <w:sz w:val="20"/>
          <w:szCs w:val="20"/>
          <w:color w:val="auto"/>
        </w:rPr>
      </w:pPr>
      <w:r>
        <w:rPr>
          <w:rFonts w:ascii="Arial" w:cs="Arial" w:eastAsia="Arial" w:hAnsi="Arial"/>
          <w:sz w:val="26"/>
          <w:szCs w:val="26"/>
          <w:b w:val="1"/>
          <w:bCs w:val="1"/>
          <w:color w:val="23628F"/>
        </w:rPr>
        <w:t>SUMMARY DESCRIPTION OF OUR 2017 PERFORMANCE INCENTIVE PLAN (AS PROPOSED TO BE AMENDED AND RESTATED)</w:t>
      </w:r>
    </w:p>
    <w:p>
      <w:pPr>
        <w:spacing w:after="0" w:line="160" w:lineRule="exact"/>
        <w:rPr>
          <w:sz w:val="20"/>
          <w:szCs w:val="20"/>
          <w:color w:val="auto"/>
        </w:rPr>
      </w:pPr>
    </w:p>
    <w:p>
      <w:pPr>
        <w:ind w:right="120"/>
        <w:spacing w:after="0" w:line="245" w:lineRule="auto"/>
        <w:rPr>
          <w:sz w:val="20"/>
          <w:szCs w:val="20"/>
          <w:color w:val="auto"/>
        </w:rPr>
      </w:pPr>
      <w:r>
        <w:rPr>
          <w:rFonts w:ascii="Arial" w:cs="Arial" w:eastAsia="Arial" w:hAnsi="Arial"/>
          <w:sz w:val="13"/>
          <w:szCs w:val="13"/>
          <w:color w:val="auto"/>
        </w:rPr>
        <w:t>The principal terms of our 2017 Performance Incentive Plan (as proposed to be amended and restated) are summarized below. The following summary is qualified in its entirety by the full text of our 2017 Performance Incentive Plan (as proposed to be amended and restated), which has been included as Appendix B to the version of this Proxy Statement filed with the SEC. A copy of our 2017 Performance Incentive Plan document (as proposed to be amended and restated) may also be obtained without charge by writing to our Secretary at Western Digital Corporation, 5601 Great Oaks Parkway, San Jose, California 95119.</w:t>
      </w:r>
    </w:p>
    <w:p>
      <w:pPr>
        <w:spacing w:after="0" w:line="166"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Purpose</w:t>
      </w:r>
    </w:p>
    <w:p>
      <w:pPr>
        <w:spacing w:after="0" w:line="257" w:lineRule="exact"/>
        <w:rPr>
          <w:sz w:val="20"/>
          <w:szCs w:val="20"/>
          <w:color w:val="auto"/>
        </w:rPr>
      </w:pPr>
    </w:p>
    <w:p>
      <w:pPr>
        <w:jc w:val="both"/>
        <w:ind w:right="460"/>
        <w:spacing w:after="0" w:line="248" w:lineRule="auto"/>
        <w:rPr>
          <w:sz w:val="20"/>
          <w:szCs w:val="20"/>
          <w:color w:val="auto"/>
        </w:rPr>
      </w:pPr>
      <w:r>
        <w:rPr>
          <w:rFonts w:ascii="Arial" w:cs="Arial" w:eastAsia="Arial" w:hAnsi="Arial"/>
          <w:sz w:val="13"/>
          <w:szCs w:val="13"/>
          <w:color w:val="auto"/>
        </w:rPr>
        <w:t>The purpose of our 2017 Performance Incentive Plan is to promote the success of our company and to increase stockholder value by providing an additional means for us to attract, motivate, retain and reward selected employees and other eligible persons through the grant of awards. Equity-based awards are also intended to further align the interests of award recipients and our stockholders.</w:t>
      </w:r>
    </w:p>
    <w:p>
      <w:pPr>
        <w:spacing w:after="0" w:line="165"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Administration</w:t>
      </w:r>
    </w:p>
    <w:p>
      <w:pPr>
        <w:spacing w:after="0" w:line="257" w:lineRule="exact"/>
        <w:rPr>
          <w:sz w:val="20"/>
          <w:szCs w:val="20"/>
          <w:color w:val="auto"/>
        </w:rPr>
      </w:pPr>
    </w:p>
    <w:p>
      <w:pPr>
        <w:ind w:right="20"/>
        <w:spacing w:after="0" w:line="243" w:lineRule="auto"/>
        <w:rPr>
          <w:sz w:val="20"/>
          <w:szCs w:val="20"/>
          <w:color w:val="auto"/>
        </w:rPr>
      </w:pPr>
      <w:r>
        <w:rPr>
          <w:rFonts w:ascii="Arial" w:cs="Arial" w:eastAsia="Arial" w:hAnsi="Arial"/>
          <w:sz w:val="13"/>
          <w:szCs w:val="13"/>
          <w:color w:val="auto"/>
        </w:rPr>
        <w:t>Our Board of Directors or one or more of its committees administers our 2017 Performance Incentive Plan. Currently, our Board has delegated general administrative authority for our 2017 Performance Incentive Plan to the Compensation and Talent Committee, except that our Board retains administrative authority with respect to awards granted to non-employee members of our Board of Directors. Our Board or a committee thereof (within its delegated authority) may delegate its authority under our 2017 Performance Incentive Plan to different committees, or to one or more of our officers to the extent permitted by applicable law, including administrative and grant authority. The appropriate acting body, be it our Board, or a committee or officer within the delegated authority, is referred to in this Proposal 3 as the “Administrator.”</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The Administrator has broad authority under our 2017 Performance Incentive Plan with respect to awarding grants, including, without limitation, the authority:</w:t>
      </w:r>
    </w:p>
    <w:p>
      <w:pPr>
        <w:spacing w:after="0" w:line="215" w:lineRule="exact"/>
        <w:rPr>
          <w:sz w:val="20"/>
          <w:szCs w:val="20"/>
          <w:color w:val="auto"/>
        </w:rPr>
      </w:pPr>
    </w:p>
    <w:p>
      <w:pPr>
        <w:ind w:left="240" w:hanging="232"/>
        <w:spacing w:after="0"/>
        <w:tabs>
          <w:tab w:leader="none" w:pos="240" w:val="left"/>
        </w:tabs>
        <w:numPr>
          <w:ilvl w:val="0"/>
          <w:numId w:val="232"/>
        </w:numPr>
        <w:rPr>
          <w:rFonts w:ascii="Arial" w:cs="Arial" w:eastAsia="Arial" w:hAnsi="Arial"/>
          <w:sz w:val="13"/>
          <w:szCs w:val="13"/>
          <w:color w:val="61C4AF"/>
        </w:rPr>
      </w:pPr>
      <w:r>
        <w:rPr>
          <w:rFonts w:ascii="Arial" w:cs="Arial" w:eastAsia="Arial" w:hAnsi="Arial"/>
          <w:sz w:val="13"/>
          <w:szCs w:val="13"/>
          <w:color w:val="auto"/>
        </w:rPr>
        <w:t>to select eligible participants and determine the type(s) of award(s) that they are to receive;</w:t>
      </w:r>
    </w:p>
    <w:p>
      <w:pPr>
        <w:spacing w:after="0" w:line="66" w:lineRule="exact"/>
        <w:rPr>
          <w:rFonts w:ascii="Arial" w:cs="Arial" w:eastAsia="Arial" w:hAnsi="Arial"/>
          <w:sz w:val="13"/>
          <w:szCs w:val="13"/>
          <w:color w:val="61C4AF"/>
        </w:rPr>
      </w:pPr>
    </w:p>
    <w:p>
      <w:pPr>
        <w:ind w:left="240" w:right="480" w:hanging="232"/>
        <w:spacing w:after="0" w:line="258" w:lineRule="auto"/>
        <w:tabs>
          <w:tab w:leader="none" w:pos="240" w:val="left"/>
        </w:tabs>
        <w:numPr>
          <w:ilvl w:val="0"/>
          <w:numId w:val="232"/>
        </w:numPr>
        <w:rPr>
          <w:rFonts w:ascii="Arial" w:cs="Arial" w:eastAsia="Arial" w:hAnsi="Arial"/>
          <w:sz w:val="13"/>
          <w:szCs w:val="13"/>
          <w:color w:val="61C4AF"/>
        </w:rPr>
      </w:pPr>
      <w:r>
        <w:rPr>
          <w:rFonts w:ascii="Arial" w:cs="Arial" w:eastAsia="Arial" w:hAnsi="Arial"/>
          <w:sz w:val="13"/>
          <w:szCs w:val="13"/>
          <w:color w:val="auto"/>
        </w:rPr>
        <w:t>to grant awards and determine the terms and conditions of awards, including the price (if any) to be paid for the shares or the award and, in the case of share-based awards, the number of shares to be offered or awarded;</w:t>
      </w:r>
    </w:p>
    <w:p>
      <w:pPr>
        <w:spacing w:after="0" w:line="43" w:lineRule="exact"/>
        <w:rPr>
          <w:rFonts w:ascii="Arial" w:cs="Arial" w:eastAsia="Arial" w:hAnsi="Arial"/>
          <w:sz w:val="13"/>
          <w:szCs w:val="13"/>
          <w:color w:val="61C4AF"/>
        </w:rPr>
      </w:pPr>
    </w:p>
    <w:p>
      <w:pPr>
        <w:ind w:left="240" w:right="160" w:hanging="232"/>
        <w:spacing w:after="0" w:line="248" w:lineRule="auto"/>
        <w:tabs>
          <w:tab w:leader="none" w:pos="240" w:val="left"/>
        </w:tabs>
        <w:numPr>
          <w:ilvl w:val="0"/>
          <w:numId w:val="232"/>
        </w:numPr>
        <w:rPr>
          <w:rFonts w:ascii="Arial" w:cs="Arial" w:eastAsia="Arial" w:hAnsi="Arial"/>
          <w:sz w:val="13"/>
          <w:szCs w:val="13"/>
          <w:color w:val="61C4AF"/>
        </w:rPr>
      </w:pPr>
      <w:r>
        <w:rPr>
          <w:rFonts w:ascii="Arial" w:cs="Arial" w:eastAsia="Arial" w:hAnsi="Arial"/>
          <w:sz w:val="13"/>
          <w:szCs w:val="13"/>
          <w:color w:val="auto"/>
        </w:rPr>
        <w:t>to determine any applicable vesting and exercise conditions for awards (including any applicable performance and/or time-based vesting or exercisability conditions) and the extent to which such conditions have been satisfied, or determine that no delayed vesting or exercise is required and to accelerate or extend the vesting or exercisability or extend the term of any or all outstanding awards;</w:t>
      </w:r>
    </w:p>
    <w:p>
      <w:pPr>
        <w:spacing w:after="0" w:line="49" w:lineRule="exact"/>
        <w:rPr>
          <w:rFonts w:ascii="Arial" w:cs="Arial" w:eastAsia="Arial" w:hAnsi="Arial"/>
          <w:sz w:val="13"/>
          <w:szCs w:val="13"/>
          <w:color w:val="61C4AF"/>
        </w:rPr>
      </w:pPr>
    </w:p>
    <w:p>
      <w:pPr>
        <w:ind w:left="240" w:hanging="232"/>
        <w:spacing w:after="0"/>
        <w:tabs>
          <w:tab w:leader="none" w:pos="240" w:val="left"/>
        </w:tabs>
        <w:numPr>
          <w:ilvl w:val="0"/>
          <w:numId w:val="232"/>
        </w:numPr>
        <w:rPr>
          <w:rFonts w:ascii="Arial" w:cs="Arial" w:eastAsia="Arial" w:hAnsi="Arial"/>
          <w:sz w:val="13"/>
          <w:szCs w:val="13"/>
          <w:color w:val="61C4AF"/>
        </w:rPr>
      </w:pPr>
      <w:r>
        <w:rPr>
          <w:rFonts w:ascii="Arial" w:cs="Arial" w:eastAsia="Arial" w:hAnsi="Arial"/>
          <w:sz w:val="13"/>
          <w:szCs w:val="13"/>
          <w:color w:val="auto"/>
        </w:rPr>
        <w:t>to cancel, modify or waive our rights with respect to, or modify, discontinue, suspend or terminate any or all outstanding awards, subject to any required consents;</w:t>
      </w:r>
    </w:p>
    <w:p>
      <w:pPr>
        <w:spacing w:after="0" w:line="66" w:lineRule="exact"/>
        <w:rPr>
          <w:rFonts w:ascii="Arial" w:cs="Arial" w:eastAsia="Arial" w:hAnsi="Arial"/>
          <w:sz w:val="13"/>
          <w:szCs w:val="13"/>
          <w:color w:val="61C4AF"/>
        </w:rPr>
      </w:pPr>
    </w:p>
    <w:p>
      <w:pPr>
        <w:ind w:left="240" w:right="540" w:hanging="232"/>
        <w:spacing w:after="0" w:line="258" w:lineRule="auto"/>
        <w:tabs>
          <w:tab w:leader="none" w:pos="240" w:val="left"/>
        </w:tabs>
        <w:numPr>
          <w:ilvl w:val="0"/>
          <w:numId w:val="232"/>
        </w:numPr>
        <w:rPr>
          <w:rFonts w:ascii="Arial" w:cs="Arial" w:eastAsia="Arial" w:hAnsi="Arial"/>
          <w:sz w:val="13"/>
          <w:szCs w:val="13"/>
          <w:color w:val="61C4AF"/>
        </w:rPr>
      </w:pPr>
      <w:r>
        <w:rPr>
          <w:rFonts w:ascii="Arial" w:cs="Arial" w:eastAsia="Arial" w:hAnsi="Arial"/>
          <w:sz w:val="13"/>
          <w:szCs w:val="13"/>
          <w:color w:val="auto"/>
        </w:rPr>
        <w:t>subject to the other provisions of our 2017 Performance Incentive Plan, to make certain adjustments to an outstanding award (including determining the circumstances in which performance-based goals will be adjusted and the nature and impact of such adjustments) and to authorize the conversion, succession or substitution of an award;</w:t>
      </w:r>
    </w:p>
    <w:p>
      <w:pPr>
        <w:spacing w:after="0" w:line="43" w:lineRule="exact"/>
        <w:rPr>
          <w:rFonts w:ascii="Arial" w:cs="Arial" w:eastAsia="Arial" w:hAnsi="Arial"/>
          <w:sz w:val="13"/>
          <w:szCs w:val="13"/>
          <w:color w:val="61C4AF"/>
        </w:rPr>
      </w:pPr>
    </w:p>
    <w:p>
      <w:pPr>
        <w:ind w:left="240" w:right="160" w:hanging="232"/>
        <w:spacing w:after="0" w:line="245" w:lineRule="auto"/>
        <w:tabs>
          <w:tab w:leader="none" w:pos="240" w:val="left"/>
        </w:tabs>
        <w:numPr>
          <w:ilvl w:val="0"/>
          <w:numId w:val="232"/>
        </w:numPr>
        <w:rPr>
          <w:rFonts w:ascii="Arial" w:cs="Arial" w:eastAsia="Arial" w:hAnsi="Arial"/>
          <w:sz w:val="13"/>
          <w:szCs w:val="13"/>
          <w:color w:val="61C4AF"/>
        </w:rPr>
      </w:pPr>
      <w:r>
        <w:rPr>
          <w:rFonts w:ascii="Arial" w:cs="Arial" w:eastAsia="Arial" w:hAnsi="Arial"/>
          <w:sz w:val="13"/>
          <w:szCs w:val="13"/>
          <w:color w:val="auto"/>
        </w:rPr>
        <w:t>to determine the method of payment of any purchase price for an award or shares of our common stock delivered under our 2017 Performance Incentive Plan, as well as any tax-related items with respect to an award, which may be in the form of cash, check or electronic funds transfer, by the delivery of already-owned shares of our common stock or by a reduction of the number of shares deliverable pursuant to the award, by services rendered by the recipient of the award, by notice in third party payment or cashless exercise on such terms as the Administrator may authorize, or any other form permitted by law;</w:t>
      </w:r>
    </w:p>
    <w:p>
      <w:pPr>
        <w:spacing w:after="0" w:line="181"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3"/>
          <w:szCs w:val="13"/>
          <w:color w:val="23628F"/>
        </w:rPr>
        <w:t>2020 PROXY STATEMENT</w:t>
      </w:r>
      <w:r>
        <w:rPr>
          <w:sz w:val="20"/>
          <w:szCs w:val="20"/>
          <w:color w:val="auto"/>
        </w:rPr>
        <w:tab/>
      </w:r>
      <w:r>
        <w:rPr>
          <w:rFonts w:ascii="Arial" w:cs="Arial" w:eastAsia="Arial" w:hAnsi="Arial"/>
          <w:sz w:val="16"/>
          <w:szCs w:val="16"/>
          <w:b w:val="1"/>
          <w:bCs w:val="1"/>
          <w:color w:val="23628F"/>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153275" cy="209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23628F"/>
        </w:rPr>
        <w:t>EQUITY PLAN PROPOSAL</w:t>
      </w:r>
    </w:p>
    <w:p>
      <w:pPr>
        <w:spacing w:after="0" w:line="215" w:lineRule="exact"/>
        <w:rPr>
          <w:sz w:val="20"/>
          <w:szCs w:val="20"/>
          <w:color w:val="auto"/>
        </w:rPr>
      </w:pPr>
    </w:p>
    <w:p>
      <w:pPr>
        <w:ind w:left="240" w:hanging="232"/>
        <w:spacing w:after="0" w:line="258" w:lineRule="auto"/>
        <w:tabs>
          <w:tab w:leader="none" w:pos="240" w:val="left"/>
        </w:tabs>
        <w:numPr>
          <w:ilvl w:val="0"/>
          <w:numId w:val="233"/>
        </w:numPr>
        <w:rPr>
          <w:rFonts w:ascii="Arial" w:cs="Arial" w:eastAsia="Arial" w:hAnsi="Arial"/>
          <w:sz w:val="13"/>
          <w:szCs w:val="13"/>
          <w:color w:val="61C4AF"/>
        </w:rPr>
      </w:pPr>
      <w:r>
        <w:rPr>
          <w:rFonts w:ascii="Arial" w:cs="Arial" w:eastAsia="Arial" w:hAnsi="Arial"/>
          <w:sz w:val="13"/>
          <w:szCs w:val="13"/>
          <w:color w:val="auto"/>
        </w:rPr>
        <w:t>to modify the terms and conditions of any award, establish sub-plans and agreements and determine different terms and conditions that the Administrator deems necessary or advisable to comply with laws in the countries where we operate or where one or more eligible participants reside or provide services;</w:t>
      </w:r>
    </w:p>
    <w:p>
      <w:pPr>
        <w:spacing w:after="0" w:line="43" w:lineRule="exact"/>
        <w:rPr>
          <w:rFonts w:ascii="Arial" w:cs="Arial" w:eastAsia="Arial" w:hAnsi="Arial"/>
          <w:sz w:val="13"/>
          <w:szCs w:val="13"/>
          <w:color w:val="61C4AF"/>
        </w:rPr>
      </w:pPr>
    </w:p>
    <w:p>
      <w:pPr>
        <w:ind w:left="240" w:hanging="232"/>
        <w:spacing w:after="0"/>
        <w:tabs>
          <w:tab w:leader="none" w:pos="240" w:val="left"/>
        </w:tabs>
        <w:numPr>
          <w:ilvl w:val="0"/>
          <w:numId w:val="233"/>
        </w:numPr>
        <w:rPr>
          <w:rFonts w:ascii="Arial" w:cs="Arial" w:eastAsia="Arial" w:hAnsi="Arial"/>
          <w:sz w:val="13"/>
          <w:szCs w:val="13"/>
          <w:color w:val="61C4AF"/>
        </w:rPr>
      </w:pPr>
      <w:r>
        <w:rPr>
          <w:rFonts w:ascii="Arial" w:cs="Arial" w:eastAsia="Arial" w:hAnsi="Arial"/>
          <w:sz w:val="13"/>
          <w:szCs w:val="13"/>
          <w:color w:val="auto"/>
        </w:rPr>
        <w:t>to approve the form of award agreements used under our 2017 Performance Incentive Plan; and</w:t>
      </w:r>
    </w:p>
    <w:p>
      <w:pPr>
        <w:spacing w:after="0" w:line="66" w:lineRule="exact"/>
        <w:rPr>
          <w:rFonts w:ascii="Arial" w:cs="Arial" w:eastAsia="Arial" w:hAnsi="Arial"/>
          <w:sz w:val="13"/>
          <w:szCs w:val="13"/>
          <w:color w:val="61C4AF"/>
        </w:rPr>
      </w:pPr>
    </w:p>
    <w:p>
      <w:pPr>
        <w:ind w:left="240" w:right="180" w:hanging="232"/>
        <w:spacing w:after="0" w:line="249" w:lineRule="auto"/>
        <w:tabs>
          <w:tab w:leader="none" w:pos="240" w:val="left"/>
        </w:tabs>
        <w:numPr>
          <w:ilvl w:val="0"/>
          <w:numId w:val="233"/>
        </w:numPr>
        <w:rPr>
          <w:rFonts w:ascii="Arial" w:cs="Arial" w:eastAsia="Arial" w:hAnsi="Arial"/>
          <w:sz w:val="13"/>
          <w:szCs w:val="13"/>
          <w:color w:val="61C4AF"/>
        </w:rPr>
      </w:pPr>
      <w:r>
        <w:rPr>
          <w:rFonts w:ascii="Arial" w:cs="Arial" w:eastAsia="Arial" w:hAnsi="Arial"/>
          <w:sz w:val="13"/>
          <w:szCs w:val="13"/>
          <w:color w:val="auto"/>
        </w:rPr>
        <w:t>to construe and interpret our 2017 Performance Incentive Plan, make rules for the administration of the plan and make all other determinations necessary for the administration of the plan.</w:t>
      </w:r>
    </w:p>
    <w:p>
      <w:pPr>
        <w:spacing w:after="0" w:line="325"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No Repricing</w:t>
      </w:r>
    </w:p>
    <w:p>
      <w:pPr>
        <w:spacing w:after="0" w:line="257" w:lineRule="exact"/>
        <w:rPr>
          <w:sz w:val="20"/>
          <w:szCs w:val="20"/>
          <w:color w:val="auto"/>
        </w:rPr>
      </w:pPr>
    </w:p>
    <w:p>
      <w:pPr>
        <w:ind w:right="60"/>
        <w:spacing w:after="0" w:line="245" w:lineRule="auto"/>
        <w:rPr>
          <w:sz w:val="20"/>
          <w:szCs w:val="20"/>
          <w:color w:val="auto"/>
        </w:rPr>
      </w:pPr>
      <w:r>
        <w:rPr>
          <w:rFonts w:ascii="Arial" w:cs="Arial" w:eastAsia="Arial" w:hAnsi="Arial"/>
          <w:sz w:val="13"/>
          <w:szCs w:val="13"/>
          <w:color w:val="auto"/>
        </w:rPr>
        <w:t>In no case (except due to an adjustment to reflect a stock split or other event referred to under “Adjustments” below, or any repricing that may be approved by stockholders) will the Administrator: (i) amend an outstanding option or stock appreciation right to reduce the exercise price or base price of the award; (ii) cancel, exchange, replace or surrender an outstanding stock option or stock appreciation right in exchange for cash or other awards for the purpose of repricing the award; or (iii) cancel, exchange or surrender an outstanding stock option or stock appreciation right in exchange for an stock option or stock appreciation right with an exercise or base price that is less than the exercise or base price of the original award.</w:t>
      </w:r>
    </w:p>
    <w:p>
      <w:pPr>
        <w:spacing w:after="0" w:line="166"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Eligibility</w:t>
      </w:r>
    </w:p>
    <w:p>
      <w:pPr>
        <w:spacing w:after="0" w:line="257" w:lineRule="exact"/>
        <w:rPr>
          <w:sz w:val="20"/>
          <w:szCs w:val="20"/>
          <w:color w:val="auto"/>
        </w:rPr>
      </w:pPr>
    </w:p>
    <w:p>
      <w:pPr>
        <w:ind w:right="260"/>
        <w:spacing w:after="0" w:line="248" w:lineRule="auto"/>
        <w:rPr>
          <w:sz w:val="20"/>
          <w:szCs w:val="20"/>
          <w:color w:val="auto"/>
        </w:rPr>
      </w:pPr>
      <w:r>
        <w:rPr>
          <w:rFonts w:ascii="Arial" w:cs="Arial" w:eastAsia="Arial" w:hAnsi="Arial"/>
          <w:sz w:val="13"/>
          <w:szCs w:val="13"/>
          <w:color w:val="auto"/>
        </w:rPr>
        <w:t>Persons eligible to receive awards under our 2017 Performance Incentive Plan include officers and employees of our company or any of our subsidiaries, members of our Board of Directors and certain consultants and advisors. As of July 3, 2020, approximately 64,000 of our officers and employees (including all of our named executive officers), each of our seven non-employee directors and approximately 60 consultants, were considered eligible under the plan.</w:t>
      </w:r>
    </w:p>
    <w:p>
      <w:pPr>
        <w:spacing w:after="0" w:line="165"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Aggregate Share Limit</w:t>
      </w:r>
    </w:p>
    <w:p>
      <w:pPr>
        <w:spacing w:after="0" w:line="257" w:lineRule="exact"/>
        <w:rPr>
          <w:sz w:val="20"/>
          <w:szCs w:val="20"/>
          <w:color w:val="auto"/>
        </w:rPr>
      </w:pPr>
    </w:p>
    <w:p>
      <w:pPr>
        <w:jc w:val="both"/>
        <w:ind w:right="460"/>
        <w:spacing w:after="0" w:line="248" w:lineRule="auto"/>
        <w:rPr>
          <w:sz w:val="20"/>
          <w:szCs w:val="20"/>
          <w:color w:val="auto"/>
        </w:rPr>
      </w:pPr>
      <w:r>
        <w:rPr>
          <w:rFonts w:ascii="Arial" w:cs="Arial" w:eastAsia="Arial" w:hAnsi="Arial"/>
          <w:sz w:val="13"/>
          <w:szCs w:val="13"/>
          <w:color w:val="auto"/>
        </w:rPr>
        <w:t>The maximum number of shares of our common stock that may be issued or transferred pursuant to awards under our 2017 Performance Incentive Plan (without giving effect to the proposed share increase) as of the Effective Date was 95,780,215. If stockholders approve this Proposal 3, the number of shares available for award grant purposes under our 2017 Performance Incentive Plan will equal the sum of the following (such total number of shares, the “share limit”):</w:t>
      </w:r>
    </w:p>
    <w:p>
      <w:pPr>
        <w:spacing w:after="0" w:line="198" w:lineRule="exact"/>
        <w:rPr>
          <w:sz w:val="20"/>
          <w:szCs w:val="20"/>
          <w:color w:val="auto"/>
        </w:rPr>
      </w:pPr>
    </w:p>
    <w:p>
      <w:pPr>
        <w:ind w:left="240" w:right="280" w:hanging="232"/>
        <w:spacing w:after="0" w:line="249" w:lineRule="auto"/>
        <w:tabs>
          <w:tab w:leader="none" w:pos="240" w:val="left"/>
        </w:tabs>
        <w:numPr>
          <w:ilvl w:val="0"/>
          <w:numId w:val="234"/>
        </w:numPr>
        <w:rPr>
          <w:rFonts w:ascii="Arial" w:cs="Arial" w:eastAsia="Arial" w:hAnsi="Arial"/>
          <w:sz w:val="13"/>
          <w:szCs w:val="13"/>
          <w:color w:val="61C4AF"/>
        </w:rPr>
      </w:pPr>
      <w:r>
        <w:rPr>
          <w:rFonts w:ascii="Arial" w:cs="Arial" w:eastAsia="Arial" w:hAnsi="Arial"/>
          <w:sz w:val="13"/>
          <w:szCs w:val="13"/>
          <w:color w:val="auto"/>
        </w:rPr>
        <w:t>105,580,215 shares of our common stock (which represents the share limit of 95,780,215 shares as in effect on the Effective Date plus the proposed increase of 9,800,000 shares), plus</w:t>
      </w:r>
    </w:p>
    <w:p>
      <w:pPr>
        <w:spacing w:after="0" w:line="209" w:lineRule="exact"/>
        <w:rPr>
          <w:rFonts w:ascii="Arial" w:cs="Arial" w:eastAsia="Arial" w:hAnsi="Arial"/>
          <w:sz w:val="13"/>
          <w:szCs w:val="13"/>
          <w:color w:val="61C4AF"/>
        </w:rPr>
      </w:pPr>
    </w:p>
    <w:p>
      <w:pPr>
        <w:ind w:left="240" w:right="140" w:hanging="232"/>
        <w:spacing w:after="0" w:line="248" w:lineRule="auto"/>
        <w:tabs>
          <w:tab w:leader="none" w:pos="240" w:val="left"/>
        </w:tabs>
        <w:numPr>
          <w:ilvl w:val="0"/>
          <w:numId w:val="234"/>
        </w:numPr>
        <w:rPr>
          <w:rFonts w:ascii="Arial" w:cs="Arial" w:eastAsia="Arial" w:hAnsi="Arial"/>
          <w:sz w:val="13"/>
          <w:szCs w:val="13"/>
          <w:color w:val="61C4AF"/>
        </w:rPr>
      </w:pPr>
      <w:r>
        <w:rPr>
          <w:rFonts w:ascii="Arial" w:cs="Arial" w:eastAsia="Arial" w:hAnsi="Arial"/>
          <w:sz w:val="13"/>
          <w:szCs w:val="13"/>
          <w:color w:val="auto"/>
        </w:rPr>
        <w:t>the number of any shares of our common stock subject to stock options outstanding under the SanDisk Plan as of the Effective Date which expire, or for any reason are cancelled or terminated, after the Effective Date without being exercised (which, for purposes of clarity, will become available for award grants under the amended and restated version of our 2017 Performance Incentive Plan on a one-for-one basis), plus</w:t>
      </w:r>
    </w:p>
    <w:p>
      <w:pPr>
        <w:spacing w:after="0" w:line="49" w:lineRule="exact"/>
        <w:rPr>
          <w:rFonts w:ascii="Arial" w:cs="Arial" w:eastAsia="Arial" w:hAnsi="Arial"/>
          <w:sz w:val="13"/>
          <w:szCs w:val="13"/>
          <w:color w:val="61C4AF"/>
        </w:rPr>
      </w:pPr>
    </w:p>
    <w:p>
      <w:pPr>
        <w:jc w:val="both"/>
        <w:ind w:left="240" w:right="460" w:hanging="232"/>
        <w:spacing w:after="0" w:line="258" w:lineRule="auto"/>
        <w:tabs>
          <w:tab w:leader="none" w:pos="240" w:val="left"/>
        </w:tabs>
        <w:numPr>
          <w:ilvl w:val="0"/>
          <w:numId w:val="234"/>
        </w:numPr>
        <w:rPr>
          <w:rFonts w:ascii="Arial" w:cs="Arial" w:eastAsia="Arial" w:hAnsi="Arial"/>
          <w:sz w:val="13"/>
          <w:szCs w:val="13"/>
          <w:color w:val="61C4AF"/>
        </w:rPr>
      </w:pPr>
      <w:r>
        <w:rPr>
          <w:rFonts w:ascii="Arial" w:cs="Arial" w:eastAsia="Arial" w:hAnsi="Arial"/>
          <w:sz w:val="13"/>
          <w:szCs w:val="13"/>
          <w:color w:val="auto"/>
        </w:rPr>
        <w:t>1.72 times the number of any shares of our common stock subject to RSU awards outstanding and unvested under the SanDisk Plan as of the Effective Date which are forfeited, terminated, cancelled, or otherwise reacquired after the Effective Date without having become vested (for clarity, with the 1.72:1 ratio to reflect the “full-value award” ratio below).</w:t>
      </w:r>
    </w:p>
    <w:p>
      <w:pPr>
        <w:spacing w:after="0" w:line="192" w:lineRule="exact"/>
        <w:rPr>
          <w:sz w:val="20"/>
          <w:szCs w:val="20"/>
          <w:color w:val="auto"/>
        </w:rPr>
      </w:pPr>
    </w:p>
    <w:p>
      <w:pPr>
        <w:ind w:right="40"/>
        <w:spacing w:after="0" w:line="241" w:lineRule="auto"/>
        <w:rPr>
          <w:sz w:val="20"/>
          <w:szCs w:val="20"/>
          <w:color w:val="auto"/>
        </w:rPr>
      </w:pPr>
      <w:r>
        <w:rPr>
          <w:rFonts w:ascii="Arial" w:cs="Arial" w:eastAsia="Arial" w:hAnsi="Arial"/>
          <w:sz w:val="13"/>
          <w:szCs w:val="13"/>
          <w:color w:val="auto"/>
        </w:rPr>
        <w:t>Shares issued in respect of any full-value award granted under our 2017 Performance Incentive Plan count against the share limit described in the preceding paragraph as 1.72 shares for every one share actually issued in connection with the award. For example, if we granted an award of 100 shares of our common stock under the plan, 172 shares would be counted against the share limit with respect to that award. For this purpose, a “full-value award” generally means any award granted under the plan other than a stock option or a stock appreciation right. As of the Effective Date, a total of 14,216,265 shares of our common stock were subject to outstanding awards granted under our 2017 Performance Incentive Plan, a total of 14,969,913 shares of our common stock were available for new award grants under our 2017 Performance Incentive Plan (before giving effect to the increase in the aggregate share limit being requested in this Proposal 3), 243,286 shares of our common stock were subject to stock options outstanding under the SanDisk Plan and 181,930 shares of our common stock were subject to outstanding and unvested RSU awards under the SanDisk Plan.</w:t>
      </w:r>
    </w:p>
    <w:p>
      <w:pPr>
        <w:spacing w:after="0" w:line="200" w:lineRule="exact"/>
        <w:rPr>
          <w:sz w:val="20"/>
          <w:szCs w:val="20"/>
          <w:color w:val="auto"/>
        </w:rPr>
      </w:pPr>
    </w:p>
    <w:p>
      <w:pPr>
        <w:ind w:left="540" w:hanging="532"/>
        <w:spacing w:after="0"/>
        <w:tabs>
          <w:tab w:leader="none" w:pos="540" w:val="left"/>
        </w:tabs>
        <w:numPr>
          <w:ilvl w:val="0"/>
          <w:numId w:val="235"/>
        </w:numPr>
        <w:rPr>
          <w:rFonts w:ascii="Arial" w:cs="Arial" w:eastAsia="Arial" w:hAnsi="Arial"/>
          <w:sz w:val="18"/>
          <w:szCs w:val="18"/>
          <w:b w:val="1"/>
          <w:bCs w:val="1"/>
          <w:color w:val="23628F"/>
        </w:rPr>
      </w:pPr>
      <w:r>
        <w:rPr>
          <w:rFonts w:ascii="Arial" w:cs="Arial" w:eastAsia="Arial" w:hAnsi="Arial"/>
          <w:sz w:val="13"/>
          <w:szCs w:val="13"/>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153275" cy="215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right"/>
        <w:spacing w:after="0"/>
        <w:rPr>
          <w:sz w:val="20"/>
          <w:szCs w:val="20"/>
          <w:color w:val="auto"/>
        </w:rPr>
      </w:pPr>
      <w:r>
        <w:rPr>
          <w:rFonts w:ascii="Arial" w:cs="Arial" w:eastAsia="Arial" w:hAnsi="Arial"/>
          <w:sz w:val="13"/>
          <w:szCs w:val="13"/>
          <w:color w:val="23628F"/>
        </w:rPr>
        <w:t>EQUITY PLAN PROPOSAL</w:t>
      </w:r>
    </w:p>
    <w:p>
      <w:pPr>
        <w:spacing w:after="0" w:line="182"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Additional Share Limits</w:t>
      </w:r>
    </w:p>
    <w:p>
      <w:pPr>
        <w:spacing w:after="0" w:line="257" w:lineRule="exact"/>
        <w:rPr>
          <w:sz w:val="20"/>
          <w:szCs w:val="20"/>
          <w:color w:val="auto"/>
        </w:rPr>
      </w:pPr>
    </w:p>
    <w:p>
      <w:pPr>
        <w:ind w:right="200"/>
        <w:spacing w:after="0" w:line="258" w:lineRule="auto"/>
        <w:rPr>
          <w:sz w:val="20"/>
          <w:szCs w:val="20"/>
          <w:color w:val="auto"/>
        </w:rPr>
      </w:pPr>
      <w:r>
        <w:rPr>
          <w:rFonts w:ascii="Arial" w:cs="Arial" w:eastAsia="Arial" w:hAnsi="Arial"/>
          <w:sz w:val="13"/>
          <w:szCs w:val="13"/>
          <w:color w:val="auto"/>
        </w:rPr>
        <w:t>The following other limits are also contained in our 2017 Performance Incentive Plan. These limits are in addition to, and not in lieu of, the share limit for the plan described above and, in the case of share-based limits, are applied on a one-for-one basis without applying the fungible share counting ratio for full-value awards discussed above.</w:t>
      </w:r>
    </w:p>
    <w:p>
      <w:pPr>
        <w:spacing w:after="0" w:line="192" w:lineRule="exact"/>
        <w:rPr>
          <w:sz w:val="20"/>
          <w:szCs w:val="20"/>
          <w:color w:val="auto"/>
        </w:rPr>
      </w:pPr>
    </w:p>
    <w:p>
      <w:pPr>
        <w:ind w:left="240" w:hanging="232"/>
        <w:spacing w:after="0"/>
        <w:tabs>
          <w:tab w:leader="none" w:pos="240" w:val="left"/>
        </w:tabs>
        <w:numPr>
          <w:ilvl w:val="0"/>
          <w:numId w:val="236"/>
        </w:numPr>
        <w:rPr>
          <w:rFonts w:ascii="Arial" w:cs="Arial" w:eastAsia="Arial" w:hAnsi="Arial"/>
          <w:sz w:val="13"/>
          <w:szCs w:val="13"/>
          <w:color w:val="61C4AF"/>
        </w:rPr>
      </w:pPr>
      <w:r>
        <w:rPr>
          <w:rFonts w:ascii="Arial" w:cs="Arial" w:eastAsia="Arial" w:hAnsi="Arial"/>
          <w:sz w:val="13"/>
          <w:szCs w:val="13"/>
          <w:color w:val="auto"/>
        </w:rPr>
        <w:t>The maximum number of shares that may be delivered pursuant to options qualified as incentive stock options granted under the plan is 91,837,248 shares.</w:t>
      </w:r>
    </w:p>
    <w:p>
      <w:pPr>
        <w:spacing w:after="0" w:line="107" w:lineRule="exact"/>
        <w:rPr>
          <w:rFonts w:ascii="Arial" w:cs="Arial" w:eastAsia="Arial" w:hAnsi="Arial"/>
          <w:sz w:val="13"/>
          <w:szCs w:val="13"/>
          <w:color w:val="61C4AF"/>
        </w:rPr>
      </w:pPr>
    </w:p>
    <w:p>
      <w:pPr>
        <w:ind w:left="240" w:right="280" w:hanging="232"/>
        <w:spacing w:after="0" w:line="258" w:lineRule="auto"/>
        <w:tabs>
          <w:tab w:leader="none" w:pos="240" w:val="left"/>
        </w:tabs>
        <w:numPr>
          <w:ilvl w:val="0"/>
          <w:numId w:val="236"/>
        </w:numPr>
        <w:rPr>
          <w:rFonts w:ascii="Arial" w:cs="Arial" w:eastAsia="Arial" w:hAnsi="Arial"/>
          <w:sz w:val="13"/>
          <w:szCs w:val="13"/>
          <w:color w:val="61C4AF"/>
        </w:rPr>
      </w:pPr>
      <w:r>
        <w:rPr>
          <w:rFonts w:ascii="Arial" w:cs="Arial" w:eastAsia="Arial" w:hAnsi="Arial"/>
          <w:sz w:val="13"/>
          <w:szCs w:val="13"/>
          <w:color w:val="auto"/>
        </w:rPr>
        <w:t>The maximum number of shares subject to those options and stock appreciation rights that are granted under the plan during any calendar year to any individual under the plan is 1 million shares.</w:t>
      </w:r>
    </w:p>
    <w:p>
      <w:pPr>
        <w:spacing w:after="0" w:line="83" w:lineRule="exact"/>
        <w:rPr>
          <w:rFonts w:ascii="Arial" w:cs="Arial" w:eastAsia="Arial" w:hAnsi="Arial"/>
          <w:sz w:val="13"/>
          <w:szCs w:val="13"/>
          <w:color w:val="61C4AF"/>
        </w:rPr>
      </w:pPr>
    </w:p>
    <w:p>
      <w:pPr>
        <w:ind w:left="240" w:right="120" w:hanging="232"/>
        <w:spacing w:after="0" w:line="248" w:lineRule="auto"/>
        <w:tabs>
          <w:tab w:leader="none" w:pos="240" w:val="left"/>
        </w:tabs>
        <w:numPr>
          <w:ilvl w:val="0"/>
          <w:numId w:val="236"/>
        </w:numPr>
        <w:rPr>
          <w:rFonts w:ascii="Arial" w:cs="Arial" w:eastAsia="Arial" w:hAnsi="Arial"/>
          <w:sz w:val="13"/>
          <w:szCs w:val="13"/>
          <w:color w:val="61C4AF"/>
        </w:rPr>
      </w:pPr>
      <w:r>
        <w:rPr>
          <w:rFonts w:ascii="Arial" w:cs="Arial" w:eastAsia="Arial" w:hAnsi="Arial"/>
          <w:sz w:val="13"/>
          <w:szCs w:val="13"/>
          <w:color w:val="auto"/>
        </w:rPr>
        <w:t>The value of the shares subject to awards granted to any one non-employee director in any one grant year (based on the fair market value of the shares on the grant date of the applicable award, using such valuation principles as determined by the Administrator) may not exceed $900,000. This limit would not apply as to any award granted to an individual for services in a capacity other than as a non-employee director, even if such individual is, was or becomes a non-employee director. The term “grant year” is used as described above.</w:t>
      </w:r>
    </w:p>
    <w:p>
      <w:pPr>
        <w:spacing w:after="0" w:line="198" w:lineRule="exact"/>
        <w:rPr>
          <w:sz w:val="20"/>
          <w:szCs w:val="20"/>
          <w:color w:val="auto"/>
        </w:rPr>
      </w:pPr>
    </w:p>
    <w:p>
      <w:pPr>
        <w:ind w:right="20"/>
        <w:spacing w:after="0"/>
        <w:rPr>
          <w:sz w:val="20"/>
          <w:szCs w:val="20"/>
          <w:color w:val="auto"/>
        </w:rPr>
      </w:pPr>
      <w:r>
        <w:rPr>
          <w:rFonts w:ascii="Arial" w:cs="Arial" w:eastAsia="Arial" w:hAnsi="Arial"/>
          <w:sz w:val="13"/>
          <w:szCs w:val="13"/>
          <w:color w:val="auto"/>
        </w:rPr>
        <w:t>To the extent that an award granted under our 2017 Performance Incentive Plan is settled in cash or a form other than shares, the shares that would have been delivered had there been no such cash or other settlement will not be counted against the shares available for issuance under the plan. In the event that shares are delivered in respect of a dividend equivalent right granted under our 2017 Performance Incentive Plan, only the actual number of shares delivered with respect to the award shall be counted against the share limits of the plan. To the extent that shares are delivered pursuant to the exercise of a stock appreciation right or stock option, the number of underlying shares as to which the exercise relates shall be counted against the applicable share limits, as opposed to only counting the shares actually issued. Shares that are subject to or underlie awards granted under our 2017 Performance Incentive Plan or options granted under the SanDisk Plan that are not paid or delivered (whether due to expiration, cancellation, termination, forfeiture, failure to vest or any other reason) will again be available for subsequent awards under our 2017 Performance Incentive Plan. In addition, our 2017 Performance Incentive Plan generally provides that shares issued in connection with awards that are granted by or become obligations of our company through the assumption of awards (or in substitution for awards) in connection with an acquisition of another company will not count against the shares available for issuance under our 2017 Performance Incentive Plan.</w:t>
      </w:r>
    </w:p>
    <w:p>
      <w:pPr>
        <w:spacing w:after="0" w:line="207" w:lineRule="exact"/>
        <w:rPr>
          <w:sz w:val="20"/>
          <w:szCs w:val="20"/>
          <w:color w:val="auto"/>
        </w:rPr>
      </w:pPr>
    </w:p>
    <w:p>
      <w:pPr>
        <w:ind w:right="180"/>
        <w:spacing w:after="0" w:line="243" w:lineRule="auto"/>
        <w:rPr>
          <w:sz w:val="20"/>
          <w:szCs w:val="20"/>
          <w:color w:val="auto"/>
        </w:rPr>
      </w:pPr>
      <w:r>
        <w:rPr>
          <w:rFonts w:ascii="Arial" w:cs="Arial" w:eastAsia="Arial" w:hAnsi="Arial"/>
          <w:sz w:val="13"/>
          <w:szCs w:val="13"/>
          <w:color w:val="auto"/>
        </w:rPr>
        <w:t>Shares that are reacquired or withheld by us as full or partial payment in connection with a full-value award under our 2017 Performance Incentive Plan or the SanDisk Plan, as well as shares reacquired or withheld by us to satisfy the tax withholding obligations related to a full-value award under our 2017 Performance Incentive Plan or the SanDisk Plan, will not count against the share limit of and will be available for new award grants under our 2017 Performance Incentive Plan. Shares that are reacquired or withheld by us in connection with the exercise of stock options, the settlement of stock appreciation rights or the payment of required withholding taxes on stock options or stock appreciation rights are not, however, available for new award grants.</w:t>
      </w:r>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Types of Awards</w:t>
      </w:r>
    </w:p>
    <w:p>
      <w:pPr>
        <w:spacing w:after="0" w:line="257" w:lineRule="exact"/>
        <w:rPr>
          <w:sz w:val="20"/>
          <w:szCs w:val="20"/>
          <w:color w:val="auto"/>
        </w:rPr>
      </w:pPr>
    </w:p>
    <w:p>
      <w:pPr>
        <w:ind w:right="380"/>
        <w:spacing w:after="0" w:line="245" w:lineRule="auto"/>
        <w:rPr>
          <w:sz w:val="20"/>
          <w:szCs w:val="20"/>
          <w:color w:val="auto"/>
        </w:rPr>
      </w:pPr>
      <w:r>
        <w:rPr>
          <w:rFonts w:ascii="Arial" w:cs="Arial" w:eastAsia="Arial" w:hAnsi="Arial"/>
          <w:sz w:val="13"/>
          <w:szCs w:val="13"/>
          <w:color w:val="auto"/>
        </w:rPr>
        <w:t>Our 2017 Performance Incentive Plan authorizes stock options, stock appreciation rights, restricted stock, stock bonuses, performance stock, stock units, phantom stock, dividend equivalents and similar awards, which are granted or denominated in shares of our common stock, as well as cash awards (including cash awards based on achievement of goals established by the Administrator and discretionary cash awards). Our 2017 Performance Incentive Plan retains flexibility to offer competitive incentives and to tailor benefits to specific needs and circumstances. Any award may be paid or settled in cash.</w:t>
      </w:r>
    </w:p>
    <w:p>
      <w:pPr>
        <w:spacing w:after="0" w:line="200" w:lineRule="exact"/>
        <w:rPr>
          <w:sz w:val="20"/>
          <w:szCs w:val="20"/>
          <w:color w:val="auto"/>
        </w:rPr>
      </w:pPr>
    </w:p>
    <w:p>
      <w:pPr>
        <w:ind w:right="20"/>
        <w:spacing w:after="0" w:line="243" w:lineRule="auto"/>
        <w:rPr>
          <w:sz w:val="20"/>
          <w:szCs w:val="20"/>
          <w:color w:val="auto"/>
        </w:rPr>
      </w:pPr>
      <w:r>
        <w:rPr>
          <w:rFonts w:ascii="Arial" w:cs="Arial" w:eastAsia="Arial" w:hAnsi="Arial"/>
          <w:sz w:val="13"/>
          <w:szCs w:val="13"/>
          <w:color w:val="auto"/>
        </w:rPr>
        <w:t>A stock option is the right to purchase shares of our common stock at a future date at a specified price per share (the “exercise price”). The per share exercise price of an option may not be less than the fair market value of a share of our common stock on the grant date. The maximum term of an option is 10 years from the grant date. An option may either be an incentive stock option or a nonqualified stock option. Incentive stock option benefits are taxed differently from nonqualified stock options, as described in the section entitled “Material U.S. Federal Income Tax Consequences of Awards Under Our Amended and Restated 2017 Performance Incentive Plan” below. Incentive stock options are also subject to more restrictive terms and are limited in amount by the Internal Revenue Code and our 2017 Performance Incentive Plan. Incentive stock options may only be granted to our employees.</w:t>
      </w:r>
    </w:p>
    <w:p>
      <w:pPr>
        <w:spacing w:after="0" w:line="184"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3"/>
          <w:szCs w:val="13"/>
          <w:color w:val="23628F"/>
        </w:rPr>
        <w:t>2020 PROXY STATEMENT</w:t>
      </w:r>
      <w:r>
        <w:rPr>
          <w:sz w:val="20"/>
          <w:szCs w:val="20"/>
          <w:color w:val="auto"/>
        </w:rPr>
        <w:tab/>
      </w:r>
      <w:r>
        <w:rPr>
          <w:rFonts w:ascii="Arial" w:cs="Arial" w:eastAsia="Arial" w:hAnsi="Arial"/>
          <w:sz w:val="16"/>
          <w:szCs w:val="16"/>
          <w:b w:val="1"/>
          <w:bCs w:val="1"/>
          <w:color w:val="23628F"/>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153275" cy="209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23628F"/>
        </w:rPr>
        <w:t>EQUITY PLAN PROPOSAL</w:t>
      </w:r>
    </w:p>
    <w:p>
      <w:pPr>
        <w:spacing w:after="0" w:line="215" w:lineRule="exact"/>
        <w:rPr>
          <w:sz w:val="20"/>
          <w:szCs w:val="20"/>
          <w:color w:val="auto"/>
        </w:rPr>
      </w:pPr>
    </w:p>
    <w:p>
      <w:pPr>
        <w:ind w:right="20"/>
        <w:spacing w:after="0" w:line="245" w:lineRule="auto"/>
        <w:rPr>
          <w:sz w:val="20"/>
          <w:szCs w:val="20"/>
          <w:color w:val="auto"/>
        </w:rPr>
      </w:pPr>
      <w:r>
        <w:rPr>
          <w:rFonts w:ascii="Arial" w:cs="Arial" w:eastAsia="Arial" w:hAnsi="Arial"/>
          <w:sz w:val="13"/>
          <w:szCs w:val="13"/>
          <w:color w:val="auto"/>
        </w:rPr>
        <w:t>A stock appreciation right is the right to receive payment of an amount equal to the excess of the fair market value of a share of our common stock on the date of exercise of the stock appreciation right over the base price of the stock appreciation right. The base price will be established by the Administrator at the time of grant of the stock appreciation right and cannot be less than the fair market value of a share of our common stock on the grant date. Stock appreciation rights may be granted in connection with other awards or independently. The maximum term of a stock appreciation right is 10 years from the grant date.</w:t>
      </w:r>
    </w:p>
    <w:p>
      <w:pPr>
        <w:spacing w:after="0" w:line="200" w:lineRule="exact"/>
        <w:rPr>
          <w:sz w:val="20"/>
          <w:szCs w:val="20"/>
          <w:color w:val="auto"/>
        </w:rPr>
      </w:pPr>
    </w:p>
    <w:p>
      <w:pPr>
        <w:ind w:right="180"/>
        <w:spacing w:after="0" w:line="251" w:lineRule="auto"/>
        <w:rPr>
          <w:sz w:val="20"/>
          <w:szCs w:val="20"/>
          <w:color w:val="auto"/>
        </w:rPr>
      </w:pPr>
      <w:r>
        <w:rPr>
          <w:rFonts w:ascii="Arial" w:cs="Arial" w:eastAsia="Arial" w:hAnsi="Arial"/>
          <w:sz w:val="13"/>
          <w:szCs w:val="13"/>
          <w:color w:val="auto"/>
        </w:rPr>
        <w:t>Dividend equivalent rights may not be granted in connection with a stock option or stock appreciation right under the plan, and any dividends or dividend equivalents as to the unvested portion of other awards under the plan will be subject to termination and forfeiture to the same extent as the corresponding portion of the award, if the applicable vesting requirements are not satisfied.</w:t>
      </w:r>
    </w:p>
    <w:p>
      <w:pPr>
        <w:spacing w:after="0" w:line="316"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Minimum Vesting Requirements</w:t>
      </w:r>
    </w:p>
    <w:p>
      <w:pPr>
        <w:spacing w:after="0" w:line="257" w:lineRule="exact"/>
        <w:rPr>
          <w:sz w:val="20"/>
          <w:szCs w:val="20"/>
          <w:color w:val="auto"/>
        </w:rPr>
      </w:pPr>
    </w:p>
    <w:p>
      <w:pPr>
        <w:ind w:right="80"/>
        <w:spacing w:after="0" w:line="243" w:lineRule="auto"/>
        <w:rPr>
          <w:sz w:val="20"/>
          <w:szCs w:val="20"/>
          <w:color w:val="auto"/>
        </w:rPr>
      </w:pPr>
      <w:r>
        <w:rPr>
          <w:rFonts w:ascii="Arial" w:cs="Arial" w:eastAsia="Arial" w:hAnsi="Arial"/>
          <w:sz w:val="13"/>
          <w:szCs w:val="13"/>
          <w:color w:val="auto"/>
        </w:rPr>
        <w:t>Except pursuant to any required accelerated vesting in connection with a change in control event, or as described below, our 2017 Performance Incentive Plan provides that each award granted under the plan will be subject to a minimum vesting period of one year. Awards may, however, be granted under the plan with minimum vesting requirements of less than one year, or no vesting requirements, provided that the total number of shares of our common stock subject to such awards will not exceed 5% of the aggregate share limit. This minimum vesting requirement under our 2017 Performance Incentive Plan does not limit or restrict the Administrator’s discretion to accelerate or provide for the acceleration of vesting of any award in any circumstances it determines to be appropriate.</w:t>
      </w:r>
    </w:p>
    <w:p>
      <w:pPr>
        <w:spacing w:after="0" w:line="168"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Deferrals</w:t>
      </w:r>
    </w:p>
    <w:p>
      <w:pPr>
        <w:spacing w:after="0" w:line="257" w:lineRule="exact"/>
        <w:rPr>
          <w:sz w:val="20"/>
          <w:szCs w:val="20"/>
          <w:color w:val="auto"/>
        </w:rPr>
      </w:pPr>
    </w:p>
    <w:p>
      <w:pPr>
        <w:ind w:right="120"/>
        <w:spacing w:after="0" w:line="251" w:lineRule="auto"/>
        <w:rPr>
          <w:sz w:val="20"/>
          <w:szCs w:val="20"/>
          <w:color w:val="auto"/>
        </w:rPr>
      </w:pPr>
      <w:r>
        <w:rPr>
          <w:rFonts w:ascii="Arial" w:cs="Arial" w:eastAsia="Arial" w:hAnsi="Arial"/>
          <w:sz w:val="13"/>
          <w:szCs w:val="13"/>
          <w:color w:val="auto"/>
        </w:rPr>
        <w:t>The Administrator may provide for the deferred payment of awards, and may determine the other terms applicable to deferrals. The Administrator may provide that deferred settlements include the payment or crediting of interest or other earnings on the deferred amounts, or the payment or crediting of dividend equivalents where the deferred amounts are denominated in shares.</w:t>
      </w:r>
    </w:p>
    <w:p>
      <w:pPr>
        <w:spacing w:after="0" w:line="316"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Acceleration of Awards; Possible Early Termination of Awards</w:t>
      </w:r>
    </w:p>
    <w:p>
      <w:pPr>
        <w:spacing w:after="0" w:line="257" w:lineRule="exact"/>
        <w:rPr>
          <w:sz w:val="20"/>
          <w:szCs w:val="20"/>
          <w:color w:val="auto"/>
        </w:rPr>
      </w:pPr>
    </w:p>
    <w:p>
      <w:pPr>
        <w:spacing w:after="0" w:line="241" w:lineRule="auto"/>
        <w:rPr>
          <w:sz w:val="20"/>
          <w:szCs w:val="20"/>
          <w:color w:val="auto"/>
        </w:rPr>
      </w:pPr>
      <w:r>
        <w:rPr>
          <w:rFonts w:ascii="Arial" w:cs="Arial" w:eastAsia="Arial" w:hAnsi="Arial"/>
          <w:sz w:val="13"/>
          <w:szCs w:val="13"/>
          <w:color w:val="auto"/>
        </w:rPr>
        <w:t>Generally, and subject to limited exceptions set forth in our 2017 Performance Incentive Plan, upon any event in which our company does not survive, or does not survive as a public company, the Administrator may provide for a cash payment in settlement of, or for the assumption, substitution or exchange of any or all outstanding share-based awards or the cash, securities or property deliverable to the holder of any or all outstanding share-based awards. Upon the occurrence of any event described in the preceding sentence, unless the Administrator has provided for the substitution, assumption, exchange or other continuation or settlement of the award or the award would otherwise continue in accordance with its terms in the circumstances, and subject to limited exceptions set forth in the plan, each award generally will become fully vested to the extent that it is to be terminated in connection with such event (with any performance goals applicable to the award being deemed met at the target performance level, unless otherwise provided in the applicable award agreement). The Administrator also has the discretion to establish other change in control provisions with respect to awards granted under the plan.</w:t>
      </w:r>
    </w:p>
    <w:p>
      <w:pPr>
        <w:spacing w:after="0" w:line="205" w:lineRule="exact"/>
        <w:rPr>
          <w:sz w:val="20"/>
          <w:szCs w:val="20"/>
          <w:color w:val="auto"/>
        </w:rPr>
      </w:pPr>
    </w:p>
    <w:p>
      <w:pPr>
        <w:jc w:val="both"/>
        <w:ind w:right="20"/>
        <w:spacing w:after="0" w:line="248" w:lineRule="auto"/>
        <w:rPr>
          <w:sz w:val="20"/>
          <w:szCs w:val="20"/>
          <w:color w:val="auto"/>
        </w:rPr>
      </w:pPr>
      <w:r>
        <w:rPr>
          <w:rFonts w:ascii="Arial" w:cs="Arial" w:eastAsia="Arial" w:hAnsi="Arial"/>
          <w:sz w:val="13"/>
          <w:szCs w:val="13"/>
          <w:color w:val="auto"/>
        </w:rPr>
        <w:t>We generally do not provide for accelerated vesting of equity awards held by our executive officers in connection with a change in control except: (i) for certain equity awards, in connection with a change in control event if there is also a qualifying termination of the officer’s employment in connection with a change in control (not merely because the change in control occurred); and (ii) in certain circumstances as referenced above where the award is to terminate in connection with the change in control.</w:t>
      </w:r>
    </w:p>
    <w:p>
      <w:pPr>
        <w:spacing w:after="0" w:line="165"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Transfer Restrictions</w:t>
      </w:r>
    </w:p>
    <w:p>
      <w:pPr>
        <w:spacing w:after="0" w:line="257" w:lineRule="exact"/>
        <w:rPr>
          <w:sz w:val="20"/>
          <w:szCs w:val="20"/>
          <w:color w:val="auto"/>
        </w:rPr>
      </w:pPr>
    </w:p>
    <w:p>
      <w:pPr>
        <w:ind w:right="180"/>
        <w:spacing w:after="0" w:line="243" w:lineRule="auto"/>
        <w:rPr>
          <w:sz w:val="20"/>
          <w:szCs w:val="20"/>
          <w:color w:val="auto"/>
        </w:rPr>
      </w:pPr>
      <w:r>
        <w:rPr>
          <w:rFonts w:ascii="Arial" w:cs="Arial" w:eastAsia="Arial" w:hAnsi="Arial"/>
          <w:sz w:val="13"/>
          <w:szCs w:val="13"/>
          <w:color w:val="auto"/>
        </w:rPr>
        <w:t>Subject to certain exceptions contained in our 2017 Performance Incentive Plan, awards generally are not transferable by the recipient other than by will or the laws of descent and distribution and are generally exercisable, during the recipient’s lifetime, only by the recipient. Any amounts payable or shares issuable pursuant to an award generally will be paid only to the recipient or the recipient’s beneficiary or representative. The Administrator has discretion, however, to establish written conditions and procedures for the transfer of awards to other persons or entities, provided that such transfers are made for estate or tax planning or charitable purposes for no (or nominal; i.e., the minimum consideration required by applicable law) consideration and comply with applicable federal and state securities laws.</w:t>
      </w:r>
    </w:p>
    <w:p>
      <w:pPr>
        <w:spacing w:after="0" w:line="197" w:lineRule="exact"/>
        <w:rPr>
          <w:sz w:val="20"/>
          <w:szCs w:val="20"/>
          <w:color w:val="auto"/>
        </w:rPr>
      </w:pPr>
    </w:p>
    <w:p>
      <w:pPr>
        <w:ind w:left="540" w:hanging="532"/>
        <w:spacing w:after="0"/>
        <w:tabs>
          <w:tab w:leader="none" w:pos="540" w:val="left"/>
        </w:tabs>
        <w:numPr>
          <w:ilvl w:val="0"/>
          <w:numId w:val="237"/>
        </w:numPr>
        <w:rPr>
          <w:rFonts w:ascii="Arial" w:cs="Arial" w:eastAsia="Arial" w:hAnsi="Arial"/>
          <w:sz w:val="18"/>
          <w:szCs w:val="18"/>
          <w:b w:val="1"/>
          <w:bCs w:val="1"/>
          <w:color w:val="23628F"/>
        </w:rPr>
      </w:pPr>
      <w:r>
        <w:rPr>
          <w:rFonts w:ascii="Arial" w:cs="Arial" w:eastAsia="Arial" w:hAnsi="Arial"/>
          <w:sz w:val="13"/>
          <w:szCs w:val="13"/>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153275" cy="209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right"/>
        <w:spacing w:after="0"/>
        <w:rPr>
          <w:sz w:val="20"/>
          <w:szCs w:val="20"/>
          <w:color w:val="auto"/>
        </w:rPr>
      </w:pPr>
      <w:r>
        <w:rPr>
          <w:rFonts w:ascii="Arial" w:cs="Arial" w:eastAsia="Arial" w:hAnsi="Arial"/>
          <w:sz w:val="13"/>
          <w:szCs w:val="13"/>
          <w:color w:val="23628F"/>
        </w:rPr>
        <w:t>EQUITY PLAN PROPOSAL</w:t>
      </w:r>
    </w:p>
    <w:p>
      <w:pPr>
        <w:spacing w:after="0" w:line="182"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Adjustments</w:t>
      </w:r>
    </w:p>
    <w:p>
      <w:pPr>
        <w:spacing w:after="0" w:line="257" w:lineRule="exact"/>
        <w:rPr>
          <w:sz w:val="20"/>
          <w:szCs w:val="20"/>
          <w:color w:val="auto"/>
        </w:rPr>
      </w:pPr>
    </w:p>
    <w:p>
      <w:pPr>
        <w:ind w:right="80"/>
        <w:spacing w:after="0" w:line="243" w:lineRule="auto"/>
        <w:rPr>
          <w:sz w:val="20"/>
          <w:szCs w:val="20"/>
          <w:color w:val="auto"/>
        </w:rPr>
      </w:pPr>
      <w:r>
        <w:rPr>
          <w:rFonts w:ascii="Arial" w:cs="Arial" w:eastAsia="Arial" w:hAnsi="Arial"/>
          <w:sz w:val="13"/>
          <w:szCs w:val="13"/>
          <w:color w:val="auto"/>
        </w:rPr>
        <w:t>As is customary in incentive plans of this nature, each share limit and the number and kind of shares available under our 2017 Performance Incentive Plan and any outstanding awards, as well as the exercise or purchase prices of awards, are subject to adjustment in the event of certain corporate events. These events include reclassifications, recapitalizations, stock splits (including a stock split in the form of a stock dividend) or reverse stock split, mergers, combinations, consolidations, other reorganization, spin-off, split-up, similar extraordinary dividend distribution in respect of our common stock, exchange of common stock or other securities of our company, or other similar, unusual or extraordinary corporate events in respect of our common stock.</w:t>
      </w:r>
    </w:p>
    <w:p>
      <w:pPr>
        <w:spacing w:after="0" w:line="320"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No Limit on Other Authority</w:t>
      </w:r>
    </w:p>
    <w:p>
      <w:pPr>
        <w:spacing w:after="0" w:line="257" w:lineRule="exact"/>
        <w:rPr>
          <w:sz w:val="20"/>
          <w:szCs w:val="20"/>
          <w:color w:val="auto"/>
        </w:rPr>
      </w:pPr>
    </w:p>
    <w:p>
      <w:pPr>
        <w:ind w:right="260"/>
        <w:spacing w:after="0" w:line="258" w:lineRule="auto"/>
        <w:rPr>
          <w:sz w:val="20"/>
          <w:szCs w:val="20"/>
          <w:color w:val="auto"/>
        </w:rPr>
      </w:pPr>
      <w:r>
        <w:rPr>
          <w:rFonts w:ascii="Arial" w:cs="Arial" w:eastAsia="Arial" w:hAnsi="Arial"/>
          <w:sz w:val="13"/>
          <w:szCs w:val="13"/>
          <w:color w:val="auto"/>
        </w:rPr>
        <w:t>Our 2017 Performance Incentive Plan does not limit the authority of our Board of Directors or any of its committees to grant awards or authorize any other compensation, with or without reference to our common stock, under any other plan or authority.</w:t>
      </w:r>
    </w:p>
    <w:p>
      <w:pPr>
        <w:spacing w:after="0" w:line="158"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Termination of or Changes to Our 2017 Performance Incentive Plan</w:t>
      </w:r>
    </w:p>
    <w:p>
      <w:pPr>
        <w:spacing w:after="0" w:line="257" w:lineRule="exact"/>
        <w:rPr>
          <w:sz w:val="20"/>
          <w:szCs w:val="20"/>
          <w:color w:val="auto"/>
        </w:rPr>
      </w:pPr>
    </w:p>
    <w:p>
      <w:pPr>
        <w:ind w:right="20"/>
        <w:spacing w:after="0" w:line="245" w:lineRule="auto"/>
        <w:rPr>
          <w:sz w:val="20"/>
          <w:szCs w:val="20"/>
          <w:color w:val="auto"/>
        </w:rPr>
      </w:pPr>
      <w:r>
        <w:rPr>
          <w:rFonts w:ascii="Arial" w:cs="Arial" w:eastAsia="Arial" w:hAnsi="Arial"/>
          <w:sz w:val="13"/>
          <w:szCs w:val="13"/>
          <w:color w:val="auto"/>
        </w:rPr>
        <w:t>Our Board of Directors may amend or terminate our 2017 Performance Incentive Plan at any time and in any manner. Stockholder approval for an amendment will be required only to the extent then required by applicable law or deemed necessary or advisable by our Board. Our 2017 Performance Incentive Plan will expire on August 4, 2025. Outstanding awards, as well as the Administrator’s authority with respect thereto, generally will continue following the expiration or termination of the plan. Outstanding awards generally may be amended by the Administrator (except for a repricing), but the consent of the award holder is required if the amendment (or any plan amendment) materially and adversely affects the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1234440" cy="6858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34440" cy="68580"/>
                    </a:xfrm>
                    <a:prstGeom prst="rect">
                      <a:avLst/>
                    </a:prstGeom>
                    <a:noFill/>
                  </pic:spPr>
                </pic:pic>
              </a:graphicData>
            </a:graphic>
          </wp:anchor>
        </w:drawing>
      </w:r>
    </w:p>
    <w:p>
      <w:pPr>
        <w:spacing w:after="0" w:line="304" w:lineRule="exact"/>
        <w:rPr>
          <w:sz w:val="20"/>
          <w:szCs w:val="20"/>
          <w:color w:val="auto"/>
        </w:rPr>
      </w:pPr>
    </w:p>
    <w:p>
      <w:pPr>
        <w:ind w:right="740"/>
        <w:spacing w:after="0" w:line="276" w:lineRule="auto"/>
        <w:rPr>
          <w:sz w:val="20"/>
          <w:szCs w:val="20"/>
          <w:color w:val="auto"/>
        </w:rPr>
      </w:pPr>
      <w:r>
        <w:rPr>
          <w:rFonts w:ascii="Arial" w:cs="Arial" w:eastAsia="Arial" w:hAnsi="Arial"/>
          <w:sz w:val="26"/>
          <w:szCs w:val="26"/>
          <w:b w:val="1"/>
          <w:bCs w:val="1"/>
          <w:color w:val="23628F"/>
        </w:rPr>
        <w:t>MATERIAL U.S. FEDERAL INCOME TAX CONSEQUENCES OF AWARDS UNDER OUR AMENDED AND RESTATED 2017 PERFORMANCE INCENTIVE PLAN</w:t>
      </w:r>
    </w:p>
    <w:p>
      <w:pPr>
        <w:spacing w:after="0" w:line="160" w:lineRule="exact"/>
        <w:rPr>
          <w:sz w:val="20"/>
          <w:szCs w:val="20"/>
          <w:color w:val="auto"/>
        </w:rPr>
      </w:pPr>
    </w:p>
    <w:p>
      <w:pPr>
        <w:ind w:right="20"/>
        <w:spacing w:after="0" w:line="245" w:lineRule="auto"/>
        <w:rPr>
          <w:sz w:val="20"/>
          <w:szCs w:val="20"/>
          <w:color w:val="auto"/>
        </w:rPr>
      </w:pPr>
      <w:r>
        <w:rPr>
          <w:rFonts w:ascii="Arial" w:cs="Arial" w:eastAsia="Arial" w:hAnsi="Arial"/>
          <w:sz w:val="13"/>
          <w:szCs w:val="13"/>
          <w:color w:val="auto"/>
        </w:rPr>
        <w:t>The material U.S. federal income tax consequences of our 2017 Performance Incentive Plan under current federal law, which is subject to change, are summarized in the following discussion of the general tax principles applicable to the plan. This summary is not intended to be exhaustive and, among other considerations, does not describe the deferred compensation provisions of Section 409A of the Internal Revenue Code to the extent an award is subject to and does not satisfy those rules, nor does it describe state, local or international tax consequences.</w:t>
      </w:r>
    </w:p>
    <w:p>
      <w:pPr>
        <w:spacing w:after="0" w:line="352" w:lineRule="exact"/>
        <w:rPr>
          <w:sz w:val="20"/>
          <w:szCs w:val="20"/>
          <w:color w:val="auto"/>
        </w:rPr>
      </w:pPr>
    </w:p>
    <w:p>
      <w:pPr>
        <w:ind w:right="240"/>
        <w:spacing w:after="0" w:line="248" w:lineRule="auto"/>
        <w:rPr>
          <w:sz w:val="20"/>
          <w:szCs w:val="20"/>
          <w:color w:val="auto"/>
        </w:rPr>
      </w:pPr>
      <w:r>
        <w:rPr>
          <w:rFonts w:ascii="Arial" w:cs="Arial" w:eastAsia="Arial" w:hAnsi="Arial"/>
          <w:sz w:val="13"/>
          <w:szCs w:val="13"/>
          <w:color w:val="auto"/>
        </w:rPr>
        <w:t>With respect to nonqualified stock options, we generally are entitled to deduct and the participant recognizes taxable income in an amount equal to the difference between the option exercise price and the fair market value of the shares at the time of exercise. With respect to incentive stock options, we generally are not entitled to a deduction nor does the participant recognize income at the time of exercise, although the participant may be subject to the U.S. federal alternative minimum tax.</w:t>
      </w:r>
    </w:p>
    <w:p>
      <w:pPr>
        <w:spacing w:after="0" w:line="198" w:lineRule="exact"/>
        <w:rPr>
          <w:sz w:val="20"/>
          <w:szCs w:val="20"/>
          <w:color w:val="auto"/>
        </w:rPr>
      </w:pPr>
    </w:p>
    <w:p>
      <w:pPr>
        <w:ind w:right="180"/>
        <w:spacing w:after="0" w:line="242" w:lineRule="auto"/>
        <w:rPr>
          <w:sz w:val="20"/>
          <w:szCs w:val="20"/>
          <w:color w:val="auto"/>
        </w:rPr>
      </w:pPr>
      <w:r>
        <w:rPr>
          <w:rFonts w:ascii="Arial" w:cs="Arial" w:eastAsia="Arial" w:hAnsi="Arial"/>
          <w:sz w:val="13"/>
          <w:szCs w:val="13"/>
          <w:color w:val="auto"/>
        </w:rPr>
        <w:t>The current federal income tax consequences of other awards authorized under our 2017 Performance Incentive Plan generally follow certain basic patterns: stock appreciation rights generally are taxed and deductible in substantially the same manner as nonqualified stock options; nontransferable restricted stock subject to a substantial risk of forfeiture results in income recognition equal to the excess of the fair market value over the price paid (if any) only at the time the restrictions lapse (unless the recipient elects to accelerate recognition as of the grant date); bonuses, cash and stock-based performance awards, dividend equivalents, stock units and other types of awards generally are subject to tax at the time of payment; and compensation otherwise effectively deferred generally is taxed when paid or underlying shares are delivered. In each of the foregoing cases, we generally will have a corresponding deduction at the time the participant recognizes income.</w:t>
      </w:r>
    </w:p>
    <w:p>
      <w:pPr>
        <w:spacing w:after="0" w:line="203" w:lineRule="exact"/>
        <w:rPr>
          <w:sz w:val="20"/>
          <w:szCs w:val="20"/>
          <w:color w:val="auto"/>
        </w:rPr>
      </w:pPr>
    </w:p>
    <w:p>
      <w:pPr>
        <w:jc w:val="both"/>
        <w:ind w:right="380"/>
        <w:spacing w:after="0" w:line="248" w:lineRule="auto"/>
        <w:rPr>
          <w:sz w:val="20"/>
          <w:szCs w:val="20"/>
          <w:color w:val="auto"/>
        </w:rPr>
      </w:pPr>
      <w:r>
        <w:rPr>
          <w:rFonts w:ascii="Arial" w:cs="Arial" w:eastAsia="Arial" w:hAnsi="Arial"/>
          <w:sz w:val="13"/>
          <w:szCs w:val="13"/>
          <w:color w:val="auto"/>
        </w:rPr>
        <w:t>If an award is accelerated under our 2017 Performance Incentive Plan in connection with a “change in control” (as this term is used under the Internal Revenue Code), we may not be permitted to deduct the portion of the compensation attributable to the acceleration (“parachute payments”) if it exceeds certain threshold limits under the Internal Revenue Code (and certain related excise taxes may be triggered).</w:t>
      </w:r>
    </w:p>
    <w:p>
      <w:pPr>
        <w:spacing w:after="0" w:line="180"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3"/>
          <w:szCs w:val="13"/>
          <w:color w:val="23628F"/>
        </w:rPr>
        <w:t>2020 PROXY STATEMENT</w:t>
      </w:r>
      <w:r>
        <w:rPr>
          <w:sz w:val="20"/>
          <w:szCs w:val="20"/>
          <w:color w:val="auto"/>
        </w:rPr>
        <w:tab/>
      </w:r>
      <w:r>
        <w:rPr>
          <w:rFonts w:ascii="Arial" w:cs="Arial" w:eastAsia="Arial" w:hAnsi="Arial"/>
          <w:sz w:val="16"/>
          <w:szCs w:val="16"/>
          <w:b w:val="1"/>
          <w:bCs w:val="1"/>
          <w:color w:val="23628F"/>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153275" cy="209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23628F"/>
        </w:rPr>
        <w:t>EQUITY PLAN PROPOSAL</w:t>
      </w:r>
    </w:p>
    <w:p>
      <w:pPr>
        <w:spacing w:after="0" w:line="215" w:lineRule="exact"/>
        <w:rPr>
          <w:sz w:val="20"/>
          <w:szCs w:val="20"/>
          <w:color w:val="auto"/>
        </w:rPr>
      </w:pPr>
    </w:p>
    <w:p>
      <w:pPr>
        <w:ind w:right="120"/>
        <w:spacing w:after="0" w:line="243" w:lineRule="auto"/>
        <w:rPr>
          <w:sz w:val="20"/>
          <w:szCs w:val="20"/>
          <w:color w:val="auto"/>
        </w:rPr>
      </w:pPr>
      <w:r>
        <w:rPr>
          <w:rFonts w:ascii="Arial" w:cs="Arial" w:eastAsia="Arial" w:hAnsi="Arial"/>
          <w:sz w:val="13"/>
          <w:szCs w:val="13"/>
          <w:color w:val="auto"/>
        </w:rPr>
        <w:t>Furthermore, Section 162(m) generally disallows a tax deduction to public companies for compensation in excess of $1 million paid to a company’s chief executive officer and certain current and former executive officers. As noted in the section entitled “Executive Compensation—Compensation Discussion and Analysis,” certain awards and contracts in place prior to November 2, 2017 may qualify for an exception to the $1 million deductibility limit. There can be no assurance that any compensation we award or pay will be fully deductible, and we reserve the right to award compensation that does not qualify for deductibility in such circumstances as we may consider appropriate. Awards under our 2017 Performance Incentive Plan do not need to be structured so as to be deductible for tax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234440" cy="6858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34440" cy="68580"/>
                    </a:xfrm>
                    <a:prstGeom prst="rect">
                      <a:avLst/>
                    </a:prstGeom>
                    <a:noFill/>
                  </pic:spPr>
                </pic:pic>
              </a:graphicData>
            </a:graphic>
          </wp:anchor>
        </w:drawing>
      </w:r>
    </w:p>
    <w:p>
      <w:pPr>
        <w:spacing w:after="0" w:line="306" w:lineRule="exact"/>
        <w:rPr>
          <w:sz w:val="20"/>
          <w:szCs w:val="20"/>
          <w:color w:val="auto"/>
        </w:rPr>
      </w:pPr>
    </w:p>
    <w:p>
      <w:pPr>
        <w:ind w:right="740"/>
        <w:spacing w:after="0" w:line="276" w:lineRule="auto"/>
        <w:rPr>
          <w:sz w:val="20"/>
          <w:szCs w:val="20"/>
          <w:color w:val="auto"/>
        </w:rPr>
      </w:pPr>
      <w:r>
        <w:rPr>
          <w:rFonts w:ascii="Arial" w:cs="Arial" w:eastAsia="Arial" w:hAnsi="Arial"/>
          <w:sz w:val="26"/>
          <w:szCs w:val="26"/>
          <w:b w:val="1"/>
          <w:bCs w:val="1"/>
          <w:color w:val="23628F"/>
        </w:rPr>
        <w:t>SPECIFIC BENEFITS UNDER OUR AMENDED AND RESTATED 2017 PERFORMANCE INCENTIVE PLAN</w:t>
      </w:r>
    </w:p>
    <w:p>
      <w:pPr>
        <w:spacing w:after="0" w:line="160" w:lineRule="exact"/>
        <w:rPr>
          <w:sz w:val="20"/>
          <w:szCs w:val="20"/>
          <w:color w:val="auto"/>
        </w:rPr>
      </w:pPr>
    </w:p>
    <w:p>
      <w:pPr>
        <w:spacing w:after="0" w:line="243" w:lineRule="auto"/>
        <w:rPr>
          <w:sz w:val="20"/>
          <w:szCs w:val="20"/>
          <w:color w:val="auto"/>
        </w:rPr>
      </w:pPr>
      <w:r>
        <w:rPr>
          <w:rFonts w:ascii="Arial" w:cs="Arial" w:eastAsia="Arial" w:hAnsi="Arial"/>
          <w:sz w:val="13"/>
          <w:szCs w:val="13"/>
          <w:color w:val="auto"/>
        </w:rPr>
        <w:t>We have not approved any awards that are conditioned upon stockholder approval of the proposed amended and restated version of our 2017 Performance Incentive Plan. The number and type of awards that we may grant in the future under our 2017 Performance Incentive Plan (within the express limits of the amended and restated version of the plan, discussed above) is not determinable. If the amendments reflected in this Proposal 3 had been in effect in fiscal 2020, we expect that award grants for fiscal 2020 would not have been substantially different from those actually made in that year under the plan. For information regarding awards granted to our named executive officers during fiscal 2020 under our 2017 Performance Incentive Plan, see the discussion in the section entitled “Executive Compensation—Compensation Discussion and Analysis.”</w:t>
      </w:r>
    </w:p>
    <w:p>
      <w:pPr>
        <w:spacing w:after="0" w:line="202"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In accordance with the Non-Employee Director Restricted Stock Unit Grant program under our 2017 Performance Incentive Plan and as described in the section entitled “Corporate Governance Matters—Director Compensation,” we will grant RSUs under our 2017 Performance Incentive Plan to each of our non-employee directors immediately following the Annual Meeting. These annual grants are determined based on the closing price of our common stock on the Nasdaq Stock Market on the grant date and are not contingent on stockholder approval of this Proposal 3 at the Annual Meeting. Assuming, for illustrative purposes only, that the closing price of our common stock used for the conversion of the dollar amount for the annual grants under the Non-Employee Director Restricted Stock Unit Grant Program ($240,000, or $290,000 in the case of our non-employee director serving as Chairman of the Board and $270,000 in the case of our Lead Independent Director) into shares was $38.16 (the closing price of our common stock on the Nasdaq Stock Market on September 4, 2020), the number of shares that would be allocated to our non-employee directors as a group (assuming a Board with seven non-employee directors, which is the number of non-employee directors nominated for election at the Annual Meeting, including a Lead Independent Director and a non-employee director serving as Chairman of the Board) pursuant to the annual grant provisions of the Non-Employee Director Restricted Stock Unit Grant Program over the approximately five-year remaining term of our 2017 Performance Incentive Plan (through 2025) is approximately 230,595 shares (approximately 46,119 shares per year for each of the five years for the seven non-employee directors). This figure represents the continuation of the current non-employee director equity awards, for the number of non-employee directors indicated, over that five-year period, including awards in connection with the Annual Meeting and assuming that our 2017 Performance Incentive Plan expires in 2025 before the 2025 annual meeting of stockholders. The actual number of shares that we may issue under the Non-Employee Director Restricted Stock Unit Grant Program depends on, among other future variables, the number of our non-employee directors from time to time, when a non-employee director serves as Chairman of the Board, the price of our common stock on the applicable grant date that is used to convert the applicable grant-date value into a number of shares, and whether our Board changes the applicable grant date values or other aspects of our non-employee director compensation program in the future.</w:t>
      </w:r>
    </w:p>
    <w:p>
      <w:pPr>
        <w:spacing w:after="0" w:line="206" w:lineRule="exact"/>
        <w:rPr>
          <w:sz w:val="20"/>
          <w:szCs w:val="20"/>
          <w:color w:val="auto"/>
        </w:rPr>
      </w:pPr>
    </w:p>
    <w:p>
      <w:pPr>
        <w:ind w:left="540" w:hanging="532"/>
        <w:spacing w:after="0"/>
        <w:tabs>
          <w:tab w:leader="none" w:pos="540" w:val="left"/>
        </w:tabs>
        <w:numPr>
          <w:ilvl w:val="0"/>
          <w:numId w:val="238"/>
        </w:numPr>
        <w:rPr>
          <w:rFonts w:ascii="Arial" w:cs="Arial" w:eastAsia="Arial" w:hAnsi="Arial"/>
          <w:sz w:val="18"/>
          <w:szCs w:val="18"/>
          <w:b w:val="1"/>
          <w:bCs w:val="1"/>
          <w:color w:val="23628F"/>
        </w:rPr>
      </w:pPr>
      <w:r>
        <w:rPr>
          <w:rFonts w:ascii="Arial" w:cs="Arial" w:eastAsia="Arial" w:hAnsi="Arial"/>
          <w:sz w:val="13"/>
          <w:szCs w:val="13"/>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153275" cy="209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ind w:left="9560"/>
        <w:spacing w:after="0"/>
        <w:rPr>
          <w:sz w:val="20"/>
          <w:szCs w:val="20"/>
          <w:color w:val="auto"/>
        </w:rPr>
      </w:pPr>
      <w:r>
        <w:rPr>
          <w:rFonts w:ascii="Arial" w:cs="Arial" w:eastAsia="Arial" w:hAnsi="Arial"/>
          <w:sz w:val="13"/>
          <w:szCs w:val="13"/>
          <w:color w:val="23628F"/>
        </w:rPr>
        <w:t>EQUITY PLAN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234440" cy="6858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34440" cy="68580"/>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AGGREGATE PAST GRANTS UNDER OUR 2017 PERFORMANCE INCENTIVE PLAN</w:t>
      </w:r>
    </w:p>
    <w:p>
      <w:pPr>
        <w:spacing w:after="0" w:line="252" w:lineRule="exact"/>
        <w:rPr>
          <w:sz w:val="20"/>
          <w:szCs w:val="20"/>
          <w:color w:val="auto"/>
        </w:rPr>
      </w:pPr>
    </w:p>
    <w:p>
      <w:pPr>
        <w:ind w:right="60"/>
        <w:spacing w:after="0" w:line="245" w:lineRule="auto"/>
        <w:rPr>
          <w:sz w:val="20"/>
          <w:szCs w:val="20"/>
          <w:color w:val="auto"/>
        </w:rPr>
      </w:pPr>
      <w:r>
        <w:rPr>
          <w:rFonts w:ascii="Arial" w:cs="Arial" w:eastAsia="Arial" w:hAnsi="Arial"/>
          <w:sz w:val="13"/>
          <w:szCs w:val="13"/>
          <w:color w:val="auto"/>
        </w:rPr>
        <w:t>As of September 4, 2020, awards covering 74,443,488 shares of our common stock had been granted under our 2017 Performance Incentive Plan. (This number of shares includes shares subject to awards under our 2017 Performance Incentive Plan and the SanDisk Plan that expired, were cancelled or terminated without having been exercised and paid and became available for new award grants under our 2017 Performance Incentive Plan.) The following table shows information regarding the distribution of those awards among the persons and groups identified below, option exercises and RSU, PSU and restricted stock award vestings prior to that date, and option and unvested RSU and PSU holdings as of that date.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220" w:type="dxa"/>
            <w:vAlign w:val="bottom"/>
            <w:tcBorders>
              <w:right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2"/>
          </w:tcPr>
          <w:p>
            <w:pPr>
              <w:jc w:val="right"/>
              <w:ind w:right="273"/>
              <w:spacing w:after="0"/>
              <w:rPr>
                <w:sz w:val="20"/>
                <w:szCs w:val="20"/>
                <w:color w:val="auto"/>
              </w:rPr>
            </w:pPr>
            <w:r>
              <w:rPr>
                <w:rFonts w:ascii="Arial" w:cs="Arial" w:eastAsia="Arial" w:hAnsi="Arial"/>
                <w:sz w:val="13"/>
                <w:szCs w:val="13"/>
                <w:b w:val="1"/>
                <w:bCs w:val="1"/>
                <w:color w:val="auto"/>
              </w:rPr>
              <w:t>Stock Options</w:t>
            </w:r>
          </w:p>
        </w:tc>
        <w:tc>
          <w:tcPr>
            <w:tcW w:w="1040" w:type="dxa"/>
            <w:vAlign w:val="bottom"/>
            <w:tcBorders>
              <w:bottom w:val="single" w:sz="8" w:color="auto"/>
              <w:right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ind w:left="340"/>
              <w:spacing w:after="0"/>
              <w:rPr>
                <w:sz w:val="20"/>
                <w:szCs w:val="20"/>
                <w:color w:val="auto"/>
              </w:rPr>
            </w:pPr>
            <w:r>
              <w:rPr>
                <w:rFonts w:ascii="Arial" w:cs="Arial" w:eastAsia="Arial" w:hAnsi="Arial"/>
                <w:sz w:val="13"/>
                <w:szCs w:val="13"/>
                <w:b w:val="1"/>
                <w:bCs w:val="1"/>
                <w:color w:val="auto"/>
                <w:w w:val="92"/>
              </w:rPr>
              <w:t>Stock Awards</w:t>
            </w:r>
            <w:r>
              <w:rPr>
                <w:rFonts w:ascii="Arial" w:cs="Arial" w:eastAsia="Arial" w:hAnsi="Arial"/>
                <w:sz w:val="22"/>
                <w:szCs w:val="22"/>
                <w:b w:val="1"/>
                <w:bCs w:val="1"/>
                <w:color w:val="auto"/>
                <w:w w:val="92"/>
                <w:vertAlign w:val="superscript"/>
              </w:rPr>
              <w:t>(1)</w:t>
            </w:r>
          </w:p>
        </w:tc>
        <w:tc>
          <w:tcPr>
            <w:tcW w:w="1220" w:type="dxa"/>
            <w:vAlign w:val="bottom"/>
            <w:tcBorders>
              <w:bottom w:val="single" w:sz="8" w:color="auto"/>
            </w:tcBorders>
          </w:tcPr>
          <w:p>
            <w:pPr>
              <w:spacing w:after="0"/>
              <w:rPr>
                <w:sz w:val="21"/>
                <w:szCs w:val="21"/>
                <w:color w:val="auto"/>
              </w:rPr>
            </w:pPr>
          </w:p>
        </w:tc>
      </w:tr>
      <w:tr>
        <w:trPr>
          <w:trHeight w:val="129"/>
        </w:trPr>
        <w:tc>
          <w:tcPr>
            <w:tcW w:w="422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jc w:val="right"/>
              <w:ind w:right="13"/>
              <w:spacing w:after="0" w:line="129" w:lineRule="exact"/>
              <w:rPr>
                <w:sz w:val="20"/>
                <w:szCs w:val="20"/>
                <w:color w:val="auto"/>
              </w:rPr>
            </w:pPr>
            <w:r>
              <w:rPr>
                <w:rFonts w:ascii="Arial" w:cs="Arial" w:eastAsia="Arial" w:hAnsi="Arial"/>
                <w:sz w:val="13"/>
                <w:szCs w:val="13"/>
                <w:b w:val="1"/>
                <w:bCs w:val="1"/>
                <w:color w:val="auto"/>
              </w:rPr>
              <w:t>Number of</w:t>
            </w:r>
          </w:p>
        </w:tc>
        <w:tc>
          <w:tcPr>
            <w:tcW w:w="800" w:type="dxa"/>
            <w:vAlign w:val="bottom"/>
            <w:tcBorders>
              <w:right w:val="single" w:sz="8" w:color="auto"/>
            </w:tcBorders>
          </w:tcPr>
          <w:p>
            <w:pPr>
              <w:jc w:val="right"/>
              <w:ind w:right="13"/>
              <w:spacing w:after="0" w:line="129" w:lineRule="exact"/>
              <w:rPr>
                <w:sz w:val="20"/>
                <w:szCs w:val="20"/>
                <w:color w:val="auto"/>
              </w:rPr>
            </w:pPr>
            <w:r>
              <w:rPr>
                <w:rFonts w:ascii="Arial" w:cs="Arial" w:eastAsia="Arial" w:hAnsi="Arial"/>
                <w:sz w:val="13"/>
                <w:szCs w:val="13"/>
                <w:b w:val="1"/>
                <w:bCs w:val="1"/>
                <w:color w:val="auto"/>
              </w:rPr>
              <w:t>Number</w:t>
            </w:r>
          </w:p>
        </w:tc>
        <w:tc>
          <w:tcPr>
            <w:tcW w:w="1920" w:type="dxa"/>
            <w:vAlign w:val="bottom"/>
            <w:tcBorders>
              <w:right w:val="single" w:sz="8" w:color="auto"/>
            </w:tcBorders>
            <w:gridSpan w:val="2"/>
          </w:tcPr>
          <w:p>
            <w:pPr>
              <w:jc w:val="center"/>
              <w:spacing w:after="0" w:line="129" w:lineRule="exact"/>
              <w:rPr>
                <w:sz w:val="20"/>
                <w:szCs w:val="20"/>
                <w:color w:val="auto"/>
              </w:rPr>
            </w:pPr>
            <w:r>
              <w:rPr>
                <w:rFonts w:ascii="Arial" w:cs="Arial" w:eastAsia="Arial" w:hAnsi="Arial"/>
                <w:sz w:val="13"/>
                <w:szCs w:val="13"/>
                <w:b w:val="1"/>
                <w:bCs w:val="1"/>
                <w:color w:val="auto"/>
                <w:w w:val="98"/>
              </w:rPr>
              <w:t>Number of Shares</w:t>
            </w:r>
          </w:p>
        </w:tc>
        <w:tc>
          <w:tcPr>
            <w:tcW w:w="880" w:type="dxa"/>
            <w:vAlign w:val="bottom"/>
            <w:tcBorders>
              <w:right w:val="single" w:sz="8" w:color="auto"/>
            </w:tcBorders>
          </w:tcPr>
          <w:p>
            <w:pPr>
              <w:jc w:val="right"/>
              <w:ind w:right="33"/>
              <w:spacing w:after="0" w:line="129" w:lineRule="exact"/>
              <w:rPr>
                <w:sz w:val="20"/>
                <w:szCs w:val="20"/>
                <w:color w:val="auto"/>
              </w:rPr>
            </w:pPr>
            <w:r>
              <w:rPr>
                <w:rFonts w:ascii="Arial" w:cs="Arial" w:eastAsia="Arial" w:hAnsi="Arial"/>
                <w:sz w:val="13"/>
                <w:szCs w:val="13"/>
                <w:b w:val="1"/>
                <w:bCs w:val="1"/>
                <w:color w:val="auto"/>
              </w:rPr>
              <w:t>Number of</w:t>
            </w:r>
          </w:p>
        </w:tc>
        <w:tc>
          <w:tcPr>
            <w:tcW w:w="1280" w:type="dxa"/>
            <w:vAlign w:val="bottom"/>
            <w:tcBorders>
              <w:right w:val="single" w:sz="8" w:color="auto"/>
            </w:tcBorders>
          </w:tcPr>
          <w:p>
            <w:pPr>
              <w:jc w:val="right"/>
              <w:ind w:right="33"/>
              <w:spacing w:after="0" w:line="129" w:lineRule="exact"/>
              <w:rPr>
                <w:sz w:val="20"/>
                <w:szCs w:val="20"/>
                <w:color w:val="auto"/>
              </w:rPr>
            </w:pPr>
            <w:r>
              <w:rPr>
                <w:rFonts w:ascii="Arial" w:cs="Arial" w:eastAsia="Arial" w:hAnsi="Arial"/>
                <w:sz w:val="13"/>
                <w:szCs w:val="13"/>
                <w:b w:val="1"/>
                <w:bCs w:val="1"/>
                <w:color w:val="auto"/>
              </w:rPr>
              <w:t>Number of</w:t>
            </w:r>
          </w:p>
        </w:tc>
        <w:tc>
          <w:tcPr>
            <w:tcW w:w="40" w:type="dxa"/>
            <w:vAlign w:val="bottom"/>
          </w:tcPr>
          <w:p>
            <w:pPr>
              <w:spacing w:after="0"/>
              <w:rPr>
                <w:sz w:val="11"/>
                <w:szCs w:val="11"/>
                <w:color w:val="auto"/>
              </w:rPr>
            </w:pPr>
          </w:p>
        </w:tc>
        <w:tc>
          <w:tcPr>
            <w:tcW w:w="12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Number of</w:t>
            </w:r>
          </w:p>
        </w:tc>
      </w:tr>
      <w:tr>
        <w:trPr>
          <w:trHeight w:val="148"/>
        </w:trPr>
        <w:tc>
          <w:tcPr>
            <w:tcW w:w="42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Shares</w:t>
            </w:r>
          </w:p>
        </w:tc>
        <w:tc>
          <w:tcPr>
            <w:tcW w:w="80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of Shares</w:t>
            </w:r>
          </w:p>
        </w:tc>
        <w:tc>
          <w:tcPr>
            <w:tcW w:w="1920" w:type="dxa"/>
            <w:vAlign w:val="bottom"/>
            <w:tcBorders>
              <w:right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7"/>
              </w:rPr>
              <w:t>Underlying Options</w:t>
            </w:r>
          </w:p>
        </w:tc>
        <w:tc>
          <w:tcPr>
            <w:tcW w:w="8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Shares or</w:t>
            </w:r>
          </w:p>
        </w:tc>
        <w:tc>
          <w:tcPr>
            <w:tcW w:w="12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Shares or</w:t>
            </w:r>
          </w:p>
        </w:tc>
        <w:tc>
          <w:tcPr>
            <w:tcW w:w="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b w:val="1"/>
                <w:bCs w:val="1"/>
                <w:color w:val="auto"/>
              </w:rPr>
              <w:t>Shares or Units</w:t>
            </w:r>
          </w:p>
        </w:tc>
      </w:tr>
      <w:tr>
        <w:trPr>
          <w:trHeight w:val="148"/>
        </w:trPr>
        <w:tc>
          <w:tcPr>
            <w:tcW w:w="42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Subject to</w:t>
            </w:r>
          </w:p>
        </w:tc>
        <w:tc>
          <w:tcPr>
            <w:tcW w:w="80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Acquired</w:t>
            </w:r>
          </w:p>
        </w:tc>
        <w:tc>
          <w:tcPr>
            <w:tcW w:w="1920" w:type="dxa"/>
            <w:vAlign w:val="bottom"/>
            <w:tcBorders>
              <w:right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9"/>
              </w:rPr>
              <w:t>Outstanding as of</w:t>
            </w:r>
          </w:p>
        </w:tc>
        <w:tc>
          <w:tcPr>
            <w:tcW w:w="8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Units</w:t>
            </w:r>
          </w:p>
        </w:tc>
        <w:tc>
          <w:tcPr>
            <w:tcW w:w="12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Units Vested</w:t>
            </w:r>
          </w:p>
        </w:tc>
        <w:tc>
          <w:tcPr>
            <w:tcW w:w="4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3"/>
                <w:szCs w:val="13"/>
                <w:b w:val="1"/>
                <w:bCs w:val="1"/>
                <w:color w:val="auto"/>
              </w:rPr>
              <w:t>Outstanding and</w:t>
            </w:r>
          </w:p>
        </w:tc>
      </w:tr>
      <w:tr>
        <w:trPr>
          <w:trHeight w:val="162"/>
        </w:trPr>
        <w:tc>
          <w:tcPr>
            <w:tcW w:w="422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Past Option</w:t>
            </w:r>
          </w:p>
        </w:tc>
        <w:tc>
          <w:tcPr>
            <w:tcW w:w="800" w:type="dxa"/>
            <w:vAlign w:val="bottom"/>
            <w:tcBorders>
              <w:right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on Past</w:t>
            </w:r>
          </w:p>
        </w:tc>
        <w:tc>
          <w:tcPr>
            <w:tcW w:w="19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9"/>
              </w:rPr>
              <w:t>September 4, 2020</w:t>
            </w:r>
          </w:p>
        </w:tc>
        <w:tc>
          <w:tcPr>
            <w:tcW w:w="8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Subject to</w:t>
            </w:r>
          </w:p>
        </w:tc>
        <w:tc>
          <w:tcPr>
            <w:tcW w:w="128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as of</w:t>
            </w:r>
          </w:p>
        </w:tc>
        <w:tc>
          <w:tcPr>
            <w:tcW w:w="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b w:val="1"/>
                <w:bCs w:val="1"/>
                <w:color w:val="auto"/>
              </w:rPr>
              <w:t>Unvested as of</w:t>
            </w:r>
          </w:p>
        </w:tc>
      </w:tr>
      <w:tr>
        <w:trPr>
          <w:trHeight w:val="142"/>
        </w:trPr>
        <w:tc>
          <w:tcPr>
            <w:tcW w:w="4220" w:type="dxa"/>
            <w:vAlign w:val="bottom"/>
            <w:tcBorders>
              <w:bottom w:val="single" w:sz="8" w:color="auto"/>
              <w:right w:val="single" w:sz="8" w:color="auto"/>
            </w:tcBorders>
          </w:tcPr>
          <w:p>
            <w:pPr>
              <w:ind w:left="80"/>
              <w:spacing w:after="0" w:line="142" w:lineRule="exact"/>
              <w:rPr>
                <w:sz w:val="20"/>
                <w:szCs w:val="20"/>
                <w:color w:val="auto"/>
              </w:rPr>
            </w:pPr>
            <w:r>
              <w:rPr>
                <w:rFonts w:ascii="Arial" w:cs="Arial" w:eastAsia="Arial" w:hAnsi="Arial"/>
                <w:sz w:val="13"/>
                <w:szCs w:val="13"/>
                <w:b w:val="1"/>
                <w:bCs w:val="1"/>
                <w:color w:val="auto"/>
              </w:rPr>
              <w:t>Name and Position</w:t>
            </w:r>
          </w:p>
        </w:tc>
        <w:tc>
          <w:tcPr>
            <w:tcW w:w="880" w:type="dxa"/>
            <w:vAlign w:val="bottom"/>
            <w:tcBorders>
              <w:bottom w:val="single" w:sz="8" w:color="auto"/>
              <w:right w:val="single" w:sz="8" w:color="auto"/>
            </w:tcBorders>
          </w:tcPr>
          <w:p>
            <w:pPr>
              <w:jc w:val="right"/>
              <w:ind w:right="13"/>
              <w:spacing w:after="0" w:line="142" w:lineRule="exact"/>
              <w:rPr>
                <w:sz w:val="20"/>
                <w:szCs w:val="20"/>
                <w:color w:val="auto"/>
              </w:rPr>
            </w:pPr>
            <w:r>
              <w:rPr>
                <w:rFonts w:ascii="Arial" w:cs="Arial" w:eastAsia="Arial" w:hAnsi="Arial"/>
                <w:sz w:val="13"/>
                <w:szCs w:val="13"/>
                <w:b w:val="1"/>
                <w:bCs w:val="1"/>
                <w:color w:val="auto"/>
              </w:rPr>
              <w:t>Grants</w:t>
            </w:r>
          </w:p>
        </w:tc>
        <w:tc>
          <w:tcPr>
            <w:tcW w:w="800" w:type="dxa"/>
            <w:vAlign w:val="bottom"/>
            <w:tcBorders>
              <w:bottom w:val="single" w:sz="8" w:color="auto"/>
              <w:right w:val="single" w:sz="8" w:color="auto"/>
            </w:tcBorders>
          </w:tcPr>
          <w:p>
            <w:pPr>
              <w:jc w:val="right"/>
              <w:ind w:right="13"/>
              <w:spacing w:after="0" w:line="142" w:lineRule="exact"/>
              <w:rPr>
                <w:sz w:val="20"/>
                <w:szCs w:val="20"/>
                <w:color w:val="auto"/>
              </w:rPr>
            </w:pPr>
            <w:r>
              <w:rPr>
                <w:rFonts w:ascii="Arial" w:cs="Arial" w:eastAsia="Arial" w:hAnsi="Arial"/>
                <w:sz w:val="13"/>
                <w:szCs w:val="13"/>
                <w:b w:val="1"/>
                <w:bCs w:val="1"/>
                <w:color w:val="auto"/>
              </w:rPr>
              <w:t>Exercise</w:t>
            </w:r>
          </w:p>
        </w:tc>
        <w:tc>
          <w:tcPr>
            <w:tcW w:w="880" w:type="dxa"/>
            <w:vAlign w:val="bottom"/>
            <w:tcBorders>
              <w:bottom w:val="single" w:sz="8" w:color="auto"/>
              <w:right w:val="single" w:sz="8" w:color="auto"/>
            </w:tcBorders>
          </w:tcPr>
          <w:p>
            <w:pPr>
              <w:jc w:val="right"/>
              <w:ind w:right="33"/>
              <w:spacing w:after="0" w:line="142" w:lineRule="exact"/>
              <w:rPr>
                <w:sz w:val="20"/>
                <w:szCs w:val="20"/>
                <w:color w:val="auto"/>
              </w:rPr>
            </w:pPr>
            <w:r>
              <w:rPr>
                <w:rFonts w:ascii="Arial" w:cs="Arial" w:eastAsia="Arial" w:hAnsi="Arial"/>
                <w:sz w:val="13"/>
                <w:szCs w:val="13"/>
                <w:b w:val="1"/>
                <w:bCs w:val="1"/>
                <w:color w:val="auto"/>
              </w:rPr>
              <w:t>Exercisable</w:t>
            </w:r>
          </w:p>
        </w:tc>
        <w:tc>
          <w:tcPr>
            <w:tcW w:w="1040" w:type="dxa"/>
            <w:vAlign w:val="bottom"/>
            <w:tcBorders>
              <w:bottom w:val="single" w:sz="8" w:color="auto"/>
              <w:right w:val="single" w:sz="8" w:color="auto"/>
            </w:tcBorders>
          </w:tcPr>
          <w:p>
            <w:pPr>
              <w:jc w:val="right"/>
              <w:ind w:right="33"/>
              <w:spacing w:after="0" w:line="142" w:lineRule="exact"/>
              <w:rPr>
                <w:sz w:val="20"/>
                <w:szCs w:val="20"/>
                <w:color w:val="auto"/>
              </w:rPr>
            </w:pPr>
            <w:r>
              <w:rPr>
                <w:rFonts w:ascii="Arial" w:cs="Arial" w:eastAsia="Arial" w:hAnsi="Arial"/>
                <w:sz w:val="13"/>
                <w:szCs w:val="13"/>
                <w:b w:val="1"/>
                <w:bCs w:val="1"/>
                <w:color w:val="auto"/>
              </w:rPr>
              <w:t>Unexercisable</w:t>
            </w:r>
          </w:p>
        </w:tc>
        <w:tc>
          <w:tcPr>
            <w:tcW w:w="880" w:type="dxa"/>
            <w:vAlign w:val="bottom"/>
            <w:tcBorders>
              <w:bottom w:val="single" w:sz="8" w:color="auto"/>
              <w:right w:val="single" w:sz="8" w:color="auto"/>
            </w:tcBorders>
          </w:tcPr>
          <w:p>
            <w:pPr>
              <w:jc w:val="right"/>
              <w:ind w:right="33"/>
              <w:spacing w:after="0" w:line="142" w:lineRule="exact"/>
              <w:rPr>
                <w:sz w:val="20"/>
                <w:szCs w:val="20"/>
                <w:color w:val="auto"/>
              </w:rPr>
            </w:pPr>
            <w:r>
              <w:rPr>
                <w:rFonts w:ascii="Arial" w:cs="Arial" w:eastAsia="Arial" w:hAnsi="Arial"/>
                <w:sz w:val="13"/>
                <w:szCs w:val="13"/>
                <w:b w:val="1"/>
                <w:bCs w:val="1"/>
                <w:color w:val="auto"/>
              </w:rPr>
              <w:t>Past Grants</w:t>
            </w:r>
          </w:p>
        </w:tc>
        <w:tc>
          <w:tcPr>
            <w:tcW w:w="1280" w:type="dxa"/>
            <w:vAlign w:val="bottom"/>
            <w:tcBorders>
              <w:bottom w:val="single" w:sz="8" w:color="auto"/>
              <w:right w:val="single" w:sz="8" w:color="auto"/>
            </w:tcBorders>
          </w:tcPr>
          <w:p>
            <w:pPr>
              <w:jc w:val="right"/>
              <w:ind w:right="33"/>
              <w:spacing w:after="0" w:line="142" w:lineRule="exact"/>
              <w:rPr>
                <w:sz w:val="20"/>
                <w:szCs w:val="20"/>
                <w:color w:val="auto"/>
              </w:rPr>
            </w:pPr>
            <w:r>
              <w:rPr>
                <w:rFonts w:ascii="Arial" w:cs="Arial" w:eastAsia="Arial" w:hAnsi="Arial"/>
                <w:sz w:val="13"/>
                <w:szCs w:val="13"/>
                <w:b w:val="1"/>
                <w:bCs w:val="1"/>
                <w:color w:val="auto"/>
              </w:rPr>
              <w:t>September 4, 2020</w:t>
            </w:r>
          </w:p>
        </w:tc>
        <w:tc>
          <w:tcPr>
            <w:tcW w:w="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w w:val="99"/>
              </w:rPr>
              <w:t>September 4, 2020</w:t>
            </w:r>
          </w:p>
        </w:tc>
      </w:tr>
      <w:tr>
        <w:trPr>
          <w:trHeight w:val="142"/>
        </w:trPr>
        <w:tc>
          <w:tcPr>
            <w:tcW w:w="4220" w:type="dxa"/>
            <w:vAlign w:val="bottom"/>
            <w:tcBorders>
              <w:bottom w:val="single" w:sz="8" w:color="959595"/>
            </w:tcBorders>
          </w:tcPr>
          <w:p>
            <w:pPr>
              <w:ind w:left="80"/>
              <w:spacing w:after="0" w:line="142" w:lineRule="exact"/>
              <w:rPr>
                <w:sz w:val="20"/>
                <w:szCs w:val="20"/>
                <w:color w:val="auto"/>
              </w:rPr>
            </w:pPr>
            <w:r>
              <w:rPr>
                <w:rFonts w:ascii="Arial" w:cs="Arial" w:eastAsia="Arial" w:hAnsi="Arial"/>
                <w:sz w:val="13"/>
                <w:szCs w:val="13"/>
                <w:b w:val="1"/>
                <w:bCs w:val="1"/>
                <w:color w:val="auto"/>
              </w:rPr>
              <w:t>Named executive officers:</w:t>
            </w:r>
          </w:p>
        </w:tc>
        <w:tc>
          <w:tcPr>
            <w:tcW w:w="880" w:type="dxa"/>
            <w:vAlign w:val="bottom"/>
            <w:tcBorders>
              <w:bottom w:val="single" w:sz="8" w:color="959595"/>
            </w:tcBorders>
          </w:tcPr>
          <w:p>
            <w:pPr>
              <w:spacing w:after="0"/>
              <w:rPr>
                <w:sz w:val="12"/>
                <w:szCs w:val="12"/>
                <w:color w:val="auto"/>
              </w:rPr>
            </w:pPr>
          </w:p>
        </w:tc>
        <w:tc>
          <w:tcPr>
            <w:tcW w:w="800" w:type="dxa"/>
            <w:vAlign w:val="bottom"/>
            <w:tcBorders>
              <w:bottom w:val="single" w:sz="8" w:color="959595"/>
            </w:tcBorders>
          </w:tcPr>
          <w:p>
            <w:pPr>
              <w:spacing w:after="0"/>
              <w:rPr>
                <w:sz w:val="12"/>
                <w:szCs w:val="12"/>
                <w:color w:val="auto"/>
              </w:rPr>
            </w:pPr>
          </w:p>
        </w:tc>
        <w:tc>
          <w:tcPr>
            <w:tcW w:w="880" w:type="dxa"/>
            <w:vAlign w:val="bottom"/>
            <w:tcBorders>
              <w:bottom w:val="single" w:sz="8" w:color="959595"/>
            </w:tcBorders>
          </w:tcPr>
          <w:p>
            <w:pPr>
              <w:spacing w:after="0"/>
              <w:rPr>
                <w:sz w:val="12"/>
                <w:szCs w:val="12"/>
                <w:color w:val="auto"/>
              </w:rPr>
            </w:pPr>
          </w:p>
        </w:tc>
        <w:tc>
          <w:tcPr>
            <w:tcW w:w="1040" w:type="dxa"/>
            <w:vAlign w:val="bottom"/>
            <w:tcBorders>
              <w:bottom w:val="single" w:sz="8" w:color="959595"/>
            </w:tcBorders>
          </w:tcPr>
          <w:p>
            <w:pPr>
              <w:spacing w:after="0"/>
              <w:rPr>
                <w:sz w:val="12"/>
                <w:szCs w:val="12"/>
                <w:color w:val="auto"/>
              </w:rPr>
            </w:pPr>
          </w:p>
        </w:tc>
        <w:tc>
          <w:tcPr>
            <w:tcW w:w="880" w:type="dxa"/>
            <w:vAlign w:val="bottom"/>
            <w:tcBorders>
              <w:bottom w:val="single" w:sz="8" w:color="959595"/>
            </w:tcBorders>
          </w:tcPr>
          <w:p>
            <w:pPr>
              <w:spacing w:after="0"/>
              <w:rPr>
                <w:sz w:val="12"/>
                <w:szCs w:val="12"/>
                <w:color w:val="auto"/>
              </w:rPr>
            </w:pPr>
          </w:p>
        </w:tc>
        <w:tc>
          <w:tcPr>
            <w:tcW w:w="1280" w:type="dxa"/>
            <w:vAlign w:val="bottom"/>
            <w:tcBorders>
              <w:bottom w:val="single" w:sz="8" w:color="959595"/>
            </w:tcBorders>
          </w:tcPr>
          <w:p>
            <w:pPr>
              <w:spacing w:after="0"/>
              <w:rPr>
                <w:sz w:val="12"/>
                <w:szCs w:val="12"/>
                <w:color w:val="auto"/>
              </w:rPr>
            </w:pPr>
          </w:p>
        </w:tc>
        <w:tc>
          <w:tcPr>
            <w:tcW w:w="40" w:type="dxa"/>
            <w:vAlign w:val="bottom"/>
            <w:tcBorders>
              <w:bottom w:val="single" w:sz="8" w:color="959595"/>
            </w:tcBorders>
          </w:tcPr>
          <w:p>
            <w:pPr>
              <w:spacing w:after="0"/>
              <w:rPr>
                <w:sz w:val="12"/>
                <w:szCs w:val="12"/>
                <w:color w:val="auto"/>
              </w:rPr>
            </w:pPr>
          </w:p>
        </w:tc>
        <w:tc>
          <w:tcPr>
            <w:tcW w:w="1220" w:type="dxa"/>
            <w:vAlign w:val="bottom"/>
            <w:tcBorders>
              <w:bottom w:val="single" w:sz="8" w:color="959595"/>
            </w:tcBorders>
          </w:tcPr>
          <w:p>
            <w:pPr>
              <w:spacing w:after="0"/>
              <w:rPr>
                <w:sz w:val="12"/>
                <w:szCs w:val="12"/>
                <w:color w:val="auto"/>
              </w:rPr>
            </w:pPr>
          </w:p>
        </w:tc>
      </w:tr>
      <w:tr>
        <w:trPr>
          <w:trHeight w:val="141"/>
        </w:trPr>
        <w:tc>
          <w:tcPr>
            <w:tcW w:w="4220" w:type="dxa"/>
            <w:vAlign w:val="bottom"/>
          </w:tcPr>
          <w:p>
            <w:pPr>
              <w:ind w:left="80"/>
              <w:spacing w:after="0" w:line="141" w:lineRule="exact"/>
              <w:rPr>
                <w:sz w:val="20"/>
                <w:szCs w:val="20"/>
                <w:color w:val="auto"/>
              </w:rPr>
            </w:pPr>
            <w:r>
              <w:rPr>
                <w:rFonts w:ascii="Arial" w:cs="Arial" w:eastAsia="Arial" w:hAnsi="Arial"/>
                <w:sz w:val="13"/>
                <w:szCs w:val="13"/>
                <w:b w:val="1"/>
                <w:bCs w:val="1"/>
                <w:color w:val="23628F"/>
              </w:rPr>
              <w:t>David V. Goeckeler</w:t>
            </w:r>
          </w:p>
        </w:tc>
        <w:tc>
          <w:tcPr>
            <w:tcW w:w="880" w:type="dxa"/>
            <w:vAlign w:val="bottom"/>
          </w:tcPr>
          <w:p>
            <w:pPr>
              <w:jc w:val="right"/>
              <w:ind w:right="13"/>
              <w:spacing w:after="0" w:line="141"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3"/>
              <w:spacing w:after="0" w:line="141"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33"/>
              <w:spacing w:after="0" w:line="141" w:lineRule="exact"/>
              <w:rPr>
                <w:sz w:val="20"/>
                <w:szCs w:val="20"/>
                <w:color w:val="auto"/>
              </w:rPr>
            </w:pPr>
            <w:r>
              <w:rPr>
                <w:rFonts w:ascii="Arial" w:cs="Arial" w:eastAsia="Arial" w:hAnsi="Arial"/>
                <w:sz w:val="13"/>
                <w:szCs w:val="13"/>
                <w:color w:val="auto"/>
              </w:rPr>
              <w:t>—</w:t>
            </w:r>
          </w:p>
        </w:tc>
        <w:tc>
          <w:tcPr>
            <w:tcW w:w="1040" w:type="dxa"/>
            <w:vAlign w:val="bottom"/>
          </w:tcPr>
          <w:p>
            <w:pPr>
              <w:jc w:val="right"/>
              <w:ind w:right="33"/>
              <w:spacing w:after="0" w:line="141"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33"/>
              <w:spacing w:after="0" w:line="141" w:lineRule="exact"/>
              <w:rPr>
                <w:sz w:val="20"/>
                <w:szCs w:val="20"/>
                <w:color w:val="auto"/>
              </w:rPr>
            </w:pPr>
            <w:r>
              <w:rPr>
                <w:rFonts w:ascii="Arial" w:cs="Arial" w:eastAsia="Arial" w:hAnsi="Arial"/>
                <w:sz w:val="13"/>
                <w:szCs w:val="13"/>
                <w:color w:val="auto"/>
              </w:rPr>
              <w:t>961,676</w:t>
            </w:r>
          </w:p>
        </w:tc>
        <w:tc>
          <w:tcPr>
            <w:tcW w:w="132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w:t>
            </w:r>
          </w:p>
        </w:tc>
        <w:tc>
          <w:tcPr>
            <w:tcW w:w="1220" w:type="dxa"/>
            <w:vAlign w:val="bottom"/>
          </w:tcPr>
          <w:p>
            <w:pPr>
              <w:jc w:val="right"/>
              <w:spacing w:after="0" w:line="141" w:lineRule="exact"/>
              <w:rPr>
                <w:sz w:val="20"/>
                <w:szCs w:val="20"/>
                <w:color w:val="auto"/>
              </w:rPr>
            </w:pPr>
            <w:r>
              <w:rPr>
                <w:rFonts w:ascii="Arial" w:cs="Arial" w:eastAsia="Arial" w:hAnsi="Arial"/>
                <w:sz w:val="13"/>
                <w:szCs w:val="13"/>
                <w:color w:val="auto"/>
              </w:rPr>
              <w:t>969,278</w:t>
            </w:r>
          </w:p>
        </w:tc>
      </w:tr>
      <w:tr>
        <w:trPr>
          <w:trHeight w:val="149"/>
        </w:trPr>
        <w:tc>
          <w:tcPr>
            <w:tcW w:w="4220" w:type="dxa"/>
            <w:vAlign w:val="bottom"/>
            <w:tcBorders>
              <w:bottom w:val="single" w:sz="8" w:color="959595"/>
            </w:tcBorders>
          </w:tcPr>
          <w:p>
            <w:pPr>
              <w:ind w:left="80"/>
              <w:spacing w:after="0"/>
              <w:rPr>
                <w:sz w:val="20"/>
                <w:szCs w:val="20"/>
                <w:color w:val="auto"/>
              </w:rPr>
            </w:pPr>
            <w:r>
              <w:rPr>
                <w:rFonts w:ascii="Arial" w:cs="Arial" w:eastAsia="Arial" w:hAnsi="Arial"/>
                <w:sz w:val="13"/>
                <w:szCs w:val="13"/>
                <w:color w:val="auto"/>
              </w:rPr>
              <w:t>Chief Executive Officer</w:t>
            </w:r>
          </w:p>
        </w:tc>
        <w:tc>
          <w:tcPr>
            <w:tcW w:w="880" w:type="dxa"/>
            <w:vAlign w:val="bottom"/>
            <w:tcBorders>
              <w:bottom w:val="single" w:sz="8" w:color="959595"/>
            </w:tcBorders>
          </w:tcPr>
          <w:p>
            <w:pPr>
              <w:spacing w:after="0"/>
              <w:rPr>
                <w:sz w:val="12"/>
                <w:szCs w:val="12"/>
                <w:color w:val="auto"/>
              </w:rPr>
            </w:pPr>
          </w:p>
        </w:tc>
        <w:tc>
          <w:tcPr>
            <w:tcW w:w="800" w:type="dxa"/>
            <w:vAlign w:val="bottom"/>
            <w:tcBorders>
              <w:bottom w:val="single" w:sz="8" w:color="959595"/>
            </w:tcBorders>
          </w:tcPr>
          <w:p>
            <w:pPr>
              <w:spacing w:after="0"/>
              <w:rPr>
                <w:sz w:val="12"/>
                <w:szCs w:val="12"/>
                <w:color w:val="auto"/>
              </w:rPr>
            </w:pPr>
          </w:p>
        </w:tc>
        <w:tc>
          <w:tcPr>
            <w:tcW w:w="880" w:type="dxa"/>
            <w:vAlign w:val="bottom"/>
            <w:tcBorders>
              <w:bottom w:val="single" w:sz="8" w:color="959595"/>
            </w:tcBorders>
          </w:tcPr>
          <w:p>
            <w:pPr>
              <w:spacing w:after="0"/>
              <w:rPr>
                <w:sz w:val="12"/>
                <w:szCs w:val="12"/>
                <w:color w:val="auto"/>
              </w:rPr>
            </w:pPr>
          </w:p>
        </w:tc>
        <w:tc>
          <w:tcPr>
            <w:tcW w:w="1040" w:type="dxa"/>
            <w:vAlign w:val="bottom"/>
            <w:tcBorders>
              <w:bottom w:val="single" w:sz="8" w:color="959595"/>
            </w:tcBorders>
          </w:tcPr>
          <w:p>
            <w:pPr>
              <w:spacing w:after="0"/>
              <w:rPr>
                <w:sz w:val="12"/>
                <w:szCs w:val="12"/>
                <w:color w:val="auto"/>
              </w:rPr>
            </w:pPr>
          </w:p>
        </w:tc>
        <w:tc>
          <w:tcPr>
            <w:tcW w:w="880" w:type="dxa"/>
            <w:vAlign w:val="bottom"/>
            <w:tcBorders>
              <w:bottom w:val="single" w:sz="8" w:color="959595"/>
            </w:tcBorders>
          </w:tcPr>
          <w:p>
            <w:pPr>
              <w:spacing w:after="0"/>
              <w:rPr>
                <w:sz w:val="12"/>
                <w:szCs w:val="12"/>
                <w:color w:val="auto"/>
              </w:rPr>
            </w:pPr>
          </w:p>
        </w:tc>
        <w:tc>
          <w:tcPr>
            <w:tcW w:w="1280" w:type="dxa"/>
            <w:vAlign w:val="bottom"/>
            <w:tcBorders>
              <w:bottom w:val="single" w:sz="8" w:color="959595"/>
            </w:tcBorders>
          </w:tcPr>
          <w:p>
            <w:pPr>
              <w:spacing w:after="0"/>
              <w:rPr>
                <w:sz w:val="12"/>
                <w:szCs w:val="12"/>
                <w:color w:val="auto"/>
              </w:rPr>
            </w:pPr>
          </w:p>
        </w:tc>
        <w:tc>
          <w:tcPr>
            <w:tcW w:w="40" w:type="dxa"/>
            <w:vAlign w:val="bottom"/>
            <w:tcBorders>
              <w:bottom w:val="single" w:sz="8" w:color="959595"/>
            </w:tcBorders>
          </w:tcPr>
          <w:p>
            <w:pPr>
              <w:spacing w:after="0"/>
              <w:rPr>
                <w:sz w:val="12"/>
                <w:szCs w:val="12"/>
                <w:color w:val="auto"/>
              </w:rPr>
            </w:pPr>
          </w:p>
        </w:tc>
        <w:tc>
          <w:tcPr>
            <w:tcW w:w="1220" w:type="dxa"/>
            <w:vAlign w:val="bottom"/>
            <w:tcBorders>
              <w:bottom w:val="single" w:sz="8" w:color="959595"/>
            </w:tcBorders>
          </w:tcPr>
          <w:p>
            <w:pPr>
              <w:spacing w:after="0"/>
              <w:rPr>
                <w:sz w:val="12"/>
                <w:szCs w:val="12"/>
                <w:color w:val="auto"/>
              </w:rPr>
            </w:pPr>
          </w:p>
        </w:tc>
      </w:tr>
      <w:tr>
        <w:trPr>
          <w:trHeight w:val="141"/>
        </w:trPr>
        <w:tc>
          <w:tcPr>
            <w:tcW w:w="4220" w:type="dxa"/>
            <w:vAlign w:val="bottom"/>
          </w:tcPr>
          <w:p>
            <w:pPr>
              <w:ind w:left="80"/>
              <w:spacing w:after="0" w:line="141" w:lineRule="exact"/>
              <w:rPr>
                <w:sz w:val="20"/>
                <w:szCs w:val="20"/>
                <w:color w:val="auto"/>
              </w:rPr>
            </w:pPr>
            <w:r>
              <w:rPr>
                <w:rFonts w:ascii="Arial" w:cs="Arial" w:eastAsia="Arial" w:hAnsi="Arial"/>
                <w:sz w:val="13"/>
                <w:szCs w:val="13"/>
                <w:b w:val="1"/>
                <w:bCs w:val="1"/>
                <w:color w:val="23628F"/>
              </w:rPr>
              <w:t>Robert K. Eulau</w:t>
            </w:r>
          </w:p>
        </w:tc>
        <w:tc>
          <w:tcPr>
            <w:tcW w:w="880" w:type="dxa"/>
            <w:vAlign w:val="bottom"/>
          </w:tcPr>
          <w:p>
            <w:pPr>
              <w:jc w:val="right"/>
              <w:ind w:right="13"/>
              <w:spacing w:after="0" w:line="141"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3"/>
              <w:spacing w:after="0" w:line="141"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33"/>
              <w:spacing w:after="0" w:line="141" w:lineRule="exact"/>
              <w:rPr>
                <w:sz w:val="20"/>
                <w:szCs w:val="20"/>
                <w:color w:val="auto"/>
              </w:rPr>
            </w:pPr>
            <w:r>
              <w:rPr>
                <w:rFonts w:ascii="Arial" w:cs="Arial" w:eastAsia="Arial" w:hAnsi="Arial"/>
                <w:sz w:val="13"/>
                <w:szCs w:val="13"/>
                <w:color w:val="auto"/>
              </w:rPr>
              <w:t>—</w:t>
            </w:r>
          </w:p>
        </w:tc>
        <w:tc>
          <w:tcPr>
            <w:tcW w:w="1040" w:type="dxa"/>
            <w:vAlign w:val="bottom"/>
          </w:tcPr>
          <w:p>
            <w:pPr>
              <w:jc w:val="right"/>
              <w:ind w:right="33"/>
              <w:spacing w:after="0" w:line="141"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33"/>
              <w:spacing w:after="0" w:line="141" w:lineRule="exact"/>
              <w:rPr>
                <w:sz w:val="20"/>
                <w:szCs w:val="20"/>
                <w:color w:val="auto"/>
              </w:rPr>
            </w:pPr>
            <w:r>
              <w:rPr>
                <w:rFonts w:ascii="Arial" w:cs="Arial" w:eastAsia="Arial" w:hAnsi="Arial"/>
                <w:sz w:val="13"/>
                <w:szCs w:val="13"/>
                <w:color w:val="auto"/>
              </w:rPr>
              <w:t>199,111</w:t>
            </w:r>
          </w:p>
        </w:tc>
        <w:tc>
          <w:tcPr>
            <w:tcW w:w="1280" w:type="dxa"/>
            <w:vAlign w:val="bottom"/>
          </w:tcPr>
          <w:p>
            <w:pPr>
              <w:jc w:val="right"/>
              <w:ind w:right="33"/>
              <w:spacing w:after="0" w:line="141" w:lineRule="exact"/>
              <w:rPr>
                <w:sz w:val="20"/>
                <w:szCs w:val="20"/>
                <w:color w:val="auto"/>
              </w:rPr>
            </w:pPr>
            <w:r>
              <w:rPr>
                <w:rFonts w:ascii="Arial" w:cs="Arial" w:eastAsia="Arial" w:hAnsi="Arial"/>
                <w:sz w:val="13"/>
                <w:szCs w:val="13"/>
                <w:color w:val="auto"/>
              </w:rPr>
              <w:t>18,230</w:t>
            </w:r>
          </w:p>
        </w:tc>
        <w:tc>
          <w:tcPr>
            <w:tcW w:w="40" w:type="dxa"/>
            <w:vAlign w:val="bottom"/>
          </w:tcPr>
          <w:p>
            <w:pPr>
              <w:spacing w:after="0"/>
              <w:rPr>
                <w:sz w:val="12"/>
                <w:szCs w:val="12"/>
                <w:color w:val="auto"/>
              </w:rPr>
            </w:pPr>
          </w:p>
        </w:tc>
        <w:tc>
          <w:tcPr>
            <w:tcW w:w="1220" w:type="dxa"/>
            <w:vAlign w:val="bottom"/>
          </w:tcPr>
          <w:p>
            <w:pPr>
              <w:jc w:val="right"/>
              <w:spacing w:after="0" w:line="141" w:lineRule="exact"/>
              <w:rPr>
                <w:sz w:val="20"/>
                <w:szCs w:val="20"/>
                <w:color w:val="auto"/>
              </w:rPr>
            </w:pPr>
            <w:r>
              <w:rPr>
                <w:rFonts w:ascii="Arial" w:cs="Arial" w:eastAsia="Arial" w:hAnsi="Arial"/>
                <w:sz w:val="13"/>
                <w:szCs w:val="13"/>
                <w:color w:val="auto"/>
              </w:rPr>
              <w:t>184,131</w:t>
            </w:r>
          </w:p>
        </w:tc>
      </w:tr>
      <w:tr>
        <w:trPr>
          <w:trHeight w:val="149"/>
        </w:trPr>
        <w:tc>
          <w:tcPr>
            <w:tcW w:w="4220" w:type="dxa"/>
            <w:vAlign w:val="bottom"/>
          </w:tcPr>
          <w:p>
            <w:pPr>
              <w:ind w:left="80"/>
              <w:spacing w:after="0"/>
              <w:rPr>
                <w:sz w:val="20"/>
                <w:szCs w:val="20"/>
                <w:color w:val="auto"/>
              </w:rPr>
            </w:pPr>
            <w:r>
              <w:rPr>
                <w:rFonts w:ascii="Arial" w:cs="Arial" w:eastAsia="Arial" w:hAnsi="Arial"/>
                <w:sz w:val="13"/>
                <w:szCs w:val="13"/>
                <w:color w:val="auto"/>
              </w:rPr>
              <w:t>Executive Vice President and</w:t>
            </w: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49"/>
        </w:trPr>
        <w:tc>
          <w:tcPr>
            <w:tcW w:w="4220" w:type="dxa"/>
            <w:vAlign w:val="bottom"/>
            <w:tcBorders>
              <w:bottom w:val="single" w:sz="8" w:color="959595"/>
            </w:tcBorders>
          </w:tcPr>
          <w:p>
            <w:pPr>
              <w:ind w:left="80"/>
              <w:spacing w:after="0"/>
              <w:rPr>
                <w:sz w:val="20"/>
                <w:szCs w:val="20"/>
                <w:color w:val="auto"/>
              </w:rPr>
            </w:pPr>
            <w:r>
              <w:rPr>
                <w:rFonts w:ascii="Arial" w:cs="Arial" w:eastAsia="Arial" w:hAnsi="Arial"/>
                <w:sz w:val="13"/>
                <w:szCs w:val="13"/>
                <w:color w:val="auto"/>
              </w:rPr>
              <w:t>Chief Financial Officer</w:t>
            </w:r>
          </w:p>
        </w:tc>
        <w:tc>
          <w:tcPr>
            <w:tcW w:w="880" w:type="dxa"/>
            <w:vAlign w:val="bottom"/>
            <w:tcBorders>
              <w:bottom w:val="single" w:sz="8" w:color="959595"/>
            </w:tcBorders>
          </w:tcPr>
          <w:p>
            <w:pPr>
              <w:spacing w:after="0"/>
              <w:rPr>
                <w:sz w:val="12"/>
                <w:szCs w:val="12"/>
                <w:color w:val="auto"/>
              </w:rPr>
            </w:pPr>
          </w:p>
        </w:tc>
        <w:tc>
          <w:tcPr>
            <w:tcW w:w="800" w:type="dxa"/>
            <w:vAlign w:val="bottom"/>
            <w:tcBorders>
              <w:bottom w:val="single" w:sz="8" w:color="959595"/>
            </w:tcBorders>
          </w:tcPr>
          <w:p>
            <w:pPr>
              <w:spacing w:after="0"/>
              <w:rPr>
                <w:sz w:val="12"/>
                <w:szCs w:val="12"/>
                <w:color w:val="auto"/>
              </w:rPr>
            </w:pPr>
          </w:p>
        </w:tc>
        <w:tc>
          <w:tcPr>
            <w:tcW w:w="880" w:type="dxa"/>
            <w:vAlign w:val="bottom"/>
            <w:tcBorders>
              <w:bottom w:val="single" w:sz="8" w:color="959595"/>
            </w:tcBorders>
          </w:tcPr>
          <w:p>
            <w:pPr>
              <w:spacing w:after="0"/>
              <w:rPr>
                <w:sz w:val="12"/>
                <w:szCs w:val="12"/>
                <w:color w:val="auto"/>
              </w:rPr>
            </w:pPr>
          </w:p>
        </w:tc>
        <w:tc>
          <w:tcPr>
            <w:tcW w:w="1040" w:type="dxa"/>
            <w:vAlign w:val="bottom"/>
            <w:tcBorders>
              <w:bottom w:val="single" w:sz="8" w:color="959595"/>
            </w:tcBorders>
          </w:tcPr>
          <w:p>
            <w:pPr>
              <w:spacing w:after="0"/>
              <w:rPr>
                <w:sz w:val="12"/>
                <w:szCs w:val="12"/>
                <w:color w:val="auto"/>
              </w:rPr>
            </w:pPr>
          </w:p>
        </w:tc>
        <w:tc>
          <w:tcPr>
            <w:tcW w:w="880" w:type="dxa"/>
            <w:vAlign w:val="bottom"/>
            <w:tcBorders>
              <w:bottom w:val="single" w:sz="8" w:color="959595"/>
            </w:tcBorders>
          </w:tcPr>
          <w:p>
            <w:pPr>
              <w:spacing w:after="0"/>
              <w:rPr>
                <w:sz w:val="12"/>
                <w:szCs w:val="12"/>
                <w:color w:val="auto"/>
              </w:rPr>
            </w:pPr>
          </w:p>
        </w:tc>
        <w:tc>
          <w:tcPr>
            <w:tcW w:w="1280" w:type="dxa"/>
            <w:vAlign w:val="bottom"/>
            <w:tcBorders>
              <w:bottom w:val="single" w:sz="8" w:color="959595"/>
            </w:tcBorders>
          </w:tcPr>
          <w:p>
            <w:pPr>
              <w:spacing w:after="0"/>
              <w:rPr>
                <w:sz w:val="12"/>
                <w:szCs w:val="12"/>
                <w:color w:val="auto"/>
              </w:rPr>
            </w:pPr>
          </w:p>
        </w:tc>
        <w:tc>
          <w:tcPr>
            <w:tcW w:w="40" w:type="dxa"/>
            <w:vAlign w:val="bottom"/>
            <w:tcBorders>
              <w:bottom w:val="single" w:sz="8" w:color="959595"/>
            </w:tcBorders>
          </w:tcPr>
          <w:p>
            <w:pPr>
              <w:spacing w:after="0"/>
              <w:rPr>
                <w:sz w:val="12"/>
                <w:szCs w:val="12"/>
                <w:color w:val="auto"/>
              </w:rPr>
            </w:pPr>
          </w:p>
        </w:tc>
        <w:tc>
          <w:tcPr>
            <w:tcW w:w="1220" w:type="dxa"/>
            <w:vAlign w:val="bottom"/>
            <w:tcBorders>
              <w:bottom w:val="single" w:sz="8" w:color="959595"/>
            </w:tcBorders>
          </w:tcPr>
          <w:p>
            <w:pPr>
              <w:spacing w:after="0"/>
              <w:rPr>
                <w:sz w:val="12"/>
                <w:szCs w:val="12"/>
                <w:color w:val="auto"/>
              </w:rPr>
            </w:pPr>
          </w:p>
        </w:tc>
      </w:tr>
      <w:tr>
        <w:trPr>
          <w:trHeight w:val="141"/>
        </w:trPr>
        <w:tc>
          <w:tcPr>
            <w:tcW w:w="4220" w:type="dxa"/>
            <w:vAlign w:val="bottom"/>
          </w:tcPr>
          <w:p>
            <w:pPr>
              <w:ind w:left="80"/>
              <w:spacing w:after="0" w:line="141" w:lineRule="exact"/>
              <w:rPr>
                <w:sz w:val="20"/>
                <w:szCs w:val="20"/>
                <w:color w:val="auto"/>
              </w:rPr>
            </w:pPr>
            <w:r>
              <w:rPr>
                <w:rFonts w:ascii="Arial" w:cs="Arial" w:eastAsia="Arial" w:hAnsi="Arial"/>
                <w:sz w:val="13"/>
                <w:szCs w:val="13"/>
                <w:b w:val="1"/>
                <w:bCs w:val="1"/>
                <w:color w:val="23628F"/>
              </w:rPr>
              <w:t>Srinivasan Sivaram</w:t>
            </w:r>
          </w:p>
        </w:tc>
        <w:tc>
          <w:tcPr>
            <w:tcW w:w="880" w:type="dxa"/>
            <w:vAlign w:val="bottom"/>
          </w:tcPr>
          <w:p>
            <w:pPr>
              <w:jc w:val="right"/>
              <w:ind w:right="13"/>
              <w:spacing w:after="0" w:line="141"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3"/>
              <w:spacing w:after="0" w:line="141"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33"/>
              <w:spacing w:after="0" w:line="141" w:lineRule="exact"/>
              <w:rPr>
                <w:sz w:val="20"/>
                <w:szCs w:val="20"/>
                <w:color w:val="auto"/>
              </w:rPr>
            </w:pPr>
            <w:r>
              <w:rPr>
                <w:rFonts w:ascii="Arial" w:cs="Arial" w:eastAsia="Arial" w:hAnsi="Arial"/>
                <w:sz w:val="13"/>
                <w:szCs w:val="13"/>
                <w:color w:val="auto"/>
              </w:rPr>
              <w:t>—</w:t>
            </w:r>
          </w:p>
        </w:tc>
        <w:tc>
          <w:tcPr>
            <w:tcW w:w="1040" w:type="dxa"/>
            <w:vAlign w:val="bottom"/>
          </w:tcPr>
          <w:p>
            <w:pPr>
              <w:jc w:val="right"/>
              <w:ind w:right="33"/>
              <w:spacing w:after="0" w:line="141"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33"/>
              <w:spacing w:after="0" w:line="141" w:lineRule="exact"/>
              <w:rPr>
                <w:sz w:val="20"/>
                <w:szCs w:val="20"/>
                <w:color w:val="auto"/>
              </w:rPr>
            </w:pPr>
            <w:r>
              <w:rPr>
                <w:rFonts w:ascii="Arial" w:cs="Arial" w:eastAsia="Arial" w:hAnsi="Arial"/>
                <w:sz w:val="13"/>
                <w:szCs w:val="13"/>
                <w:color w:val="auto"/>
              </w:rPr>
              <w:t>267,733</w:t>
            </w:r>
          </w:p>
        </w:tc>
        <w:tc>
          <w:tcPr>
            <w:tcW w:w="1280" w:type="dxa"/>
            <w:vAlign w:val="bottom"/>
          </w:tcPr>
          <w:p>
            <w:pPr>
              <w:jc w:val="right"/>
              <w:ind w:right="33"/>
              <w:spacing w:after="0" w:line="141" w:lineRule="exact"/>
              <w:rPr>
                <w:sz w:val="20"/>
                <w:szCs w:val="20"/>
                <w:color w:val="auto"/>
              </w:rPr>
            </w:pPr>
            <w:r>
              <w:rPr>
                <w:rFonts w:ascii="Arial" w:cs="Arial" w:eastAsia="Arial" w:hAnsi="Arial"/>
                <w:sz w:val="13"/>
                <w:szCs w:val="13"/>
                <w:color w:val="auto"/>
              </w:rPr>
              <w:t>40,955</w:t>
            </w:r>
          </w:p>
        </w:tc>
        <w:tc>
          <w:tcPr>
            <w:tcW w:w="40" w:type="dxa"/>
            <w:vAlign w:val="bottom"/>
          </w:tcPr>
          <w:p>
            <w:pPr>
              <w:spacing w:after="0"/>
              <w:rPr>
                <w:sz w:val="12"/>
                <w:szCs w:val="12"/>
                <w:color w:val="auto"/>
              </w:rPr>
            </w:pPr>
          </w:p>
        </w:tc>
        <w:tc>
          <w:tcPr>
            <w:tcW w:w="1220" w:type="dxa"/>
            <w:vAlign w:val="bottom"/>
          </w:tcPr>
          <w:p>
            <w:pPr>
              <w:jc w:val="right"/>
              <w:spacing w:after="0" w:line="141" w:lineRule="exact"/>
              <w:rPr>
                <w:sz w:val="20"/>
                <w:szCs w:val="20"/>
                <w:color w:val="auto"/>
              </w:rPr>
            </w:pPr>
            <w:r>
              <w:rPr>
                <w:rFonts w:ascii="Arial" w:cs="Arial" w:eastAsia="Arial" w:hAnsi="Arial"/>
                <w:sz w:val="13"/>
                <w:szCs w:val="13"/>
                <w:color w:val="auto"/>
              </w:rPr>
              <w:t>233,203</w:t>
            </w:r>
          </w:p>
        </w:tc>
      </w:tr>
      <w:tr>
        <w:trPr>
          <w:trHeight w:val="149"/>
        </w:trPr>
        <w:tc>
          <w:tcPr>
            <w:tcW w:w="4220" w:type="dxa"/>
            <w:vAlign w:val="bottom"/>
            <w:tcBorders>
              <w:bottom w:val="single" w:sz="8" w:color="959595"/>
            </w:tcBorders>
          </w:tcPr>
          <w:p>
            <w:pPr>
              <w:ind w:left="80"/>
              <w:spacing w:after="0"/>
              <w:rPr>
                <w:sz w:val="20"/>
                <w:szCs w:val="20"/>
                <w:color w:val="auto"/>
              </w:rPr>
            </w:pPr>
            <w:r>
              <w:rPr>
                <w:rFonts w:ascii="Arial" w:cs="Arial" w:eastAsia="Arial" w:hAnsi="Arial"/>
                <w:sz w:val="13"/>
                <w:szCs w:val="13"/>
                <w:color w:val="auto"/>
              </w:rPr>
              <w:t>President, Technology and Strategy</w:t>
            </w:r>
          </w:p>
        </w:tc>
        <w:tc>
          <w:tcPr>
            <w:tcW w:w="880" w:type="dxa"/>
            <w:vAlign w:val="bottom"/>
            <w:tcBorders>
              <w:bottom w:val="single" w:sz="8" w:color="959595"/>
            </w:tcBorders>
          </w:tcPr>
          <w:p>
            <w:pPr>
              <w:spacing w:after="0"/>
              <w:rPr>
                <w:sz w:val="12"/>
                <w:szCs w:val="12"/>
                <w:color w:val="auto"/>
              </w:rPr>
            </w:pPr>
          </w:p>
        </w:tc>
        <w:tc>
          <w:tcPr>
            <w:tcW w:w="800" w:type="dxa"/>
            <w:vAlign w:val="bottom"/>
            <w:tcBorders>
              <w:bottom w:val="single" w:sz="8" w:color="959595"/>
            </w:tcBorders>
          </w:tcPr>
          <w:p>
            <w:pPr>
              <w:spacing w:after="0"/>
              <w:rPr>
                <w:sz w:val="12"/>
                <w:szCs w:val="12"/>
                <w:color w:val="auto"/>
              </w:rPr>
            </w:pPr>
          </w:p>
        </w:tc>
        <w:tc>
          <w:tcPr>
            <w:tcW w:w="880" w:type="dxa"/>
            <w:vAlign w:val="bottom"/>
            <w:tcBorders>
              <w:bottom w:val="single" w:sz="8" w:color="959595"/>
            </w:tcBorders>
          </w:tcPr>
          <w:p>
            <w:pPr>
              <w:spacing w:after="0"/>
              <w:rPr>
                <w:sz w:val="12"/>
                <w:szCs w:val="12"/>
                <w:color w:val="auto"/>
              </w:rPr>
            </w:pPr>
          </w:p>
        </w:tc>
        <w:tc>
          <w:tcPr>
            <w:tcW w:w="1040" w:type="dxa"/>
            <w:vAlign w:val="bottom"/>
            <w:tcBorders>
              <w:bottom w:val="single" w:sz="8" w:color="959595"/>
            </w:tcBorders>
          </w:tcPr>
          <w:p>
            <w:pPr>
              <w:spacing w:after="0"/>
              <w:rPr>
                <w:sz w:val="12"/>
                <w:szCs w:val="12"/>
                <w:color w:val="auto"/>
              </w:rPr>
            </w:pPr>
          </w:p>
        </w:tc>
        <w:tc>
          <w:tcPr>
            <w:tcW w:w="880" w:type="dxa"/>
            <w:vAlign w:val="bottom"/>
            <w:tcBorders>
              <w:bottom w:val="single" w:sz="8" w:color="959595"/>
            </w:tcBorders>
          </w:tcPr>
          <w:p>
            <w:pPr>
              <w:spacing w:after="0"/>
              <w:rPr>
                <w:sz w:val="12"/>
                <w:szCs w:val="12"/>
                <w:color w:val="auto"/>
              </w:rPr>
            </w:pPr>
          </w:p>
        </w:tc>
        <w:tc>
          <w:tcPr>
            <w:tcW w:w="1280" w:type="dxa"/>
            <w:vAlign w:val="bottom"/>
            <w:tcBorders>
              <w:bottom w:val="single" w:sz="8" w:color="959595"/>
            </w:tcBorders>
          </w:tcPr>
          <w:p>
            <w:pPr>
              <w:spacing w:after="0"/>
              <w:rPr>
                <w:sz w:val="12"/>
                <w:szCs w:val="12"/>
                <w:color w:val="auto"/>
              </w:rPr>
            </w:pPr>
          </w:p>
        </w:tc>
        <w:tc>
          <w:tcPr>
            <w:tcW w:w="40" w:type="dxa"/>
            <w:vAlign w:val="bottom"/>
            <w:tcBorders>
              <w:bottom w:val="single" w:sz="8" w:color="959595"/>
            </w:tcBorders>
          </w:tcPr>
          <w:p>
            <w:pPr>
              <w:spacing w:after="0"/>
              <w:rPr>
                <w:sz w:val="12"/>
                <w:szCs w:val="12"/>
                <w:color w:val="auto"/>
              </w:rPr>
            </w:pPr>
          </w:p>
        </w:tc>
        <w:tc>
          <w:tcPr>
            <w:tcW w:w="1220" w:type="dxa"/>
            <w:vAlign w:val="bottom"/>
            <w:tcBorders>
              <w:bottom w:val="single" w:sz="8" w:color="959595"/>
            </w:tcBorders>
          </w:tcPr>
          <w:p>
            <w:pPr>
              <w:spacing w:after="0"/>
              <w:rPr>
                <w:sz w:val="12"/>
                <w:szCs w:val="12"/>
                <w:color w:val="auto"/>
              </w:rPr>
            </w:pPr>
          </w:p>
        </w:tc>
      </w:tr>
      <w:tr>
        <w:trPr>
          <w:trHeight w:val="141"/>
        </w:trPr>
        <w:tc>
          <w:tcPr>
            <w:tcW w:w="4220" w:type="dxa"/>
            <w:vAlign w:val="bottom"/>
          </w:tcPr>
          <w:p>
            <w:pPr>
              <w:ind w:left="80"/>
              <w:spacing w:after="0" w:line="141" w:lineRule="exact"/>
              <w:rPr>
                <w:sz w:val="20"/>
                <w:szCs w:val="20"/>
                <w:color w:val="auto"/>
              </w:rPr>
            </w:pPr>
            <w:r>
              <w:rPr>
                <w:rFonts w:ascii="Arial" w:cs="Arial" w:eastAsia="Arial" w:hAnsi="Arial"/>
                <w:sz w:val="13"/>
                <w:szCs w:val="13"/>
                <w:b w:val="1"/>
                <w:bCs w:val="1"/>
                <w:color w:val="23628F"/>
              </w:rPr>
              <w:t>Michael C. Ray</w:t>
            </w:r>
          </w:p>
        </w:tc>
        <w:tc>
          <w:tcPr>
            <w:tcW w:w="880" w:type="dxa"/>
            <w:vAlign w:val="bottom"/>
          </w:tcPr>
          <w:p>
            <w:pPr>
              <w:jc w:val="right"/>
              <w:ind w:right="13"/>
              <w:spacing w:after="0" w:line="141" w:lineRule="exact"/>
              <w:rPr>
                <w:sz w:val="20"/>
                <w:szCs w:val="20"/>
                <w:color w:val="auto"/>
              </w:rPr>
            </w:pPr>
            <w:r>
              <w:rPr>
                <w:rFonts w:ascii="Arial" w:cs="Arial" w:eastAsia="Arial" w:hAnsi="Arial"/>
                <w:sz w:val="13"/>
                <w:szCs w:val="13"/>
                <w:color w:val="auto"/>
              </w:rPr>
              <w:t>298,017</w:t>
            </w:r>
          </w:p>
        </w:tc>
        <w:tc>
          <w:tcPr>
            <w:tcW w:w="800" w:type="dxa"/>
            <w:vAlign w:val="bottom"/>
          </w:tcPr>
          <w:p>
            <w:pPr>
              <w:jc w:val="right"/>
              <w:ind w:right="13"/>
              <w:spacing w:after="0" w:line="141" w:lineRule="exact"/>
              <w:rPr>
                <w:sz w:val="20"/>
                <w:szCs w:val="20"/>
                <w:color w:val="auto"/>
              </w:rPr>
            </w:pPr>
            <w:r>
              <w:rPr>
                <w:rFonts w:ascii="Arial" w:cs="Arial" w:eastAsia="Arial" w:hAnsi="Arial"/>
                <w:sz w:val="13"/>
                <w:szCs w:val="13"/>
                <w:color w:val="auto"/>
              </w:rPr>
              <w:t>253,012</w:t>
            </w:r>
          </w:p>
        </w:tc>
        <w:tc>
          <w:tcPr>
            <w:tcW w:w="880" w:type="dxa"/>
            <w:vAlign w:val="bottom"/>
          </w:tcPr>
          <w:p>
            <w:pPr>
              <w:jc w:val="right"/>
              <w:ind w:right="33"/>
              <w:spacing w:after="0" w:line="141" w:lineRule="exact"/>
              <w:rPr>
                <w:sz w:val="20"/>
                <w:szCs w:val="20"/>
                <w:color w:val="auto"/>
              </w:rPr>
            </w:pPr>
            <w:r>
              <w:rPr>
                <w:rFonts w:ascii="Arial" w:cs="Arial" w:eastAsia="Arial" w:hAnsi="Arial"/>
                <w:sz w:val="13"/>
                <w:szCs w:val="13"/>
                <w:color w:val="auto"/>
              </w:rPr>
              <w:t>45,005</w:t>
            </w:r>
          </w:p>
        </w:tc>
        <w:tc>
          <w:tcPr>
            <w:tcW w:w="1040" w:type="dxa"/>
            <w:vAlign w:val="bottom"/>
          </w:tcPr>
          <w:p>
            <w:pPr>
              <w:jc w:val="right"/>
              <w:ind w:right="33"/>
              <w:spacing w:after="0" w:line="141"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33"/>
              <w:spacing w:after="0" w:line="141" w:lineRule="exact"/>
              <w:rPr>
                <w:sz w:val="20"/>
                <w:szCs w:val="20"/>
                <w:color w:val="auto"/>
              </w:rPr>
            </w:pPr>
            <w:r>
              <w:rPr>
                <w:rFonts w:ascii="Arial" w:cs="Arial" w:eastAsia="Arial" w:hAnsi="Arial"/>
                <w:sz w:val="13"/>
                <w:szCs w:val="13"/>
                <w:color w:val="auto"/>
              </w:rPr>
              <w:t>333,606</w:t>
            </w:r>
          </w:p>
        </w:tc>
        <w:tc>
          <w:tcPr>
            <w:tcW w:w="1280" w:type="dxa"/>
            <w:vAlign w:val="bottom"/>
          </w:tcPr>
          <w:p>
            <w:pPr>
              <w:jc w:val="right"/>
              <w:ind w:right="33"/>
              <w:spacing w:after="0" w:line="141" w:lineRule="exact"/>
              <w:rPr>
                <w:sz w:val="20"/>
                <w:szCs w:val="20"/>
                <w:color w:val="auto"/>
              </w:rPr>
            </w:pPr>
            <w:r>
              <w:rPr>
                <w:rFonts w:ascii="Arial" w:cs="Arial" w:eastAsia="Arial" w:hAnsi="Arial"/>
                <w:sz w:val="13"/>
                <w:szCs w:val="13"/>
                <w:color w:val="auto"/>
              </w:rPr>
              <w:t>275,356</w:t>
            </w:r>
          </w:p>
        </w:tc>
        <w:tc>
          <w:tcPr>
            <w:tcW w:w="40" w:type="dxa"/>
            <w:vAlign w:val="bottom"/>
          </w:tcPr>
          <w:p>
            <w:pPr>
              <w:spacing w:after="0"/>
              <w:rPr>
                <w:sz w:val="12"/>
                <w:szCs w:val="12"/>
                <w:color w:val="auto"/>
              </w:rPr>
            </w:pPr>
          </w:p>
        </w:tc>
        <w:tc>
          <w:tcPr>
            <w:tcW w:w="1220" w:type="dxa"/>
            <w:vAlign w:val="bottom"/>
          </w:tcPr>
          <w:p>
            <w:pPr>
              <w:jc w:val="right"/>
              <w:spacing w:after="0" w:line="141" w:lineRule="exact"/>
              <w:rPr>
                <w:sz w:val="20"/>
                <w:szCs w:val="20"/>
                <w:color w:val="auto"/>
              </w:rPr>
            </w:pPr>
            <w:r>
              <w:rPr>
                <w:rFonts w:ascii="Arial" w:cs="Arial" w:eastAsia="Arial" w:hAnsi="Arial"/>
                <w:sz w:val="13"/>
                <w:szCs w:val="13"/>
                <w:color w:val="auto"/>
              </w:rPr>
              <w:t>133,962</w:t>
            </w:r>
          </w:p>
        </w:tc>
      </w:tr>
      <w:tr>
        <w:trPr>
          <w:trHeight w:val="148"/>
        </w:trPr>
        <w:tc>
          <w:tcPr>
            <w:tcW w:w="4220" w:type="dxa"/>
            <w:vAlign w:val="bottom"/>
          </w:tcPr>
          <w:p>
            <w:pPr>
              <w:ind w:left="80"/>
              <w:spacing w:after="0"/>
              <w:rPr>
                <w:sz w:val="20"/>
                <w:szCs w:val="20"/>
                <w:color w:val="auto"/>
              </w:rPr>
            </w:pPr>
            <w:r>
              <w:rPr>
                <w:rFonts w:ascii="Arial" w:cs="Arial" w:eastAsia="Arial" w:hAnsi="Arial"/>
                <w:sz w:val="13"/>
                <w:szCs w:val="13"/>
                <w:color w:val="auto"/>
              </w:rPr>
              <w:t>Executive Vice President, Chief Legal</w:t>
            </w: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49"/>
        </w:trPr>
        <w:tc>
          <w:tcPr>
            <w:tcW w:w="4220" w:type="dxa"/>
            <w:vAlign w:val="bottom"/>
            <w:tcBorders>
              <w:bottom w:val="single" w:sz="8" w:color="959595"/>
            </w:tcBorders>
          </w:tcPr>
          <w:p>
            <w:pPr>
              <w:ind w:left="80"/>
              <w:spacing w:after="0"/>
              <w:rPr>
                <w:sz w:val="20"/>
                <w:szCs w:val="20"/>
                <w:color w:val="auto"/>
              </w:rPr>
            </w:pPr>
            <w:r>
              <w:rPr>
                <w:rFonts w:ascii="Arial" w:cs="Arial" w:eastAsia="Arial" w:hAnsi="Arial"/>
                <w:sz w:val="13"/>
                <w:szCs w:val="13"/>
                <w:color w:val="auto"/>
              </w:rPr>
              <w:t>Officer and Secretary</w:t>
            </w:r>
          </w:p>
        </w:tc>
        <w:tc>
          <w:tcPr>
            <w:tcW w:w="880" w:type="dxa"/>
            <w:vAlign w:val="bottom"/>
            <w:tcBorders>
              <w:bottom w:val="single" w:sz="8" w:color="959595"/>
            </w:tcBorders>
          </w:tcPr>
          <w:p>
            <w:pPr>
              <w:spacing w:after="0"/>
              <w:rPr>
                <w:sz w:val="12"/>
                <w:szCs w:val="12"/>
                <w:color w:val="auto"/>
              </w:rPr>
            </w:pPr>
          </w:p>
        </w:tc>
        <w:tc>
          <w:tcPr>
            <w:tcW w:w="800" w:type="dxa"/>
            <w:vAlign w:val="bottom"/>
            <w:tcBorders>
              <w:bottom w:val="single" w:sz="8" w:color="959595"/>
            </w:tcBorders>
          </w:tcPr>
          <w:p>
            <w:pPr>
              <w:spacing w:after="0"/>
              <w:rPr>
                <w:sz w:val="12"/>
                <w:szCs w:val="12"/>
                <w:color w:val="auto"/>
              </w:rPr>
            </w:pPr>
          </w:p>
        </w:tc>
        <w:tc>
          <w:tcPr>
            <w:tcW w:w="880" w:type="dxa"/>
            <w:vAlign w:val="bottom"/>
            <w:tcBorders>
              <w:bottom w:val="single" w:sz="8" w:color="959595"/>
            </w:tcBorders>
          </w:tcPr>
          <w:p>
            <w:pPr>
              <w:spacing w:after="0"/>
              <w:rPr>
                <w:sz w:val="12"/>
                <w:szCs w:val="12"/>
                <w:color w:val="auto"/>
              </w:rPr>
            </w:pPr>
          </w:p>
        </w:tc>
        <w:tc>
          <w:tcPr>
            <w:tcW w:w="1040" w:type="dxa"/>
            <w:vAlign w:val="bottom"/>
            <w:tcBorders>
              <w:bottom w:val="single" w:sz="8" w:color="959595"/>
            </w:tcBorders>
          </w:tcPr>
          <w:p>
            <w:pPr>
              <w:spacing w:after="0"/>
              <w:rPr>
                <w:sz w:val="12"/>
                <w:szCs w:val="12"/>
                <w:color w:val="auto"/>
              </w:rPr>
            </w:pPr>
          </w:p>
        </w:tc>
        <w:tc>
          <w:tcPr>
            <w:tcW w:w="880" w:type="dxa"/>
            <w:vAlign w:val="bottom"/>
            <w:tcBorders>
              <w:bottom w:val="single" w:sz="8" w:color="959595"/>
            </w:tcBorders>
          </w:tcPr>
          <w:p>
            <w:pPr>
              <w:spacing w:after="0"/>
              <w:rPr>
                <w:sz w:val="12"/>
                <w:szCs w:val="12"/>
                <w:color w:val="auto"/>
              </w:rPr>
            </w:pPr>
          </w:p>
        </w:tc>
        <w:tc>
          <w:tcPr>
            <w:tcW w:w="1280" w:type="dxa"/>
            <w:vAlign w:val="bottom"/>
            <w:tcBorders>
              <w:bottom w:val="single" w:sz="8" w:color="959595"/>
            </w:tcBorders>
          </w:tcPr>
          <w:p>
            <w:pPr>
              <w:spacing w:after="0"/>
              <w:rPr>
                <w:sz w:val="12"/>
                <w:szCs w:val="12"/>
                <w:color w:val="auto"/>
              </w:rPr>
            </w:pPr>
          </w:p>
        </w:tc>
        <w:tc>
          <w:tcPr>
            <w:tcW w:w="40" w:type="dxa"/>
            <w:vAlign w:val="bottom"/>
            <w:tcBorders>
              <w:bottom w:val="single" w:sz="8" w:color="959595"/>
            </w:tcBorders>
          </w:tcPr>
          <w:p>
            <w:pPr>
              <w:spacing w:after="0"/>
              <w:rPr>
                <w:sz w:val="12"/>
                <w:szCs w:val="12"/>
                <w:color w:val="auto"/>
              </w:rPr>
            </w:pPr>
          </w:p>
        </w:tc>
        <w:tc>
          <w:tcPr>
            <w:tcW w:w="1220" w:type="dxa"/>
            <w:vAlign w:val="bottom"/>
            <w:tcBorders>
              <w:bottom w:val="single" w:sz="8" w:color="959595"/>
            </w:tcBorders>
          </w:tcPr>
          <w:p>
            <w:pPr>
              <w:spacing w:after="0"/>
              <w:rPr>
                <w:sz w:val="12"/>
                <w:szCs w:val="12"/>
                <w:color w:val="auto"/>
              </w:rPr>
            </w:pPr>
          </w:p>
        </w:tc>
      </w:tr>
      <w:tr>
        <w:trPr>
          <w:trHeight w:val="141"/>
        </w:trPr>
        <w:tc>
          <w:tcPr>
            <w:tcW w:w="4220" w:type="dxa"/>
            <w:vAlign w:val="bottom"/>
          </w:tcPr>
          <w:p>
            <w:pPr>
              <w:ind w:left="80"/>
              <w:spacing w:after="0" w:line="141" w:lineRule="exact"/>
              <w:rPr>
                <w:sz w:val="20"/>
                <w:szCs w:val="20"/>
                <w:color w:val="auto"/>
              </w:rPr>
            </w:pPr>
            <w:r>
              <w:rPr>
                <w:rFonts w:ascii="Arial" w:cs="Arial" w:eastAsia="Arial" w:hAnsi="Arial"/>
                <w:sz w:val="13"/>
                <w:szCs w:val="13"/>
                <w:b w:val="1"/>
                <w:bCs w:val="1"/>
                <w:color w:val="23628F"/>
              </w:rPr>
              <w:t>Lori S. Sundberg</w:t>
            </w:r>
          </w:p>
        </w:tc>
        <w:tc>
          <w:tcPr>
            <w:tcW w:w="880" w:type="dxa"/>
            <w:vAlign w:val="bottom"/>
          </w:tcPr>
          <w:p>
            <w:pPr>
              <w:jc w:val="right"/>
              <w:ind w:right="13"/>
              <w:spacing w:after="0" w:line="141"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3"/>
              <w:spacing w:after="0" w:line="141"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33"/>
              <w:spacing w:after="0" w:line="141" w:lineRule="exact"/>
              <w:rPr>
                <w:sz w:val="20"/>
                <w:szCs w:val="20"/>
                <w:color w:val="auto"/>
              </w:rPr>
            </w:pPr>
            <w:r>
              <w:rPr>
                <w:rFonts w:ascii="Arial" w:cs="Arial" w:eastAsia="Arial" w:hAnsi="Arial"/>
                <w:sz w:val="13"/>
                <w:szCs w:val="13"/>
                <w:color w:val="auto"/>
              </w:rPr>
              <w:t>—</w:t>
            </w:r>
          </w:p>
        </w:tc>
        <w:tc>
          <w:tcPr>
            <w:tcW w:w="1040" w:type="dxa"/>
            <w:vAlign w:val="bottom"/>
          </w:tcPr>
          <w:p>
            <w:pPr>
              <w:jc w:val="right"/>
              <w:ind w:right="33"/>
              <w:spacing w:after="0" w:line="141"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33"/>
              <w:spacing w:after="0" w:line="141" w:lineRule="exact"/>
              <w:rPr>
                <w:sz w:val="20"/>
                <w:szCs w:val="20"/>
                <w:color w:val="auto"/>
              </w:rPr>
            </w:pPr>
            <w:r>
              <w:rPr>
                <w:rFonts w:ascii="Arial" w:cs="Arial" w:eastAsia="Arial" w:hAnsi="Arial"/>
                <w:sz w:val="13"/>
                <w:szCs w:val="13"/>
                <w:color w:val="auto"/>
              </w:rPr>
              <w:t>134,946</w:t>
            </w:r>
          </w:p>
        </w:tc>
        <w:tc>
          <w:tcPr>
            <w:tcW w:w="1280" w:type="dxa"/>
            <w:vAlign w:val="bottom"/>
          </w:tcPr>
          <w:p>
            <w:pPr>
              <w:jc w:val="right"/>
              <w:ind w:right="33"/>
              <w:spacing w:after="0" w:line="141" w:lineRule="exact"/>
              <w:rPr>
                <w:sz w:val="20"/>
                <w:szCs w:val="20"/>
                <w:color w:val="auto"/>
              </w:rPr>
            </w:pPr>
            <w:r>
              <w:rPr>
                <w:rFonts w:ascii="Arial" w:cs="Arial" w:eastAsia="Arial" w:hAnsi="Arial"/>
                <w:sz w:val="13"/>
                <w:szCs w:val="13"/>
                <w:color w:val="auto"/>
              </w:rPr>
              <w:t>23,044</w:t>
            </w:r>
          </w:p>
        </w:tc>
        <w:tc>
          <w:tcPr>
            <w:tcW w:w="40" w:type="dxa"/>
            <w:vAlign w:val="bottom"/>
          </w:tcPr>
          <w:p>
            <w:pPr>
              <w:spacing w:after="0"/>
              <w:rPr>
                <w:sz w:val="12"/>
                <w:szCs w:val="12"/>
                <w:color w:val="auto"/>
              </w:rPr>
            </w:pPr>
          </w:p>
        </w:tc>
        <w:tc>
          <w:tcPr>
            <w:tcW w:w="1220" w:type="dxa"/>
            <w:vAlign w:val="bottom"/>
          </w:tcPr>
          <w:p>
            <w:pPr>
              <w:jc w:val="right"/>
              <w:spacing w:after="0" w:line="141" w:lineRule="exact"/>
              <w:rPr>
                <w:sz w:val="20"/>
                <w:szCs w:val="20"/>
                <w:color w:val="auto"/>
              </w:rPr>
            </w:pPr>
            <w:r>
              <w:rPr>
                <w:rFonts w:ascii="Arial" w:cs="Arial" w:eastAsia="Arial" w:hAnsi="Arial"/>
                <w:sz w:val="13"/>
                <w:szCs w:val="13"/>
                <w:color w:val="auto"/>
              </w:rPr>
              <w:t>116,070</w:t>
            </w:r>
          </w:p>
        </w:tc>
      </w:tr>
      <w:tr>
        <w:trPr>
          <w:trHeight w:val="148"/>
        </w:trPr>
        <w:tc>
          <w:tcPr>
            <w:tcW w:w="4220" w:type="dxa"/>
            <w:vAlign w:val="bottom"/>
          </w:tcPr>
          <w:p>
            <w:pPr>
              <w:ind w:left="80"/>
              <w:spacing w:after="0"/>
              <w:rPr>
                <w:sz w:val="20"/>
                <w:szCs w:val="20"/>
                <w:color w:val="auto"/>
              </w:rPr>
            </w:pPr>
            <w:r>
              <w:rPr>
                <w:rFonts w:ascii="Arial" w:cs="Arial" w:eastAsia="Arial" w:hAnsi="Arial"/>
                <w:sz w:val="13"/>
                <w:szCs w:val="13"/>
                <w:color w:val="auto"/>
              </w:rPr>
              <w:t>Executive Vice President, Chief Human</w:t>
            </w: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49"/>
        </w:trPr>
        <w:tc>
          <w:tcPr>
            <w:tcW w:w="4220" w:type="dxa"/>
            <w:vAlign w:val="bottom"/>
            <w:tcBorders>
              <w:bottom w:val="single" w:sz="8" w:color="959595"/>
            </w:tcBorders>
          </w:tcPr>
          <w:p>
            <w:pPr>
              <w:ind w:left="80"/>
              <w:spacing w:after="0"/>
              <w:rPr>
                <w:sz w:val="20"/>
                <w:szCs w:val="20"/>
                <w:color w:val="auto"/>
              </w:rPr>
            </w:pPr>
            <w:r>
              <w:rPr>
                <w:rFonts w:ascii="Arial" w:cs="Arial" w:eastAsia="Arial" w:hAnsi="Arial"/>
                <w:sz w:val="13"/>
                <w:szCs w:val="13"/>
                <w:color w:val="auto"/>
              </w:rPr>
              <w:t>Resources Officer</w:t>
            </w:r>
          </w:p>
        </w:tc>
        <w:tc>
          <w:tcPr>
            <w:tcW w:w="880" w:type="dxa"/>
            <w:vAlign w:val="bottom"/>
            <w:tcBorders>
              <w:bottom w:val="single" w:sz="8" w:color="959595"/>
            </w:tcBorders>
          </w:tcPr>
          <w:p>
            <w:pPr>
              <w:spacing w:after="0"/>
              <w:rPr>
                <w:sz w:val="12"/>
                <w:szCs w:val="12"/>
                <w:color w:val="auto"/>
              </w:rPr>
            </w:pPr>
          </w:p>
        </w:tc>
        <w:tc>
          <w:tcPr>
            <w:tcW w:w="800" w:type="dxa"/>
            <w:vAlign w:val="bottom"/>
            <w:tcBorders>
              <w:bottom w:val="single" w:sz="8" w:color="959595"/>
            </w:tcBorders>
          </w:tcPr>
          <w:p>
            <w:pPr>
              <w:spacing w:after="0"/>
              <w:rPr>
                <w:sz w:val="12"/>
                <w:szCs w:val="12"/>
                <w:color w:val="auto"/>
              </w:rPr>
            </w:pPr>
          </w:p>
        </w:tc>
        <w:tc>
          <w:tcPr>
            <w:tcW w:w="880" w:type="dxa"/>
            <w:vAlign w:val="bottom"/>
            <w:tcBorders>
              <w:bottom w:val="single" w:sz="8" w:color="959595"/>
            </w:tcBorders>
          </w:tcPr>
          <w:p>
            <w:pPr>
              <w:spacing w:after="0"/>
              <w:rPr>
                <w:sz w:val="12"/>
                <w:szCs w:val="12"/>
                <w:color w:val="auto"/>
              </w:rPr>
            </w:pPr>
          </w:p>
        </w:tc>
        <w:tc>
          <w:tcPr>
            <w:tcW w:w="1040" w:type="dxa"/>
            <w:vAlign w:val="bottom"/>
            <w:tcBorders>
              <w:bottom w:val="single" w:sz="8" w:color="959595"/>
            </w:tcBorders>
          </w:tcPr>
          <w:p>
            <w:pPr>
              <w:spacing w:after="0"/>
              <w:rPr>
                <w:sz w:val="12"/>
                <w:szCs w:val="12"/>
                <w:color w:val="auto"/>
              </w:rPr>
            </w:pPr>
          </w:p>
        </w:tc>
        <w:tc>
          <w:tcPr>
            <w:tcW w:w="880" w:type="dxa"/>
            <w:vAlign w:val="bottom"/>
            <w:tcBorders>
              <w:bottom w:val="single" w:sz="8" w:color="959595"/>
            </w:tcBorders>
          </w:tcPr>
          <w:p>
            <w:pPr>
              <w:spacing w:after="0"/>
              <w:rPr>
                <w:sz w:val="12"/>
                <w:szCs w:val="12"/>
                <w:color w:val="auto"/>
              </w:rPr>
            </w:pPr>
          </w:p>
        </w:tc>
        <w:tc>
          <w:tcPr>
            <w:tcW w:w="1280" w:type="dxa"/>
            <w:vAlign w:val="bottom"/>
            <w:tcBorders>
              <w:bottom w:val="single" w:sz="8" w:color="959595"/>
            </w:tcBorders>
          </w:tcPr>
          <w:p>
            <w:pPr>
              <w:spacing w:after="0"/>
              <w:rPr>
                <w:sz w:val="12"/>
                <w:szCs w:val="12"/>
                <w:color w:val="auto"/>
              </w:rPr>
            </w:pPr>
          </w:p>
        </w:tc>
        <w:tc>
          <w:tcPr>
            <w:tcW w:w="40" w:type="dxa"/>
            <w:vAlign w:val="bottom"/>
            <w:tcBorders>
              <w:bottom w:val="single" w:sz="8" w:color="959595"/>
            </w:tcBorders>
          </w:tcPr>
          <w:p>
            <w:pPr>
              <w:spacing w:after="0"/>
              <w:rPr>
                <w:sz w:val="12"/>
                <w:szCs w:val="12"/>
                <w:color w:val="auto"/>
              </w:rPr>
            </w:pPr>
          </w:p>
        </w:tc>
        <w:tc>
          <w:tcPr>
            <w:tcW w:w="1220" w:type="dxa"/>
            <w:vAlign w:val="bottom"/>
            <w:tcBorders>
              <w:bottom w:val="single" w:sz="8" w:color="959595"/>
            </w:tcBorders>
          </w:tcPr>
          <w:p>
            <w:pPr>
              <w:spacing w:after="0"/>
              <w:rPr>
                <w:sz w:val="12"/>
                <w:szCs w:val="12"/>
                <w:color w:val="auto"/>
              </w:rPr>
            </w:pPr>
          </w:p>
        </w:tc>
      </w:tr>
      <w:tr>
        <w:trPr>
          <w:trHeight w:val="141"/>
        </w:trPr>
        <w:tc>
          <w:tcPr>
            <w:tcW w:w="4220" w:type="dxa"/>
            <w:vAlign w:val="bottom"/>
          </w:tcPr>
          <w:p>
            <w:pPr>
              <w:ind w:left="80"/>
              <w:spacing w:after="0" w:line="141" w:lineRule="exact"/>
              <w:rPr>
                <w:sz w:val="20"/>
                <w:szCs w:val="20"/>
                <w:color w:val="auto"/>
              </w:rPr>
            </w:pPr>
            <w:r>
              <w:rPr>
                <w:rFonts w:ascii="Arial" w:cs="Arial" w:eastAsia="Arial" w:hAnsi="Arial"/>
                <w:sz w:val="13"/>
                <w:szCs w:val="13"/>
                <w:b w:val="1"/>
                <w:bCs w:val="1"/>
                <w:color w:val="23628F"/>
              </w:rPr>
              <w:t>Stephen D. Milligan</w:t>
            </w:r>
          </w:p>
        </w:tc>
        <w:tc>
          <w:tcPr>
            <w:tcW w:w="880" w:type="dxa"/>
            <w:vAlign w:val="bottom"/>
          </w:tcPr>
          <w:p>
            <w:pPr>
              <w:jc w:val="right"/>
              <w:ind w:right="13"/>
              <w:spacing w:after="0" w:line="141" w:lineRule="exact"/>
              <w:rPr>
                <w:sz w:val="20"/>
                <w:szCs w:val="20"/>
                <w:color w:val="auto"/>
              </w:rPr>
            </w:pPr>
            <w:r>
              <w:rPr>
                <w:rFonts w:ascii="Arial" w:cs="Arial" w:eastAsia="Arial" w:hAnsi="Arial"/>
                <w:sz w:val="13"/>
                <w:szCs w:val="13"/>
                <w:color w:val="auto"/>
              </w:rPr>
              <w:t>866,261</w:t>
            </w:r>
          </w:p>
        </w:tc>
        <w:tc>
          <w:tcPr>
            <w:tcW w:w="800" w:type="dxa"/>
            <w:vAlign w:val="bottom"/>
          </w:tcPr>
          <w:p>
            <w:pPr>
              <w:jc w:val="right"/>
              <w:ind w:right="13"/>
              <w:spacing w:after="0" w:line="141" w:lineRule="exact"/>
              <w:rPr>
                <w:sz w:val="20"/>
                <w:szCs w:val="20"/>
                <w:color w:val="auto"/>
              </w:rPr>
            </w:pPr>
            <w:r>
              <w:rPr>
                <w:rFonts w:ascii="Arial" w:cs="Arial" w:eastAsia="Arial" w:hAnsi="Arial"/>
                <w:sz w:val="13"/>
                <w:szCs w:val="13"/>
                <w:color w:val="auto"/>
              </w:rPr>
              <w:t>480,807</w:t>
            </w:r>
          </w:p>
        </w:tc>
        <w:tc>
          <w:tcPr>
            <w:tcW w:w="880" w:type="dxa"/>
            <w:vAlign w:val="bottom"/>
          </w:tcPr>
          <w:p>
            <w:pPr>
              <w:jc w:val="right"/>
              <w:ind w:right="33"/>
              <w:spacing w:after="0" w:line="141" w:lineRule="exact"/>
              <w:rPr>
                <w:sz w:val="20"/>
                <w:szCs w:val="20"/>
                <w:color w:val="auto"/>
              </w:rPr>
            </w:pPr>
            <w:r>
              <w:rPr>
                <w:rFonts w:ascii="Arial" w:cs="Arial" w:eastAsia="Arial" w:hAnsi="Arial"/>
                <w:sz w:val="13"/>
                <w:szCs w:val="13"/>
                <w:color w:val="auto"/>
              </w:rPr>
              <w:t>327,228</w:t>
            </w:r>
          </w:p>
        </w:tc>
        <w:tc>
          <w:tcPr>
            <w:tcW w:w="1040" w:type="dxa"/>
            <w:vAlign w:val="bottom"/>
          </w:tcPr>
          <w:p>
            <w:pPr>
              <w:jc w:val="right"/>
              <w:ind w:right="33"/>
              <w:spacing w:after="0" w:line="141"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33"/>
              <w:spacing w:after="0" w:line="141" w:lineRule="exact"/>
              <w:rPr>
                <w:sz w:val="20"/>
                <w:szCs w:val="20"/>
                <w:color w:val="auto"/>
              </w:rPr>
            </w:pPr>
            <w:r>
              <w:rPr>
                <w:rFonts w:ascii="Arial" w:cs="Arial" w:eastAsia="Arial" w:hAnsi="Arial"/>
                <w:sz w:val="13"/>
                <w:szCs w:val="13"/>
                <w:color w:val="auto"/>
              </w:rPr>
              <w:t>1,447,894</w:t>
            </w:r>
          </w:p>
        </w:tc>
        <w:tc>
          <w:tcPr>
            <w:tcW w:w="1280" w:type="dxa"/>
            <w:vAlign w:val="bottom"/>
          </w:tcPr>
          <w:p>
            <w:pPr>
              <w:jc w:val="right"/>
              <w:ind w:right="33"/>
              <w:spacing w:after="0" w:line="141" w:lineRule="exact"/>
              <w:rPr>
                <w:sz w:val="20"/>
                <w:szCs w:val="20"/>
                <w:color w:val="auto"/>
              </w:rPr>
            </w:pPr>
            <w:r>
              <w:rPr>
                <w:rFonts w:ascii="Arial" w:cs="Arial" w:eastAsia="Arial" w:hAnsi="Arial"/>
                <w:sz w:val="13"/>
                <w:szCs w:val="13"/>
                <w:color w:val="auto"/>
              </w:rPr>
              <w:t>1,088,818</w:t>
            </w:r>
          </w:p>
        </w:tc>
        <w:tc>
          <w:tcPr>
            <w:tcW w:w="40" w:type="dxa"/>
            <w:vAlign w:val="bottom"/>
          </w:tcPr>
          <w:p>
            <w:pPr>
              <w:spacing w:after="0"/>
              <w:rPr>
                <w:sz w:val="12"/>
                <w:szCs w:val="12"/>
                <w:color w:val="auto"/>
              </w:rPr>
            </w:pPr>
          </w:p>
        </w:tc>
        <w:tc>
          <w:tcPr>
            <w:tcW w:w="1220" w:type="dxa"/>
            <w:vAlign w:val="bottom"/>
          </w:tcPr>
          <w:p>
            <w:pPr>
              <w:jc w:val="right"/>
              <w:spacing w:after="0" w:line="141" w:lineRule="exact"/>
              <w:rPr>
                <w:sz w:val="20"/>
                <w:szCs w:val="20"/>
                <w:color w:val="auto"/>
              </w:rPr>
            </w:pPr>
            <w:r>
              <w:rPr>
                <w:rFonts w:ascii="Arial" w:cs="Arial" w:eastAsia="Arial" w:hAnsi="Arial"/>
                <w:sz w:val="13"/>
                <w:szCs w:val="13"/>
                <w:color w:val="auto"/>
              </w:rPr>
              <w:t>363,508</w:t>
            </w:r>
          </w:p>
        </w:tc>
      </w:tr>
      <w:tr>
        <w:trPr>
          <w:trHeight w:val="149"/>
        </w:trPr>
        <w:tc>
          <w:tcPr>
            <w:tcW w:w="4220" w:type="dxa"/>
            <w:vAlign w:val="bottom"/>
            <w:tcBorders>
              <w:bottom w:val="single" w:sz="8" w:color="959595"/>
            </w:tcBorders>
          </w:tcPr>
          <w:p>
            <w:pPr>
              <w:ind w:left="80"/>
              <w:spacing w:after="0"/>
              <w:rPr>
                <w:sz w:val="20"/>
                <w:szCs w:val="20"/>
                <w:color w:val="auto"/>
              </w:rPr>
            </w:pPr>
            <w:r>
              <w:rPr>
                <w:rFonts w:ascii="Arial" w:cs="Arial" w:eastAsia="Arial" w:hAnsi="Arial"/>
                <w:sz w:val="13"/>
                <w:szCs w:val="13"/>
                <w:color w:val="auto"/>
              </w:rPr>
              <w:t>Former Chief Executive Officer</w:t>
            </w:r>
          </w:p>
        </w:tc>
        <w:tc>
          <w:tcPr>
            <w:tcW w:w="880" w:type="dxa"/>
            <w:vAlign w:val="bottom"/>
            <w:tcBorders>
              <w:bottom w:val="single" w:sz="8" w:color="959595"/>
            </w:tcBorders>
          </w:tcPr>
          <w:p>
            <w:pPr>
              <w:spacing w:after="0"/>
              <w:rPr>
                <w:sz w:val="12"/>
                <w:szCs w:val="12"/>
                <w:color w:val="auto"/>
              </w:rPr>
            </w:pPr>
          </w:p>
        </w:tc>
        <w:tc>
          <w:tcPr>
            <w:tcW w:w="800" w:type="dxa"/>
            <w:vAlign w:val="bottom"/>
            <w:tcBorders>
              <w:bottom w:val="single" w:sz="8" w:color="959595"/>
            </w:tcBorders>
          </w:tcPr>
          <w:p>
            <w:pPr>
              <w:spacing w:after="0"/>
              <w:rPr>
                <w:sz w:val="12"/>
                <w:szCs w:val="12"/>
                <w:color w:val="auto"/>
              </w:rPr>
            </w:pPr>
          </w:p>
        </w:tc>
        <w:tc>
          <w:tcPr>
            <w:tcW w:w="880" w:type="dxa"/>
            <w:vAlign w:val="bottom"/>
            <w:tcBorders>
              <w:bottom w:val="single" w:sz="8" w:color="959595"/>
            </w:tcBorders>
          </w:tcPr>
          <w:p>
            <w:pPr>
              <w:spacing w:after="0"/>
              <w:rPr>
                <w:sz w:val="12"/>
                <w:szCs w:val="12"/>
                <w:color w:val="auto"/>
              </w:rPr>
            </w:pPr>
          </w:p>
        </w:tc>
        <w:tc>
          <w:tcPr>
            <w:tcW w:w="1040" w:type="dxa"/>
            <w:vAlign w:val="bottom"/>
            <w:tcBorders>
              <w:bottom w:val="single" w:sz="8" w:color="959595"/>
            </w:tcBorders>
          </w:tcPr>
          <w:p>
            <w:pPr>
              <w:spacing w:after="0"/>
              <w:rPr>
                <w:sz w:val="12"/>
                <w:szCs w:val="12"/>
                <w:color w:val="auto"/>
              </w:rPr>
            </w:pPr>
          </w:p>
        </w:tc>
        <w:tc>
          <w:tcPr>
            <w:tcW w:w="880" w:type="dxa"/>
            <w:vAlign w:val="bottom"/>
            <w:tcBorders>
              <w:bottom w:val="single" w:sz="8" w:color="959595"/>
            </w:tcBorders>
          </w:tcPr>
          <w:p>
            <w:pPr>
              <w:spacing w:after="0"/>
              <w:rPr>
                <w:sz w:val="12"/>
                <w:szCs w:val="12"/>
                <w:color w:val="auto"/>
              </w:rPr>
            </w:pPr>
          </w:p>
        </w:tc>
        <w:tc>
          <w:tcPr>
            <w:tcW w:w="1280" w:type="dxa"/>
            <w:vAlign w:val="bottom"/>
            <w:tcBorders>
              <w:bottom w:val="single" w:sz="8" w:color="959595"/>
            </w:tcBorders>
          </w:tcPr>
          <w:p>
            <w:pPr>
              <w:spacing w:after="0"/>
              <w:rPr>
                <w:sz w:val="12"/>
                <w:szCs w:val="12"/>
                <w:color w:val="auto"/>
              </w:rPr>
            </w:pPr>
          </w:p>
        </w:tc>
        <w:tc>
          <w:tcPr>
            <w:tcW w:w="40" w:type="dxa"/>
            <w:vAlign w:val="bottom"/>
            <w:tcBorders>
              <w:bottom w:val="single" w:sz="8" w:color="959595"/>
            </w:tcBorders>
          </w:tcPr>
          <w:p>
            <w:pPr>
              <w:spacing w:after="0"/>
              <w:rPr>
                <w:sz w:val="12"/>
                <w:szCs w:val="12"/>
                <w:color w:val="auto"/>
              </w:rPr>
            </w:pPr>
          </w:p>
        </w:tc>
        <w:tc>
          <w:tcPr>
            <w:tcW w:w="1220" w:type="dxa"/>
            <w:vAlign w:val="bottom"/>
            <w:tcBorders>
              <w:bottom w:val="single" w:sz="8" w:color="959595"/>
            </w:tcBorders>
          </w:tcPr>
          <w:p>
            <w:pPr>
              <w:spacing w:after="0"/>
              <w:rPr>
                <w:sz w:val="12"/>
                <w:szCs w:val="12"/>
                <w:color w:val="auto"/>
              </w:rPr>
            </w:pPr>
          </w:p>
        </w:tc>
      </w:tr>
      <w:tr>
        <w:trPr>
          <w:trHeight w:val="141"/>
        </w:trPr>
        <w:tc>
          <w:tcPr>
            <w:tcW w:w="4220" w:type="dxa"/>
            <w:vAlign w:val="bottom"/>
          </w:tcPr>
          <w:p>
            <w:pPr>
              <w:ind w:left="80"/>
              <w:spacing w:after="0" w:line="141" w:lineRule="exact"/>
              <w:rPr>
                <w:sz w:val="20"/>
                <w:szCs w:val="20"/>
                <w:color w:val="auto"/>
              </w:rPr>
            </w:pPr>
            <w:r>
              <w:rPr>
                <w:rFonts w:ascii="Arial" w:cs="Arial" w:eastAsia="Arial" w:hAnsi="Arial"/>
                <w:sz w:val="13"/>
                <w:szCs w:val="13"/>
                <w:b w:val="1"/>
                <w:bCs w:val="1"/>
                <w:color w:val="23628F"/>
              </w:rPr>
              <w:t>Michael D. Cordano</w:t>
            </w:r>
          </w:p>
        </w:tc>
        <w:tc>
          <w:tcPr>
            <w:tcW w:w="880" w:type="dxa"/>
            <w:vAlign w:val="bottom"/>
          </w:tcPr>
          <w:p>
            <w:pPr>
              <w:jc w:val="right"/>
              <w:ind w:right="13"/>
              <w:spacing w:after="0" w:line="141" w:lineRule="exact"/>
              <w:rPr>
                <w:sz w:val="20"/>
                <w:szCs w:val="20"/>
                <w:color w:val="auto"/>
              </w:rPr>
            </w:pPr>
            <w:r>
              <w:rPr>
                <w:rFonts w:ascii="Arial" w:cs="Arial" w:eastAsia="Arial" w:hAnsi="Arial"/>
                <w:sz w:val="13"/>
                <w:szCs w:val="13"/>
                <w:color w:val="auto"/>
              </w:rPr>
              <w:t>481,280</w:t>
            </w:r>
          </w:p>
        </w:tc>
        <w:tc>
          <w:tcPr>
            <w:tcW w:w="800" w:type="dxa"/>
            <w:vAlign w:val="bottom"/>
          </w:tcPr>
          <w:p>
            <w:pPr>
              <w:jc w:val="right"/>
              <w:ind w:right="13"/>
              <w:spacing w:after="0" w:line="141" w:lineRule="exact"/>
              <w:rPr>
                <w:sz w:val="20"/>
                <w:szCs w:val="20"/>
                <w:color w:val="auto"/>
              </w:rPr>
            </w:pPr>
            <w:r>
              <w:rPr>
                <w:rFonts w:ascii="Arial" w:cs="Arial" w:eastAsia="Arial" w:hAnsi="Arial"/>
                <w:sz w:val="13"/>
                <w:szCs w:val="13"/>
                <w:color w:val="auto"/>
              </w:rPr>
              <w:t>224,778</w:t>
            </w:r>
          </w:p>
        </w:tc>
        <w:tc>
          <w:tcPr>
            <w:tcW w:w="880" w:type="dxa"/>
            <w:vAlign w:val="bottom"/>
          </w:tcPr>
          <w:p>
            <w:pPr>
              <w:jc w:val="right"/>
              <w:ind w:right="33"/>
              <w:spacing w:after="0" w:line="141" w:lineRule="exact"/>
              <w:rPr>
                <w:sz w:val="20"/>
                <w:szCs w:val="20"/>
                <w:color w:val="auto"/>
              </w:rPr>
            </w:pPr>
            <w:r>
              <w:rPr>
                <w:rFonts w:ascii="Arial" w:cs="Arial" w:eastAsia="Arial" w:hAnsi="Arial"/>
                <w:sz w:val="13"/>
                <w:szCs w:val="13"/>
                <w:color w:val="auto"/>
              </w:rPr>
              <w:t>256,502</w:t>
            </w:r>
          </w:p>
        </w:tc>
        <w:tc>
          <w:tcPr>
            <w:tcW w:w="1040" w:type="dxa"/>
            <w:vAlign w:val="bottom"/>
          </w:tcPr>
          <w:p>
            <w:pPr>
              <w:jc w:val="right"/>
              <w:ind w:right="33"/>
              <w:spacing w:after="0" w:line="141"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33"/>
              <w:spacing w:after="0" w:line="141" w:lineRule="exact"/>
              <w:rPr>
                <w:sz w:val="20"/>
                <w:szCs w:val="20"/>
                <w:color w:val="auto"/>
              </w:rPr>
            </w:pPr>
            <w:r>
              <w:rPr>
                <w:rFonts w:ascii="Arial" w:cs="Arial" w:eastAsia="Arial" w:hAnsi="Arial"/>
                <w:sz w:val="13"/>
                <w:szCs w:val="13"/>
                <w:color w:val="auto"/>
              </w:rPr>
              <w:t>569,719</w:t>
            </w:r>
          </w:p>
        </w:tc>
        <w:tc>
          <w:tcPr>
            <w:tcW w:w="1280" w:type="dxa"/>
            <w:vAlign w:val="bottom"/>
          </w:tcPr>
          <w:p>
            <w:pPr>
              <w:jc w:val="right"/>
              <w:ind w:right="33"/>
              <w:spacing w:after="0" w:line="141" w:lineRule="exact"/>
              <w:rPr>
                <w:sz w:val="20"/>
                <w:szCs w:val="20"/>
                <w:color w:val="auto"/>
              </w:rPr>
            </w:pPr>
            <w:r>
              <w:rPr>
                <w:rFonts w:ascii="Arial" w:cs="Arial" w:eastAsia="Arial" w:hAnsi="Arial"/>
                <w:sz w:val="13"/>
                <w:szCs w:val="13"/>
                <w:color w:val="auto"/>
              </w:rPr>
              <w:t>598,889</w:t>
            </w:r>
          </w:p>
        </w:tc>
        <w:tc>
          <w:tcPr>
            <w:tcW w:w="40" w:type="dxa"/>
            <w:vAlign w:val="bottom"/>
          </w:tcPr>
          <w:p>
            <w:pPr>
              <w:spacing w:after="0"/>
              <w:rPr>
                <w:sz w:val="12"/>
                <w:szCs w:val="12"/>
                <w:color w:val="auto"/>
              </w:rPr>
            </w:pPr>
          </w:p>
        </w:tc>
        <w:tc>
          <w:tcPr>
            <w:tcW w:w="1220" w:type="dxa"/>
            <w:vAlign w:val="bottom"/>
          </w:tcPr>
          <w:p>
            <w:pPr>
              <w:jc w:val="right"/>
              <w:spacing w:after="0" w:line="141" w:lineRule="exact"/>
              <w:rPr>
                <w:sz w:val="20"/>
                <w:szCs w:val="20"/>
                <w:color w:val="auto"/>
              </w:rPr>
            </w:pPr>
            <w:r>
              <w:rPr>
                <w:rFonts w:ascii="Arial" w:cs="Arial" w:eastAsia="Arial" w:hAnsi="Arial"/>
                <w:sz w:val="13"/>
                <w:szCs w:val="13"/>
                <w:color w:val="auto"/>
              </w:rPr>
              <w:t>46,402</w:t>
            </w:r>
          </w:p>
        </w:tc>
      </w:tr>
      <w:tr>
        <w:trPr>
          <w:trHeight w:val="148"/>
        </w:trPr>
        <w:tc>
          <w:tcPr>
            <w:tcW w:w="4220" w:type="dxa"/>
            <w:vAlign w:val="bottom"/>
          </w:tcPr>
          <w:p>
            <w:pPr>
              <w:ind w:left="80"/>
              <w:spacing w:after="0"/>
              <w:rPr>
                <w:sz w:val="20"/>
                <w:szCs w:val="20"/>
                <w:color w:val="auto"/>
              </w:rPr>
            </w:pPr>
            <w:r>
              <w:rPr>
                <w:rFonts w:ascii="Arial" w:cs="Arial" w:eastAsia="Arial" w:hAnsi="Arial"/>
                <w:sz w:val="13"/>
                <w:szCs w:val="13"/>
                <w:color w:val="auto"/>
              </w:rPr>
              <w:t>Former President and Chief</w:t>
            </w: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49"/>
        </w:trPr>
        <w:tc>
          <w:tcPr>
            <w:tcW w:w="4220" w:type="dxa"/>
            <w:vAlign w:val="bottom"/>
            <w:tcBorders>
              <w:bottom w:val="single" w:sz="8" w:color="959595"/>
            </w:tcBorders>
          </w:tcPr>
          <w:p>
            <w:pPr>
              <w:ind w:left="80"/>
              <w:spacing w:after="0"/>
              <w:rPr>
                <w:sz w:val="20"/>
                <w:szCs w:val="20"/>
                <w:color w:val="auto"/>
              </w:rPr>
            </w:pPr>
            <w:r>
              <w:rPr>
                <w:rFonts w:ascii="Arial" w:cs="Arial" w:eastAsia="Arial" w:hAnsi="Arial"/>
                <w:sz w:val="13"/>
                <w:szCs w:val="13"/>
                <w:color w:val="auto"/>
              </w:rPr>
              <w:t>Operating Officer</w:t>
            </w:r>
          </w:p>
        </w:tc>
        <w:tc>
          <w:tcPr>
            <w:tcW w:w="880" w:type="dxa"/>
            <w:vAlign w:val="bottom"/>
            <w:tcBorders>
              <w:bottom w:val="single" w:sz="8" w:color="959595"/>
            </w:tcBorders>
          </w:tcPr>
          <w:p>
            <w:pPr>
              <w:spacing w:after="0"/>
              <w:rPr>
                <w:sz w:val="12"/>
                <w:szCs w:val="12"/>
                <w:color w:val="auto"/>
              </w:rPr>
            </w:pPr>
          </w:p>
        </w:tc>
        <w:tc>
          <w:tcPr>
            <w:tcW w:w="800" w:type="dxa"/>
            <w:vAlign w:val="bottom"/>
            <w:tcBorders>
              <w:bottom w:val="single" w:sz="8" w:color="959595"/>
            </w:tcBorders>
          </w:tcPr>
          <w:p>
            <w:pPr>
              <w:spacing w:after="0"/>
              <w:rPr>
                <w:sz w:val="12"/>
                <w:szCs w:val="12"/>
                <w:color w:val="auto"/>
              </w:rPr>
            </w:pPr>
          </w:p>
        </w:tc>
        <w:tc>
          <w:tcPr>
            <w:tcW w:w="880" w:type="dxa"/>
            <w:vAlign w:val="bottom"/>
            <w:tcBorders>
              <w:bottom w:val="single" w:sz="8" w:color="959595"/>
            </w:tcBorders>
          </w:tcPr>
          <w:p>
            <w:pPr>
              <w:spacing w:after="0"/>
              <w:rPr>
                <w:sz w:val="12"/>
                <w:szCs w:val="12"/>
                <w:color w:val="auto"/>
              </w:rPr>
            </w:pPr>
          </w:p>
        </w:tc>
        <w:tc>
          <w:tcPr>
            <w:tcW w:w="1040" w:type="dxa"/>
            <w:vAlign w:val="bottom"/>
            <w:tcBorders>
              <w:bottom w:val="single" w:sz="8" w:color="959595"/>
            </w:tcBorders>
          </w:tcPr>
          <w:p>
            <w:pPr>
              <w:spacing w:after="0"/>
              <w:rPr>
                <w:sz w:val="12"/>
                <w:szCs w:val="12"/>
                <w:color w:val="auto"/>
              </w:rPr>
            </w:pPr>
          </w:p>
        </w:tc>
        <w:tc>
          <w:tcPr>
            <w:tcW w:w="880" w:type="dxa"/>
            <w:vAlign w:val="bottom"/>
            <w:tcBorders>
              <w:bottom w:val="single" w:sz="8" w:color="959595"/>
            </w:tcBorders>
          </w:tcPr>
          <w:p>
            <w:pPr>
              <w:spacing w:after="0"/>
              <w:rPr>
                <w:sz w:val="12"/>
                <w:szCs w:val="12"/>
                <w:color w:val="auto"/>
              </w:rPr>
            </w:pPr>
          </w:p>
        </w:tc>
        <w:tc>
          <w:tcPr>
            <w:tcW w:w="1280" w:type="dxa"/>
            <w:vAlign w:val="bottom"/>
            <w:tcBorders>
              <w:bottom w:val="single" w:sz="8" w:color="959595"/>
            </w:tcBorders>
          </w:tcPr>
          <w:p>
            <w:pPr>
              <w:spacing w:after="0"/>
              <w:rPr>
                <w:sz w:val="12"/>
                <w:szCs w:val="12"/>
                <w:color w:val="auto"/>
              </w:rPr>
            </w:pPr>
          </w:p>
        </w:tc>
        <w:tc>
          <w:tcPr>
            <w:tcW w:w="40" w:type="dxa"/>
            <w:vAlign w:val="bottom"/>
            <w:tcBorders>
              <w:bottom w:val="single" w:sz="8" w:color="959595"/>
            </w:tcBorders>
          </w:tcPr>
          <w:p>
            <w:pPr>
              <w:spacing w:after="0"/>
              <w:rPr>
                <w:sz w:val="12"/>
                <w:szCs w:val="12"/>
                <w:color w:val="auto"/>
              </w:rPr>
            </w:pPr>
          </w:p>
        </w:tc>
        <w:tc>
          <w:tcPr>
            <w:tcW w:w="1220" w:type="dxa"/>
            <w:vAlign w:val="bottom"/>
            <w:tcBorders>
              <w:bottom w:val="single" w:sz="8" w:color="959595"/>
            </w:tcBorders>
          </w:tcPr>
          <w:p>
            <w:pPr>
              <w:spacing w:after="0"/>
              <w:rPr>
                <w:sz w:val="12"/>
                <w:szCs w:val="12"/>
                <w:color w:val="auto"/>
              </w:rPr>
            </w:pPr>
          </w:p>
        </w:tc>
      </w:tr>
      <w:tr>
        <w:trPr>
          <w:trHeight w:val="125"/>
        </w:trPr>
        <w:tc>
          <w:tcPr>
            <w:tcW w:w="4220" w:type="dxa"/>
            <w:vAlign w:val="bottom"/>
          </w:tcPr>
          <w:p>
            <w:pPr>
              <w:ind w:left="80"/>
              <w:spacing w:after="0" w:line="126" w:lineRule="exact"/>
              <w:rPr>
                <w:sz w:val="20"/>
                <w:szCs w:val="20"/>
                <w:color w:val="auto"/>
              </w:rPr>
            </w:pPr>
            <w:r>
              <w:rPr>
                <w:rFonts w:ascii="Arial" w:cs="Arial" w:eastAsia="Arial" w:hAnsi="Arial"/>
                <w:sz w:val="13"/>
                <w:szCs w:val="13"/>
                <w:b w:val="1"/>
                <w:bCs w:val="1"/>
                <w:color w:val="auto"/>
              </w:rPr>
              <w:t>All current executive officers</w:t>
            </w:r>
          </w:p>
        </w:tc>
        <w:tc>
          <w:tcPr>
            <w:tcW w:w="880" w:type="dxa"/>
            <w:vAlign w:val="bottom"/>
          </w:tcPr>
          <w:p>
            <w:pPr>
              <w:jc w:val="right"/>
              <w:ind w:right="13"/>
              <w:spacing w:after="0" w:line="126" w:lineRule="exact"/>
              <w:rPr>
                <w:sz w:val="20"/>
                <w:szCs w:val="20"/>
                <w:color w:val="auto"/>
              </w:rPr>
            </w:pPr>
            <w:r>
              <w:rPr>
                <w:rFonts w:ascii="Arial" w:cs="Arial" w:eastAsia="Arial" w:hAnsi="Arial"/>
                <w:sz w:val="13"/>
                <w:szCs w:val="13"/>
                <w:b w:val="1"/>
                <w:bCs w:val="1"/>
                <w:color w:val="auto"/>
              </w:rPr>
              <w:t>298,017</w:t>
            </w:r>
          </w:p>
        </w:tc>
        <w:tc>
          <w:tcPr>
            <w:tcW w:w="800" w:type="dxa"/>
            <w:vAlign w:val="bottom"/>
          </w:tcPr>
          <w:p>
            <w:pPr>
              <w:jc w:val="right"/>
              <w:ind w:right="13"/>
              <w:spacing w:after="0" w:line="126" w:lineRule="exact"/>
              <w:rPr>
                <w:sz w:val="20"/>
                <w:szCs w:val="20"/>
                <w:color w:val="auto"/>
              </w:rPr>
            </w:pPr>
            <w:r>
              <w:rPr>
                <w:rFonts w:ascii="Arial" w:cs="Arial" w:eastAsia="Arial" w:hAnsi="Arial"/>
                <w:sz w:val="13"/>
                <w:szCs w:val="13"/>
                <w:b w:val="1"/>
                <w:bCs w:val="1"/>
                <w:color w:val="auto"/>
              </w:rPr>
              <w:t>253,012</w:t>
            </w:r>
          </w:p>
        </w:tc>
        <w:tc>
          <w:tcPr>
            <w:tcW w:w="880" w:type="dxa"/>
            <w:vAlign w:val="bottom"/>
          </w:tcPr>
          <w:p>
            <w:pPr>
              <w:jc w:val="right"/>
              <w:ind w:right="33"/>
              <w:spacing w:after="0" w:line="126" w:lineRule="exact"/>
              <w:rPr>
                <w:sz w:val="20"/>
                <w:szCs w:val="20"/>
                <w:color w:val="auto"/>
              </w:rPr>
            </w:pPr>
            <w:r>
              <w:rPr>
                <w:rFonts w:ascii="Arial" w:cs="Arial" w:eastAsia="Arial" w:hAnsi="Arial"/>
                <w:sz w:val="13"/>
                <w:szCs w:val="13"/>
                <w:b w:val="1"/>
                <w:bCs w:val="1"/>
                <w:color w:val="auto"/>
              </w:rPr>
              <w:t>45,005</w:t>
            </w:r>
          </w:p>
        </w:tc>
        <w:tc>
          <w:tcPr>
            <w:tcW w:w="1040" w:type="dxa"/>
            <w:vAlign w:val="bottom"/>
          </w:tcPr>
          <w:p>
            <w:pPr>
              <w:jc w:val="right"/>
              <w:ind w:right="33"/>
              <w:spacing w:after="0" w:line="126" w:lineRule="exact"/>
              <w:rPr>
                <w:sz w:val="20"/>
                <w:szCs w:val="20"/>
                <w:color w:val="auto"/>
              </w:rPr>
            </w:pPr>
            <w:r>
              <w:rPr>
                <w:rFonts w:ascii="Arial" w:cs="Arial" w:eastAsia="Arial" w:hAnsi="Arial"/>
                <w:sz w:val="13"/>
                <w:szCs w:val="13"/>
                <w:b w:val="1"/>
                <w:bCs w:val="1"/>
                <w:color w:val="auto"/>
              </w:rPr>
              <w:t>—</w:t>
            </w:r>
          </w:p>
        </w:tc>
        <w:tc>
          <w:tcPr>
            <w:tcW w:w="880" w:type="dxa"/>
            <w:vAlign w:val="bottom"/>
          </w:tcPr>
          <w:p>
            <w:pPr>
              <w:jc w:val="right"/>
              <w:ind w:right="33"/>
              <w:spacing w:after="0" w:line="126" w:lineRule="exact"/>
              <w:rPr>
                <w:sz w:val="20"/>
                <w:szCs w:val="20"/>
                <w:color w:val="auto"/>
              </w:rPr>
            </w:pPr>
            <w:r>
              <w:rPr>
                <w:rFonts w:ascii="Arial" w:cs="Arial" w:eastAsia="Arial" w:hAnsi="Arial"/>
                <w:sz w:val="13"/>
                <w:szCs w:val="13"/>
                <w:b w:val="1"/>
                <w:bCs w:val="1"/>
                <w:color w:val="auto"/>
              </w:rPr>
              <w:t>2,122,247</w:t>
            </w:r>
          </w:p>
        </w:tc>
        <w:tc>
          <w:tcPr>
            <w:tcW w:w="1280" w:type="dxa"/>
            <w:vAlign w:val="bottom"/>
          </w:tcPr>
          <w:p>
            <w:pPr>
              <w:jc w:val="right"/>
              <w:ind w:right="33"/>
              <w:spacing w:after="0" w:line="126" w:lineRule="exact"/>
              <w:rPr>
                <w:sz w:val="20"/>
                <w:szCs w:val="20"/>
                <w:color w:val="auto"/>
              </w:rPr>
            </w:pPr>
            <w:r>
              <w:rPr>
                <w:rFonts w:ascii="Arial" w:cs="Arial" w:eastAsia="Arial" w:hAnsi="Arial"/>
                <w:sz w:val="13"/>
                <w:szCs w:val="13"/>
                <w:b w:val="1"/>
                <w:bCs w:val="1"/>
                <w:color w:val="auto"/>
              </w:rPr>
              <w:t>398,997</w:t>
            </w:r>
          </w:p>
        </w:tc>
        <w:tc>
          <w:tcPr>
            <w:tcW w:w="40" w:type="dxa"/>
            <w:vAlign w:val="bottom"/>
          </w:tcPr>
          <w:p>
            <w:pPr>
              <w:spacing w:after="0"/>
              <w:rPr>
                <w:sz w:val="10"/>
                <w:szCs w:val="10"/>
                <w:color w:val="auto"/>
              </w:rPr>
            </w:pPr>
          </w:p>
        </w:tc>
        <w:tc>
          <w:tcPr>
            <w:tcW w:w="1220" w:type="dxa"/>
            <w:vAlign w:val="bottom"/>
          </w:tcPr>
          <w:p>
            <w:pPr>
              <w:jc w:val="right"/>
              <w:spacing w:after="0" w:line="126" w:lineRule="exact"/>
              <w:rPr>
                <w:sz w:val="20"/>
                <w:szCs w:val="20"/>
                <w:color w:val="auto"/>
              </w:rPr>
            </w:pPr>
            <w:r>
              <w:rPr>
                <w:rFonts w:ascii="Arial" w:cs="Arial" w:eastAsia="Arial" w:hAnsi="Arial"/>
                <w:sz w:val="13"/>
                <w:szCs w:val="13"/>
                <w:b w:val="1"/>
                <w:bCs w:val="1"/>
                <w:color w:val="auto"/>
              </w:rPr>
              <w:t>1,825,787</w:t>
            </w:r>
          </w:p>
        </w:tc>
      </w:tr>
      <w:tr>
        <w:trPr>
          <w:trHeight w:val="165"/>
        </w:trPr>
        <w:tc>
          <w:tcPr>
            <w:tcW w:w="422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auto"/>
              </w:rPr>
              <w:t>(7 persons)</w:t>
            </w:r>
          </w:p>
        </w:tc>
        <w:tc>
          <w:tcPr>
            <w:tcW w:w="880" w:type="dxa"/>
            <w:vAlign w:val="bottom"/>
            <w:tcBorders>
              <w:bottom w:val="single" w:sz="8" w:color="959595"/>
            </w:tcBorders>
          </w:tcPr>
          <w:p>
            <w:pPr>
              <w:spacing w:after="0"/>
              <w:rPr>
                <w:sz w:val="14"/>
                <w:szCs w:val="14"/>
                <w:color w:val="auto"/>
              </w:rPr>
            </w:pPr>
          </w:p>
        </w:tc>
        <w:tc>
          <w:tcPr>
            <w:tcW w:w="800" w:type="dxa"/>
            <w:vAlign w:val="bottom"/>
            <w:tcBorders>
              <w:bottom w:val="single" w:sz="8" w:color="959595"/>
            </w:tcBorders>
          </w:tcPr>
          <w:p>
            <w:pPr>
              <w:spacing w:after="0"/>
              <w:rPr>
                <w:sz w:val="14"/>
                <w:szCs w:val="14"/>
                <w:color w:val="auto"/>
              </w:rPr>
            </w:pPr>
          </w:p>
        </w:tc>
        <w:tc>
          <w:tcPr>
            <w:tcW w:w="880" w:type="dxa"/>
            <w:vAlign w:val="bottom"/>
            <w:tcBorders>
              <w:bottom w:val="single" w:sz="8" w:color="959595"/>
            </w:tcBorders>
          </w:tcPr>
          <w:p>
            <w:pPr>
              <w:spacing w:after="0"/>
              <w:rPr>
                <w:sz w:val="14"/>
                <w:szCs w:val="14"/>
                <w:color w:val="auto"/>
              </w:rPr>
            </w:pPr>
          </w:p>
        </w:tc>
        <w:tc>
          <w:tcPr>
            <w:tcW w:w="1040" w:type="dxa"/>
            <w:vAlign w:val="bottom"/>
            <w:tcBorders>
              <w:bottom w:val="single" w:sz="8" w:color="959595"/>
            </w:tcBorders>
          </w:tcPr>
          <w:p>
            <w:pPr>
              <w:spacing w:after="0"/>
              <w:rPr>
                <w:sz w:val="14"/>
                <w:szCs w:val="14"/>
                <w:color w:val="auto"/>
              </w:rPr>
            </w:pPr>
          </w:p>
        </w:tc>
        <w:tc>
          <w:tcPr>
            <w:tcW w:w="880" w:type="dxa"/>
            <w:vAlign w:val="bottom"/>
            <w:tcBorders>
              <w:bottom w:val="single" w:sz="8" w:color="959595"/>
            </w:tcBorders>
          </w:tcPr>
          <w:p>
            <w:pPr>
              <w:spacing w:after="0"/>
              <w:rPr>
                <w:sz w:val="14"/>
                <w:szCs w:val="14"/>
                <w:color w:val="auto"/>
              </w:rPr>
            </w:pPr>
          </w:p>
        </w:tc>
        <w:tc>
          <w:tcPr>
            <w:tcW w:w="1280" w:type="dxa"/>
            <w:vAlign w:val="bottom"/>
            <w:tcBorders>
              <w:bottom w:val="single" w:sz="8" w:color="959595"/>
            </w:tcBorders>
          </w:tcPr>
          <w:p>
            <w:pPr>
              <w:spacing w:after="0"/>
              <w:rPr>
                <w:sz w:val="14"/>
                <w:szCs w:val="14"/>
                <w:color w:val="auto"/>
              </w:rPr>
            </w:pPr>
          </w:p>
        </w:tc>
        <w:tc>
          <w:tcPr>
            <w:tcW w:w="40" w:type="dxa"/>
            <w:vAlign w:val="bottom"/>
            <w:tcBorders>
              <w:bottom w:val="single" w:sz="8" w:color="959595"/>
            </w:tcBorders>
          </w:tcPr>
          <w:p>
            <w:pPr>
              <w:spacing w:after="0"/>
              <w:rPr>
                <w:sz w:val="14"/>
                <w:szCs w:val="14"/>
                <w:color w:val="auto"/>
              </w:rPr>
            </w:pPr>
          </w:p>
        </w:tc>
        <w:tc>
          <w:tcPr>
            <w:tcW w:w="1220" w:type="dxa"/>
            <w:vAlign w:val="bottom"/>
            <w:tcBorders>
              <w:bottom w:val="single" w:sz="8" w:color="959595"/>
            </w:tcBorders>
          </w:tcPr>
          <w:p>
            <w:pPr>
              <w:spacing w:after="0"/>
              <w:rPr>
                <w:sz w:val="14"/>
                <w:szCs w:val="14"/>
                <w:color w:val="auto"/>
              </w:rPr>
            </w:pPr>
          </w:p>
        </w:tc>
      </w:tr>
      <w:tr>
        <w:trPr>
          <w:trHeight w:val="142"/>
        </w:trPr>
        <w:tc>
          <w:tcPr>
            <w:tcW w:w="4220" w:type="dxa"/>
            <w:vAlign w:val="bottom"/>
            <w:tcBorders>
              <w:bottom w:val="single" w:sz="8" w:color="959595"/>
            </w:tcBorders>
          </w:tcPr>
          <w:p>
            <w:pPr>
              <w:ind w:left="80"/>
              <w:spacing w:after="0" w:line="142" w:lineRule="exact"/>
              <w:rPr>
                <w:sz w:val="20"/>
                <w:szCs w:val="20"/>
                <w:color w:val="auto"/>
              </w:rPr>
            </w:pPr>
            <w:r>
              <w:rPr>
                <w:rFonts w:ascii="Arial" w:cs="Arial" w:eastAsia="Arial" w:hAnsi="Arial"/>
                <w:sz w:val="13"/>
                <w:szCs w:val="13"/>
                <w:b w:val="1"/>
                <w:bCs w:val="1"/>
                <w:color w:val="auto"/>
              </w:rPr>
              <w:t>Non-employee directors:</w:t>
            </w:r>
          </w:p>
        </w:tc>
        <w:tc>
          <w:tcPr>
            <w:tcW w:w="880" w:type="dxa"/>
            <w:vAlign w:val="bottom"/>
            <w:tcBorders>
              <w:bottom w:val="single" w:sz="8" w:color="959595"/>
            </w:tcBorders>
          </w:tcPr>
          <w:p>
            <w:pPr>
              <w:spacing w:after="0"/>
              <w:rPr>
                <w:sz w:val="12"/>
                <w:szCs w:val="12"/>
                <w:color w:val="auto"/>
              </w:rPr>
            </w:pPr>
          </w:p>
        </w:tc>
        <w:tc>
          <w:tcPr>
            <w:tcW w:w="800" w:type="dxa"/>
            <w:vAlign w:val="bottom"/>
            <w:tcBorders>
              <w:bottom w:val="single" w:sz="8" w:color="959595"/>
            </w:tcBorders>
          </w:tcPr>
          <w:p>
            <w:pPr>
              <w:spacing w:after="0"/>
              <w:rPr>
                <w:sz w:val="12"/>
                <w:szCs w:val="12"/>
                <w:color w:val="auto"/>
              </w:rPr>
            </w:pPr>
          </w:p>
        </w:tc>
        <w:tc>
          <w:tcPr>
            <w:tcW w:w="880" w:type="dxa"/>
            <w:vAlign w:val="bottom"/>
            <w:tcBorders>
              <w:bottom w:val="single" w:sz="8" w:color="959595"/>
            </w:tcBorders>
          </w:tcPr>
          <w:p>
            <w:pPr>
              <w:spacing w:after="0"/>
              <w:rPr>
                <w:sz w:val="12"/>
                <w:szCs w:val="12"/>
                <w:color w:val="auto"/>
              </w:rPr>
            </w:pPr>
          </w:p>
        </w:tc>
        <w:tc>
          <w:tcPr>
            <w:tcW w:w="1040" w:type="dxa"/>
            <w:vAlign w:val="bottom"/>
            <w:tcBorders>
              <w:bottom w:val="single" w:sz="8" w:color="959595"/>
            </w:tcBorders>
          </w:tcPr>
          <w:p>
            <w:pPr>
              <w:spacing w:after="0"/>
              <w:rPr>
                <w:sz w:val="12"/>
                <w:szCs w:val="12"/>
                <w:color w:val="auto"/>
              </w:rPr>
            </w:pPr>
          </w:p>
        </w:tc>
        <w:tc>
          <w:tcPr>
            <w:tcW w:w="880" w:type="dxa"/>
            <w:vAlign w:val="bottom"/>
            <w:tcBorders>
              <w:bottom w:val="single" w:sz="8" w:color="959595"/>
            </w:tcBorders>
          </w:tcPr>
          <w:p>
            <w:pPr>
              <w:spacing w:after="0"/>
              <w:rPr>
                <w:sz w:val="12"/>
                <w:szCs w:val="12"/>
                <w:color w:val="auto"/>
              </w:rPr>
            </w:pPr>
          </w:p>
        </w:tc>
        <w:tc>
          <w:tcPr>
            <w:tcW w:w="1280" w:type="dxa"/>
            <w:vAlign w:val="bottom"/>
            <w:tcBorders>
              <w:bottom w:val="single" w:sz="8" w:color="959595"/>
            </w:tcBorders>
          </w:tcPr>
          <w:p>
            <w:pPr>
              <w:spacing w:after="0"/>
              <w:rPr>
                <w:sz w:val="12"/>
                <w:szCs w:val="12"/>
                <w:color w:val="auto"/>
              </w:rPr>
            </w:pPr>
          </w:p>
        </w:tc>
        <w:tc>
          <w:tcPr>
            <w:tcW w:w="40" w:type="dxa"/>
            <w:vAlign w:val="bottom"/>
            <w:tcBorders>
              <w:bottom w:val="single" w:sz="8" w:color="959595"/>
            </w:tcBorders>
          </w:tcPr>
          <w:p>
            <w:pPr>
              <w:spacing w:after="0"/>
              <w:rPr>
                <w:sz w:val="12"/>
                <w:szCs w:val="12"/>
                <w:color w:val="auto"/>
              </w:rPr>
            </w:pPr>
          </w:p>
        </w:tc>
        <w:tc>
          <w:tcPr>
            <w:tcW w:w="1220" w:type="dxa"/>
            <w:vAlign w:val="bottom"/>
            <w:tcBorders>
              <w:bottom w:val="single" w:sz="8" w:color="959595"/>
            </w:tcBorders>
          </w:tcPr>
          <w:p>
            <w:pPr>
              <w:spacing w:after="0"/>
              <w:rPr>
                <w:sz w:val="12"/>
                <w:szCs w:val="12"/>
                <w:color w:val="auto"/>
              </w:rPr>
            </w:pPr>
          </w:p>
        </w:tc>
      </w:tr>
      <w:tr>
        <w:trPr>
          <w:trHeight w:val="142"/>
        </w:trPr>
        <w:tc>
          <w:tcPr>
            <w:tcW w:w="4220" w:type="dxa"/>
            <w:vAlign w:val="bottom"/>
            <w:tcBorders>
              <w:bottom w:val="single" w:sz="8" w:color="959595"/>
            </w:tcBorders>
          </w:tcPr>
          <w:p>
            <w:pPr>
              <w:ind w:left="80"/>
              <w:spacing w:after="0" w:line="142" w:lineRule="exact"/>
              <w:rPr>
                <w:sz w:val="20"/>
                <w:szCs w:val="20"/>
                <w:color w:val="auto"/>
              </w:rPr>
            </w:pPr>
            <w:r>
              <w:rPr>
                <w:rFonts w:ascii="Arial" w:cs="Arial" w:eastAsia="Arial" w:hAnsi="Arial"/>
                <w:sz w:val="13"/>
                <w:szCs w:val="13"/>
                <w:b w:val="1"/>
                <w:bCs w:val="1"/>
                <w:color w:val="23628F"/>
              </w:rPr>
              <w:t>Kimberly E. Alexy</w:t>
            </w:r>
          </w:p>
        </w:tc>
        <w:tc>
          <w:tcPr>
            <w:tcW w:w="880" w:type="dxa"/>
            <w:vAlign w:val="bottom"/>
            <w:tcBorders>
              <w:bottom w:val="single" w:sz="8" w:color="959595"/>
            </w:tcBorders>
          </w:tcPr>
          <w:p>
            <w:pPr>
              <w:jc w:val="right"/>
              <w:ind w:right="13"/>
              <w:spacing w:after="0" w:line="142" w:lineRule="exact"/>
              <w:rPr>
                <w:sz w:val="20"/>
                <w:szCs w:val="20"/>
                <w:color w:val="auto"/>
              </w:rPr>
            </w:pPr>
            <w:r>
              <w:rPr>
                <w:rFonts w:ascii="Arial" w:cs="Arial" w:eastAsia="Arial" w:hAnsi="Arial"/>
                <w:sz w:val="13"/>
                <w:szCs w:val="13"/>
                <w:color w:val="auto"/>
              </w:rPr>
              <w:t>—</w:t>
            </w:r>
          </w:p>
        </w:tc>
        <w:tc>
          <w:tcPr>
            <w:tcW w:w="800" w:type="dxa"/>
            <w:vAlign w:val="bottom"/>
            <w:tcBorders>
              <w:bottom w:val="single" w:sz="8" w:color="959595"/>
            </w:tcBorders>
          </w:tcPr>
          <w:p>
            <w:pPr>
              <w:jc w:val="right"/>
              <w:ind w:right="13"/>
              <w:spacing w:after="0" w:line="142" w:lineRule="exact"/>
              <w:rPr>
                <w:sz w:val="20"/>
                <w:szCs w:val="20"/>
                <w:color w:val="auto"/>
              </w:rPr>
            </w:pPr>
            <w:r>
              <w:rPr>
                <w:rFonts w:ascii="Arial" w:cs="Arial" w:eastAsia="Arial" w:hAnsi="Arial"/>
                <w:sz w:val="13"/>
                <w:szCs w:val="13"/>
                <w:color w:val="auto"/>
              </w:rPr>
              <w:t>—</w:t>
            </w:r>
          </w:p>
        </w:tc>
        <w:tc>
          <w:tcPr>
            <w:tcW w:w="880" w:type="dxa"/>
            <w:vAlign w:val="bottom"/>
            <w:tcBorders>
              <w:bottom w:val="single" w:sz="8" w:color="959595"/>
            </w:tcBorders>
          </w:tcPr>
          <w:p>
            <w:pPr>
              <w:jc w:val="right"/>
              <w:ind w:right="33"/>
              <w:spacing w:after="0" w:line="142" w:lineRule="exact"/>
              <w:rPr>
                <w:sz w:val="20"/>
                <w:szCs w:val="20"/>
                <w:color w:val="auto"/>
              </w:rPr>
            </w:pPr>
            <w:r>
              <w:rPr>
                <w:rFonts w:ascii="Arial" w:cs="Arial" w:eastAsia="Arial" w:hAnsi="Arial"/>
                <w:sz w:val="13"/>
                <w:szCs w:val="13"/>
                <w:color w:val="auto"/>
              </w:rPr>
              <w:t>—</w:t>
            </w:r>
          </w:p>
        </w:tc>
        <w:tc>
          <w:tcPr>
            <w:tcW w:w="1040" w:type="dxa"/>
            <w:vAlign w:val="bottom"/>
            <w:tcBorders>
              <w:bottom w:val="single" w:sz="8" w:color="959595"/>
            </w:tcBorders>
          </w:tcPr>
          <w:p>
            <w:pPr>
              <w:jc w:val="right"/>
              <w:ind w:right="33"/>
              <w:spacing w:after="0" w:line="142" w:lineRule="exact"/>
              <w:rPr>
                <w:sz w:val="20"/>
                <w:szCs w:val="20"/>
                <w:color w:val="auto"/>
              </w:rPr>
            </w:pPr>
            <w:r>
              <w:rPr>
                <w:rFonts w:ascii="Arial" w:cs="Arial" w:eastAsia="Arial" w:hAnsi="Arial"/>
                <w:sz w:val="13"/>
                <w:szCs w:val="13"/>
                <w:color w:val="auto"/>
              </w:rPr>
              <w:t>—</w:t>
            </w:r>
          </w:p>
        </w:tc>
        <w:tc>
          <w:tcPr>
            <w:tcW w:w="880" w:type="dxa"/>
            <w:vAlign w:val="bottom"/>
            <w:tcBorders>
              <w:bottom w:val="single" w:sz="8" w:color="959595"/>
            </w:tcBorders>
          </w:tcPr>
          <w:p>
            <w:pPr>
              <w:jc w:val="right"/>
              <w:ind w:right="33"/>
              <w:spacing w:after="0" w:line="142" w:lineRule="exact"/>
              <w:rPr>
                <w:sz w:val="20"/>
                <w:szCs w:val="20"/>
                <w:color w:val="auto"/>
              </w:rPr>
            </w:pPr>
            <w:r>
              <w:rPr>
                <w:rFonts w:ascii="Arial" w:cs="Arial" w:eastAsia="Arial" w:hAnsi="Arial"/>
                <w:sz w:val="13"/>
                <w:szCs w:val="13"/>
                <w:color w:val="auto"/>
              </w:rPr>
              <w:t>9,531</w:t>
            </w:r>
          </w:p>
        </w:tc>
        <w:tc>
          <w:tcPr>
            <w:tcW w:w="1280" w:type="dxa"/>
            <w:vAlign w:val="bottom"/>
            <w:tcBorders>
              <w:bottom w:val="single" w:sz="8" w:color="959595"/>
            </w:tcBorders>
          </w:tcPr>
          <w:p>
            <w:pPr>
              <w:jc w:val="right"/>
              <w:ind w:right="33"/>
              <w:spacing w:after="0" w:line="142" w:lineRule="exact"/>
              <w:rPr>
                <w:sz w:val="20"/>
                <w:szCs w:val="20"/>
                <w:color w:val="auto"/>
              </w:rPr>
            </w:pPr>
            <w:r>
              <w:rPr>
                <w:rFonts w:ascii="Arial" w:cs="Arial" w:eastAsia="Arial" w:hAnsi="Arial"/>
                <w:sz w:val="13"/>
                <w:szCs w:val="13"/>
                <w:color w:val="auto"/>
              </w:rPr>
              <w:t>4,964</w:t>
            </w:r>
          </w:p>
        </w:tc>
        <w:tc>
          <w:tcPr>
            <w:tcW w:w="40" w:type="dxa"/>
            <w:vAlign w:val="bottom"/>
            <w:tcBorders>
              <w:bottom w:val="single" w:sz="8" w:color="959595"/>
            </w:tcBorders>
          </w:tcPr>
          <w:p>
            <w:pPr>
              <w:spacing w:after="0"/>
              <w:rPr>
                <w:sz w:val="12"/>
                <w:szCs w:val="12"/>
                <w:color w:val="auto"/>
              </w:rPr>
            </w:pPr>
          </w:p>
        </w:tc>
        <w:tc>
          <w:tcPr>
            <w:tcW w:w="1220" w:type="dxa"/>
            <w:vAlign w:val="bottom"/>
            <w:tcBorders>
              <w:bottom w:val="single" w:sz="8" w:color="959595"/>
            </w:tcBorders>
          </w:tcPr>
          <w:p>
            <w:pPr>
              <w:jc w:val="right"/>
              <w:spacing w:after="0" w:line="142" w:lineRule="exact"/>
              <w:rPr>
                <w:sz w:val="20"/>
                <w:szCs w:val="20"/>
                <w:color w:val="auto"/>
              </w:rPr>
            </w:pPr>
            <w:r>
              <w:rPr>
                <w:rFonts w:ascii="Arial" w:cs="Arial" w:eastAsia="Arial" w:hAnsi="Arial"/>
                <w:sz w:val="13"/>
                <w:szCs w:val="13"/>
                <w:color w:val="auto"/>
              </w:rPr>
              <w:t>4,854</w:t>
            </w:r>
          </w:p>
        </w:tc>
      </w:tr>
      <w:tr>
        <w:trPr>
          <w:trHeight w:val="142"/>
        </w:trPr>
        <w:tc>
          <w:tcPr>
            <w:tcW w:w="4220" w:type="dxa"/>
            <w:vAlign w:val="bottom"/>
            <w:tcBorders>
              <w:bottom w:val="single" w:sz="8" w:color="959595"/>
            </w:tcBorders>
          </w:tcPr>
          <w:p>
            <w:pPr>
              <w:ind w:left="80"/>
              <w:spacing w:after="0" w:line="142" w:lineRule="exact"/>
              <w:rPr>
                <w:sz w:val="20"/>
                <w:szCs w:val="20"/>
                <w:color w:val="auto"/>
              </w:rPr>
            </w:pPr>
            <w:r>
              <w:rPr>
                <w:rFonts w:ascii="Arial" w:cs="Arial" w:eastAsia="Arial" w:hAnsi="Arial"/>
                <w:sz w:val="13"/>
                <w:szCs w:val="13"/>
                <w:b w:val="1"/>
                <w:bCs w:val="1"/>
                <w:color w:val="23628F"/>
              </w:rPr>
              <w:t>Martin I. Cole</w:t>
            </w:r>
          </w:p>
        </w:tc>
        <w:tc>
          <w:tcPr>
            <w:tcW w:w="880" w:type="dxa"/>
            <w:vAlign w:val="bottom"/>
            <w:tcBorders>
              <w:bottom w:val="single" w:sz="8" w:color="959595"/>
            </w:tcBorders>
          </w:tcPr>
          <w:p>
            <w:pPr>
              <w:jc w:val="right"/>
              <w:ind w:right="13"/>
              <w:spacing w:after="0" w:line="142" w:lineRule="exact"/>
              <w:rPr>
                <w:sz w:val="20"/>
                <w:szCs w:val="20"/>
                <w:color w:val="auto"/>
              </w:rPr>
            </w:pPr>
            <w:r>
              <w:rPr>
                <w:rFonts w:ascii="Arial" w:cs="Arial" w:eastAsia="Arial" w:hAnsi="Arial"/>
                <w:sz w:val="13"/>
                <w:szCs w:val="13"/>
                <w:color w:val="auto"/>
              </w:rPr>
              <w:t>—</w:t>
            </w:r>
          </w:p>
        </w:tc>
        <w:tc>
          <w:tcPr>
            <w:tcW w:w="800" w:type="dxa"/>
            <w:vAlign w:val="bottom"/>
            <w:tcBorders>
              <w:bottom w:val="single" w:sz="8" w:color="959595"/>
            </w:tcBorders>
          </w:tcPr>
          <w:p>
            <w:pPr>
              <w:jc w:val="right"/>
              <w:ind w:right="13"/>
              <w:spacing w:after="0" w:line="142" w:lineRule="exact"/>
              <w:rPr>
                <w:sz w:val="20"/>
                <w:szCs w:val="20"/>
                <w:color w:val="auto"/>
              </w:rPr>
            </w:pPr>
            <w:r>
              <w:rPr>
                <w:rFonts w:ascii="Arial" w:cs="Arial" w:eastAsia="Arial" w:hAnsi="Arial"/>
                <w:sz w:val="13"/>
                <w:szCs w:val="13"/>
                <w:color w:val="auto"/>
              </w:rPr>
              <w:t>—</w:t>
            </w:r>
          </w:p>
        </w:tc>
        <w:tc>
          <w:tcPr>
            <w:tcW w:w="880" w:type="dxa"/>
            <w:vAlign w:val="bottom"/>
            <w:tcBorders>
              <w:bottom w:val="single" w:sz="8" w:color="959595"/>
            </w:tcBorders>
          </w:tcPr>
          <w:p>
            <w:pPr>
              <w:jc w:val="right"/>
              <w:ind w:right="33"/>
              <w:spacing w:after="0" w:line="142" w:lineRule="exact"/>
              <w:rPr>
                <w:sz w:val="20"/>
                <w:szCs w:val="20"/>
                <w:color w:val="auto"/>
              </w:rPr>
            </w:pPr>
            <w:r>
              <w:rPr>
                <w:rFonts w:ascii="Arial" w:cs="Arial" w:eastAsia="Arial" w:hAnsi="Arial"/>
                <w:sz w:val="13"/>
                <w:szCs w:val="13"/>
                <w:color w:val="auto"/>
              </w:rPr>
              <w:t>—</w:t>
            </w:r>
          </w:p>
        </w:tc>
        <w:tc>
          <w:tcPr>
            <w:tcW w:w="1040" w:type="dxa"/>
            <w:vAlign w:val="bottom"/>
            <w:tcBorders>
              <w:bottom w:val="single" w:sz="8" w:color="959595"/>
            </w:tcBorders>
          </w:tcPr>
          <w:p>
            <w:pPr>
              <w:jc w:val="right"/>
              <w:ind w:right="33"/>
              <w:spacing w:after="0" w:line="142" w:lineRule="exact"/>
              <w:rPr>
                <w:sz w:val="20"/>
                <w:szCs w:val="20"/>
                <w:color w:val="auto"/>
              </w:rPr>
            </w:pPr>
            <w:r>
              <w:rPr>
                <w:rFonts w:ascii="Arial" w:cs="Arial" w:eastAsia="Arial" w:hAnsi="Arial"/>
                <w:sz w:val="13"/>
                <w:szCs w:val="13"/>
                <w:color w:val="auto"/>
              </w:rPr>
              <w:t>—</w:t>
            </w:r>
          </w:p>
        </w:tc>
        <w:tc>
          <w:tcPr>
            <w:tcW w:w="880" w:type="dxa"/>
            <w:vAlign w:val="bottom"/>
            <w:tcBorders>
              <w:bottom w:val="single" w:sz="8" w:color="959595"/>
            </w:tcBorders>
          </w:tcPr>
          <w:p>
            <w:pPr>
              <w:jc w:val="right"/>
              <w:ind w:right="33"/>
              <w:spacing w:after="0" w:line="142" w:lineRule="exact"/>
              <w:rPr>
                <w:sz w:val="20"/>
                <w:szCs w:val="20"/>
                <w:color w:val="auto"/>
              </w:rPr>
            </w:pPr>
            <w:r>
              <w:rPr>
                <w:rFonts w:ascii="Arial" w:cs="Arial" w:eastAsia="Arial" w:hAnsi="Arial"/>
                <w:sz w:val="13"/>
                <w:szCs w:val="13"/>
                <w:color w:val="auto"/>
              </w:rPr>
              <w:t>21,843</w:t>
            </w:r>
          </w:p>
        </w:tc>
        <w:tc>
          <w:tcPr>
            <w:tcW w:w="1280" w:type="dxa"/>
            <w:vAlign w:val="bottom"/>
            <w:tcBorders>
              <w:bottom w:val="single" w:sz="8" w:color="959595"/>
            </w:tcBorders>
          </w:tcPr>
          <w:p>
            <w:pPr>
              <w:jc w:val="right"/>
              <w:ind w:right="33"/>
              <w:spacing w:after="0" w:line="142" w:lineRule="exact"/>
              <w:rPr>
                <w:sz w:val="20"/>
                <w:szCs w:val="20"/>
                <w:color w:val="auto"/>
              </w:rPr>
            </w:pPr>
            <w:r>
              <w:rPr>
                <w:rFonts w:ascii="Arial" w:cs="Arial" w:eastAsia="Arial" w:hAnsi="Arial"/>
                <w:sz w:val="13"/>
                <w:szCs w:val="13"/>
                <w:color w:val="auto"/>
              </w:rPr>
              <w:t>17,640</w:t>
            </w:r>
          </w:p>
        </w:tc>
        <w:tc>
          <w:tcPr>
            <w:tcW w:w="40" w:type="dxa"/>
            <w:vAlign w:val="bottom"/>
            <w:tcBorders>
              <w:bottom w:val="single" w:sz="8" w:color="959595"/>
            </w:tcBorders>
          </w:tcPr>
          <w:p>
            <w:pPr>
              <w:spacing w:after="0"/>
              <w:rPr>
                <w:sz w:val="12"/>
                <w:szCs w:val="12"/>
                <w:color w:val="auto"/>
              </w:rPr>
            </w:pPr>
          </w:p>
        </w:tc>
        <w:tc>
          <w:tcPr>
            <w:tcW w:w="1220" w:type="dxa"/>
            <w:vAlign w:val="bottom"/>
            <w:tcBorders>
              <w:bottom w:val="single" w:sz="8" w:color="959595"/>
            </w:tcBorders>
          </w:tcPr>
          <w:p>
            <w:pPr>
              <w:jc w:val="right"/>
              <w:spacing w:after="0" w:line="142" w:lineRule="exact"/>
              <w:rPr>
                <w:sz w:val="20"/>
                <w:szCs w:val="20"/>
                <w:color w:val="auto"/>
              </w:rPr>
            </w:pPr>
            <w:r>
              <w:rPr>
                <w:rFonts w:ascii="Arial" w:cs="Arial" w:eastAsia="Arial" w:hAnsi="Arial"/>
                <w:sz w:val="13"/>
                <w:szCs w:val="13"/>
                <w:color w:val="auto"/>
              </w:rPr>
              <w:t>4,854</w:t>
            </w:r>
          </w:p>
        </w:tc>
      </w:tr>
      <w:tr>
        <w:trPr>
          <w:trHeight w:val="142"/>
        </w:trPr>
        <w:tc>
          <w:tcPr>
            <w:tcW w:w="4220" w:type="dxa"/>
            <w:vAlign w:val="bottom"/>
            <w:tcBorders>
              <w:bottom w:val="single" w:sz="8" w:color="959595"/>
            </w:tcBorders>
          </w:tcPr>
          <w:p>
            <w:pPr>
              <w:ind w:left="80"/>
              <w:spacing w:after="0" w:line="142" w:lineRule="exact"/>
              <w:rPr>
                <w:sz w:val="20"/>
                <w:szCs w:val="20"/>
                <w:color w:val="auto"/>
              </w:rPr>
            </w:pPr>
            <w:r>
              <w:rPr>
                <w:rFonts w:ascii="Arial" w:cs="Arial" w:eastAsia="Arial" w:hAnsi="Arial"/>
                <w:sz w:val="13"/>
                <w:szCs w:val="13"/>
                <w:b w:val="1"/>
                <w:bCs w:val="1"/>
                <w:color w:val="23628F"/>
              </w:rPr>
              <w:t>Kathleen A. Cote</w:t>
            </w:r>
          </w:p>
        </w:tc>
        <w:tc>
          <w:tcPr>
            <w:tcW w:w="880" w:type="dxa"/>
            <w:vAlign w:val="bottom"/>
            <w:tcBorders>
              <w:bottom w:val="single" w:sz="8" w:color="959595"/>
            </w:tcBorders>
          </w:tcPr>
          <w:p>
            <w:pPr>
              <w:jc w:val="right"/>
              <w:ind w:right="13"/>
              <w:spacing w:after="0" w:line="142" w:lineRule="exact"/>
              <w:rPr>
                <w:sz w:val="20"/>
                <w:szCs w:val="20"/>
                <w:color w:val="auto"/>
              </w:rPr>
            </w:pPr>
            <w:r>
              <w:rPr>
                <w:rFonts w:ascii="Arial" w:cs="Arial" w:eastAsia="Arial" w:hAnsi="Arial"/>
                <w:sz w:val="13"/>
                <w:szCs w:val="13"/>
                <w:color w:val="auto"/>
              </w:rPr>
              <w:t>82,749</w:t>
            </w:r>
          </w:p>
        </w:tc>
        <w:tc>
          <w:tcPr>
            <w:tcW w:w="800" w:type="dxa"/>
            <w:vAlign w:val="bottom"/>
            <w:tcBorders>
              <w:bottom w:val="single" w:sz="8" w:color="959595"/>
            </w:tcBorders>
          </w:tcPr>
          <w:p>
            <w:pPr>
              <w:jc w:val="right"/>
              <w:ind w:right="13"/>
              <w:spacing w:after="0" w:line="142" w:lineRule="exact"/>
              <w:rPr>
                <w:sz w:val="20"/>
                <w:szCs w:val="20"/>
                <w:color w:val="auto"/>
              </w:rPr>
            </w:pPr>
            <w:r>
              <w:rPr>
                <w:rFonts w:ascii="Arial" w:cs="Arial" w:eastAsia="Arial" w:hAnsi="Arial"/>
                <w:sz w:val="13"/>
                <w:szCs w:val="13"/>
                <w:color w:val="auto"/>
              </w:rPr>
              <w:t>82,749</w:t>
            </w:r>
          </w:p>
        </w:tc>
        <w:tc>
          <w:tcPr>
            <w:tcW w:w="880" w:type="dxa"/>
            <w:vAlign w:val="bottom"/>
            <w:tcBorders>
              <w:bottom w:val="single" w:sz="8" w:color="959595"/>
            </w:tcBorders>
          </w:tcPr>
          <w:p>
            <w:pPr>
              <w:jc w:val="right"/>
              <w:ind w:right="33"/>
              <w:spacing w:after="0" w:line="142" w:lineRule="exact"/>
              <w:rPr>
                <w:sz w:val="20"/>
                <w:szCs w:val="20"/>
                <w:color w:val="auto"/>
              </w:rPr>
            </w:pPr>
            <w:r>
              <w:rPr>
                <w:rFonts w:ascii="Arial" w:cs="Arial" w:eastAsia="Arial" w:hAnsi="Arial"/>
                <w:sz w:val="13"/>
                <w:szCs w:val="13"/>
                <w:color w:val="auto"/>
              </w:rPr>
              <w:t>—</w:t>
            </w:r>
          </w:p>
        </w:tc>
        <w:tc>
          <w:tcPr>
            <w:tcW w:w="1040" w:type="dxa"/>
            <w:vAlign w:val="bottom"/>
            <w:tcBorders>
              <w:bottom w:val="single" w:sz="8" w:color="959595"/>
            </w:tcBorders>
          </w:tcPr>
          <w:p>
            <w:pPr>
              <w:jc w:val="right"/>
              <w:ind w:right="33"/>
              <w:spacing w:after="0" w:line="142" w:lineRule="exact"/>
              <w:rPr>
                <w:sz w:val="20"/>
                <w:szCs w:val="20"/>
                <w:color w:val="auto"/>
              </w:rPr>
            </w:pPr>
            <w:r>
              <w:rPr>
                <w:rFonts w:ascii="Arial" w:cs="Arial" w:eastAsia="Arial" w:hAnsi="Arial"/>
                <w:sz w:val="13"/>
                <w:szCs w:val="13"/>
                <w:color w:val="auto"/>
              </w:rPr>
              <w:t>—</w:t>
            </w:r>
          </w:p>
        </w:tc>
        <w:tc>
          <w:tcPr>
            <w:tcW w:w="880" w:type="dxa"/>
            <w:vAlign w:val="bottom"/>
            <w:tcBorders>
              <w:bottom w:val="single" w:sz="8" w:color="959595"/>
            </w:tcBorders>
          </w:tcPr>
          <w:p>
            <w:pPr>
              <w:jc w:val="right"/>
              <w:ind w:right="33"/>
              <w:spacing w:after="0" w:line="142" w:lineRule="exact"/>
              <w:rPr>
                <w:sz w:val="20"/>
                <w:szCs w:val="20"/>
                <w:color w:val="auto"/>
              </w:rPr>
            </w:pPr>
            <w:r>
              <w:rPr>
                <w:rFonts w:ascii="Arial" w:cs="Arial" w:eastAsia="Arial" w:hAnsi="Arial"/>
                <w:sz w:val="13"/>
                <w:szCs w:val="13"/>
                <w:color w:val="auto"/>
              </w:rPr>
              <w:t>65,466</w:t>
            </w:r>
          </w:p>
        </w:tc>
        <w:tc>
          <w:tcPr>
            <w:tcW w:w="1280" w:type="dxa"/>
            <w:vAlign w:val="bottom"/>
            <w:tcBorders>
              <w:bottom w:val="single" w:sz="8" w:color="959595"/>
            </w:tcBorders>
          </w:tcPr>
          <w:p>
            <w:pPr>
              <w:jc w:val="right"/>
              <w:ind w:right="33"/>
              <w:spacing w:after="0" w:line="142" w:lineRule="exact"/>
              <w:rPr>
                <w:sz w:val="20"/>
                <w:szCs w:val="20"/>
                <w:color w:val="auto"/>
              </w:rPr>
            </w:pPr>
            <w:r>
              <w:rPr>
                <w:rFonts w:ascii="Arial" w:cs="Arial" w:eastAsia="Arial" w:hAnsi="Arial"/>
                <w:sz w:val="13"/>
                <w:szCs w:val="13"/>
                <w:color w:val="auto"/>
              </w:rPr>
              <w:t>61,313</w:t>
            </w:r>
          </w:p>
        </w:tc>
        <w:tc>
          <w:tcPr>
            <w:tcW w:w="40" w:type="dxa"/>
            <w:vAlign w:val="bottom"/>
            <w:tcBorders>
              <w:bottom w:val="single" w:sz="8" w:color="959595"/>
            </w:tcBorders>
          </w:tcPr>
          <w:p>
            <w:pPr>
              <w:spacing w:after="0"/>
              <w:rPr>
                <w:sz w:val="12"/>
                <w:szCs w:val="12"/>
                <w:color w:val="auto"/>
              </w:rPr>
            </w:pPr>
          </w:p>
        </w:tc>
        <w:tc>
          <w:tcPr>
            <w:tcW w:w="1220" w:type="dxa"/>
            <w:vAlign w:val="bottom"/>
            <w:tcBorders>
              <w:bottom w:val="single" w:sz="8" w:color="959595"/>
            </w:tcBorders>
          </w:tcPr>
          <w:p>
            <w:pPr>
              <w:jc w:val="right"/>
              <w:spacing w:after="0" w:line="142" w:lineRule="exact"/>
              <w:rPr>
                <w:sz w:val="20"/>
                <w:szCs w:val="20"/>
                <w:color w:val="auto"/>
              </w:rPr>
            </w:pPr>
            <w:r>
              <w:rPr>
                <w:rFonts w:ascii="Arial" w:cs="Arial" w:eastAsia="Arial" w:hAnsi="Arial"/>
                <w:sz w:val="13"/>
                <w:szCs w:val="13"/>
                <w:color w:val="auto"/>
              </w:rPr>
              <w:t>5,291</w:t>
            </w:r>
          </w:p>
        </w:tc>
      </w:tr>
      <w:tr>
        <w:trPr>
          <w:trHeight w:val="142"/>
        </w:trPr>
        <w:tc>
          <w:tcPr>
            <w:tcW w:w="4220" w:type="dxa"/>
            <w:vAlign w:val="bottom"/>
            <w:tcBorders>
              <w:bottom w:val="single" w:sz="8" w:color="959595"/>
            </w:tcBorders>
          </w:tcPr>
          <w:p>
            <w:pPr>
              <w:ind w:left="80"/>
              <w:spacing w:after="0" w:line="142" w:lineRule="exact"/>
              <w:rPr>
                <w:sz w:val="20"/>
                <w:szCs w:val="20"/>
                <w:color w:val="auto"/>
              </w:rPr>
            </w:pPr>
            <w:r>
              <w:rPr>
                <w:rFonts w:ascii="Arial" w:cs="Arial" w:eastAsia="Arial" w:hAnsi="Arial"/>
                <w:sz w:val="13"/>
                <w:szCs w:val="13"/>
                <w:b w:val="1"/>
                <w:bCs w:val="1"/>
                <w:color w:val="23628F"/>
              </w:rPr>
              <w:t>Tunç Doluca</w:t>
            </w:r>
          </w:p>
        </w:tc>
        <w:tc>
          <w:tcPr>
            <w:tcW w:w="880" w:type="dxa"/>
            <w:vAlign w:val="bottom"/>
            <w:tcBorders>
              <w:bottom w:val="single" w:sz="8" w:color="959595"/>
            </w:tcBorders>
          </w:tcPr>
          <w:p>
            <w:pPr>
              <w:jc w:val="right"/>
              <w:ind w:right="13"/>
              <w:spacing w:after="0" w:line="142" w:lineRule="exact"/>
              <w:rPr>
                <w:sz w:val="20"/>
                <w:szCs w:val="20"/>
                <w:color w:val="auto"/>
              </w:rPr>
            </w:pPr>
            <w:r>
              <w:rPr>
                <w:rFonts w:ascii="Arial" w:cs="Arial" w:eastAsia="Arial" w:hAnsi="Arial"/>
                <w:sz w:val="13"/>
                <w:szCs w:val="13"/>
                <w:color w:val="auto"/>
              </w:rPr>
              <w:t>—</w:t>
            </w:r>
          </w:p>
        </w:tc>
        <w:tc>
          <w:tcPr>
            <w:tcW w:w="800" w:type="dxa"/>
            <w:vAlign w:val="bottom"/>
            <w:tcBorders>
              <w:bottom w:val="single" w:sz="8" w:color="959595"/>
            </w:tcBorders>
          </w:tcPr>
          <w:p>
            <w:pPr>
              <w:jc w:val="right"/>
              <w:ind w:right="13"/>
              <w:spacing w:after="0" w:line="142" w:lineRule="exact"/>
              <w:rPr>
                <w:sz w:val="20"/>
                <w:szCs w:val="20"/>
                <w:color w:val="auto"/>
              </w:rPr>
            </w:pPr>
            <w:r>
              <w:rPr>
                <w:rFonts w:ascii="Arial" w:cs="Arial" w:eastAsia="Arial" w:hAnsi="Arial"/>
                <w:sz w:val="13"/>
                <w:szCs w:val="13"/>
                <w:color w:val="auto"/>
              </w:rPr>
              <w:t>—</w:t>
            </w:r>
          </w:p>
        </w:tc>
        <w:tc>
          <w:tcPr>
            <w:tcW w:w="880" w:type="dxa"/>
            <w:vAlign w:val="bottom"/>
            <w:tcBorders>
              <w:bottom w:val="single" w:sz="8" w:color="959595"/>
            </w:tcBorders>
          </w:tcPr>
          <w:p>
            <w:pPr>
              <w:jc w:val="right"/>
              <w:ind w:right="33"/>
              <w:spacing w:after="0" w:line="142" w:lineRule="exact"/>
              <w:rPr>
                <w:sz w:val="20"/>
                <w:szCs w:val="20"/>
                <w:color w:val="auto"/>
              </w:rPr>
            </w:pPr>
            <w:r>
              <w:rPr>
                <w:rFonts w:ascii="Arial" w:cs="Arial" w:eastAsia="Arial" w:hAnsi="Arial"/>
                <w:sz w:val="13"/>
                <w:szCs w:val="13"/>
                <w:color w:val="auto"/>
              </w:rPr>
              <w:t>—</w:t>
            </w:r>
          </w:p>
        </w:tc>
        <w:tc>
          <w:tcPr>
            <w:tcW w:w="1040" w:type="dxa"/>
            <w:vAlign w:val="bottom"/>
            <w:tcBorders>
              <w:bottom w:val="single" w:sz="8" w:color="959595"/>
            </w:tcBorders>
          </w:tcPr>
          <w:p>
            <w:pPr>
              <w:jc w:val="right"/>
              <w:ind w:right="33"/>
              <w:spacing w:after="0" w:line="142" w:lineRule="exact"/>
              <w:rPr>
                <w:sz w:val="20"/>
                <w:szCs w:val="20"/>
                <w:color w:val="auto"/>
              </w:rPr>
            </w:pPr>
            <w:r>
              <w:rPr>
                <w:rFonts w:ascii="Arial" w:cs="Arial" w:eastAsia="Arial" w:hAnsi="Arial"/>
                <w:sz w:val="13"/>
                <w:szCs w:val="13"/>
                <w:color w:val="auto"/>
              </w:rPr>
              <w:t>—</w:t>
            </w:r>
          </w:p>
        </w:tc>
        <w:tc>
          <w:tcPr>
            <w:tcW w:w="880" w:type="dxa"/>
            <w:vAlign w:val="bottom"/>
            <w:tcBorders>
              <w:bottom w:val="single" w:sz="8" w:color="959595"/>
            </w:tcBorders>
          </w:tcPr>
          <w:p>
            <w:pPr>
              <w:jc w:val="right"/>
              <w:ind w:right="33"/>
              <w:spacing w:after="0" w:line="142" w:lineRule="exact"/>
              <w:rPr>
                <w:sz w:val="20"/>
                <w:szCs w:val="20"/>
                <w:color w:val="auto"/>
              </w:rPr>
            </w:pPr>
            <w:r>
              <w:rPr>
                <w:rFonts w:ascii="Arial" w:cs="Arial" w:eastAsia="Arial" w:hAnsi="Arial"/>
                <w:sz w:val="13"/>
                <w:szCs w:val="13"/>
                <w:color w:val="auto"/>
              </w:rPr>
              <w:t>10,242</w:t>
            </w:r>
          </w:p>
        </w:tc>
        <w:tc>
          <w:tcPr>
            <w:tcW w:w="1280" w:type="dxa"/>
            <w:vAlign w:val="bottom"/>
            <w:tcBorders>
              <w:bottom w:val="single" w:sz="8" w:color="959595"/>
            </w:tcBorders>
          </w:tcPr>
          <w:p>
            <w:pPr>
              <w:jc w:val="right"/>
              <w:ind w:right="33"/>
              <w:spacing w:after="0" w:line="142" w:lineRule="exact"/>
              <w:rPr>
                <w:sz w:val="20"/>
                <w:szCs w:val="20"/>
                <w:color w:val="auto"/>
              </w:rPr>
            </w:pPr>
            <w:r>
              <w:rPr>
                <w:rFonts w:ascii="Arial" w:cs="Arial" w:eastAsia="Arial" w:hAnsi="Arial"/>
                <w:sz w:val="13"/>
                <w:szCs w:val="13"/>
                <w:color w:val="auto"/>
              </w:rPr>
              <w:t>5,687</w:t>
            </w:r>
          </w:p>
        </w:tc>
        <w:tc>
          <w:tcPr>
            <w:tcW w:w="40" w:type="dxa"/>
            <w:vAlign w:val="bottom"/>
            <w:tcBorders>
              <w:bottom w:val="single" w:sz="8" w:color="959595"/>
            </w:tcBorders>
          </w:tcPr>
          <w:p>
            <w:pPr>
              <w:spacing w:after="0"/>
              <w:rPr>
                <w:sz w:val="12"/>
                <w:szCs w:val="12"/>
                <w:color w:val="auto"/>
              </w:rPr>
            </w:pPr>
          </w:p>
        </w:tc>
        <w:tc>
          <w:tcPr>
            <w:tcW w:w="1220" w:type="dxa"/>
            <w:vAlign w:val="bottom"/>
            <w:tcBorders>
              <w:bottom w:val="single" w:sz="8" w:color="959595"/>
            </w:tcBorders>
          </w:tcPr>
          <w:p>
            <w:pPr>
              <w:jc w:val="right"/>
              <w:spacing w:after="0" w:line="142" w:lineRule="exact"/>
              <w:rPr>
                <w:sz w:val="20"/>
                <w:szCs w:val="20"/>
                <w:color w:val="auto"/>
              </w:rPr>
            </w:pPr>
            <w:r>
              <w:rPr>
                <w:rFonts w:ascii="Arial" w:cs="Arial" w:eastAsia="Arial" w:hAnsi="Arial"/>
                <w:sz w:val="13"/>
                <w:szCs w:val="13"/>
                <w:color w:val="auto"/>
              </w:rPr>
              <w:t>4,854</w:t>
            </w:r>
          </w:p>
        </w:tc>
      </w:tr>
      <w:tr>
        <w:trPr>
          <w:trHeight w:val="142"/>
        </w:trPr>
        <w:tc>
          <w:tcPr>
            <w:tcW w:w="4220" w:type="dxa"/>
            <w:vAlign w:val="bottom"/>
            <w:tcBorders>
              <w:bottom w:val="single" w:sz="8" w:color="959595"/>
            </w:tcBorders>
          </w:tcPr>
          <w:p>
            <w:pPr>
              <w:ind w:left="80"/>
              <w:spacing w:after="0" w:line="142" w:lineRule="exact"/>
              <w:rPr>
                <w:sz w:val="20"/>
                <w:szCs w:val="20"/>
                <w:color w:val="auto"/>
              </w:rPr>
            </w:pPr>
            <w:r>
              <w:rPr>
                <w:rFonts w:ascii="Arial" w:cs="Arial" w:eastAsia="Arial" w:hAnsi="Arial"/>
                <w:sz w:val="13"/>
                <w:szCs w:val="13"/>
                <w:b w:val="1"/>
                <w:bCs w:val="1"/>
                <w:color w:val="23628F"/>
              </w:rPr>
              <w:t>Matthew E. Massengill</w:t>
            </w:r>
          </w:p>
        </w:tc>
        <w:tc>
          <w:tcPr>
            <w:tcW w:w="880" w:type="dxa"/>
            <w:vAlign w:val="bottom"/>
            <w:tcBorders>
              <w:bottom w:val="single" w:sz="8" w:color="959595"/>
            </w:tcBorders>
          </w:tcPr>
          <w:p>
            <w:pPr>
              <w:jc w:val="right"/>
              <w:ind w:right="13"/>
              <w:spacing w:after="0" w:line="142" w:lineRule="exact"/>
              <w:rPr>
                <w:sz w:val="20"/>
                <w:szCs w:val="20"/>
                <w:color w:val="auto"/>
              </w:rPr>
            </w:pPr>
            <w:r>
              <w:rPr>
                <w:rFonts w:ascii="Arial" w:cs="Arial" w:eastAsia="Arial" w:hAnsi="Arial"/>
                <w:sz w:val="13"/>
                <w:szCs w:val="13"/>
                <w:color w:val="auto"/>
              </w:rPr>
              <w:t>560,249</w:t>
            </w:r>
          </w:p>
        </w:tc>
        <w:tc>
          <w:tcPr>
            <w:tcW w:w="800" w:type="dxa"/>
            <w:vAlign w:val="bottom"/>
            <w:tcBorders>
              <w:bottom w:val="single" w:sz="8" w:color="959595"/>
            </w:tcBorders>
          </w:tcPr>
          <w:p>
            <w:pPr>
              <w:jc w:val="right"/>
              <w:ind w:right="13"/>
              <w:spacing w:after="0" w:line="142" w:lineRule="exact"/>
              <w:rPr>
                <w:sz w:val="20"/>
                <w:szCs w:val="20"/>
                <w:color w:val="auto"/>
              </w:rPr>
            </w:pPr>
            <w:r>
              <w:rPr>
                <w:rFonts w:ascii="Arial" w:cs="Arial" w:eastAsia="Arial" w:hAnsi="Arial"/>
                <w:sz w:val="13"/>
                <w:szCs w:val="13"/>
                <w:color w:val="auto"/>
              </w:rPr>
              <w:t>372,749</w:t>
            </w:r>
          </w:p>
        </w:tc>
        <w:tc>
          <w:tcPr>
            <w:tcW w:w="880" w:type="dxa"/>
            <w:vAlign w:val="bottom"/>
            <w:tcBorders>
              <w:bottom w:val="single" w:sz="8" w:color="959595"/>
            </w:tcBorders>
          </w:tcPr>
          <w:p>
            <w:pPr>
              <w:jc w:val="right"/>
              <w:ind w:right="33"/>
              <w:spacing w:after="0" w:line="142" w:lineRule="exact"/>
              <w:rPr>
                <w:sz w:val="20"/>
                <w:szCs w:val="20"/>
                <w:color w:val="auto"/>
              </w:rPr>
            </w:pPr>
            <w:r>
              <w:rPr>
                <w:rFonts w:ascii="Arial" w:cs="Arial" w:eastAsia="Arial" w:hAnsi="Arial"/>
                <w:sz w:val="13"/>
                <w:szCs w:val="13"/>
                <w:color w:val="auto"/>
              </w:rPr>
              <w:t>—</w:t>
            </w:r>
          </w:p>
        </w:tc>
        <w:tc>
          <w:tcPr>
            <w:tcW w:w="1040" w:type="dxa"/>
            <w:vAlign w:val="bottom"/>
            <w:tcBorders>
              <w:bottom w:val="single" w:sz="8" w:color="959595"/>
            </w:tcBorders>
          </w:tcPr>
          <w:p>
            <w:pPr>
              <w:jc w:val="right"/>
              <w:ind w:right="33"/>
              <w:spacing w:after="0" w:line="142" w:lineRule="exact"/>
              <w:rPr>
                <w:sz w:val="20"/>
                <w:szCs w:val="20"/>
                <w:color w:val="auto"/>
              </w:rPr>
            </w:pPr>
            <w:r>
              <w:rPr>
                <w:rFonts w:ascii="Arial" w:cs="Arial" w:eastAsia="Arial" w:hAnsi="Arial"/>
                <w:sz w:val="13"/>
                <w:szCs w:val="13"/>
                <w:color w:val="auto"/>
              </w:rPr>
              <w:t>—</w:t>
            </w:r>
          </w:p>
        </w:tc>
        <w:tc>
          <w:tcPr>
            <w:tcW w:w="880" w:type="dxa"/>
            <w:vAlign w:val="bottom"/>
            <w:tcBorders>
              <w:bottom w:val="single" w:sz="8" w:color="959595"/>
            </w:tcBorders>
          </w:tcPr>
          <w:p>
            <w:pPr>
              <w:jc w:val="right"/>
              <w:ind w:right="33"/>
              <w:spacing w:after="0" w:line="142" w:lineRule="exact"/>
              <w:rPr>
                <w:sz w:val="20"/>
                <w:szCs w:val="20"/>
                <w:color w:val="auto"/>
              </w:rPr>
            </w:pPr>
            <w:r>
              <w:rPr>
                <w:rFonts w:ascii="Arial" w:cs="Arial" w:eastAsia="Arial" w:hAnsi="Arial"/>
                <w:sz w:val="13"/>
                <w:szCs w:val="13"/>
                <w:color w:val="auto"/>
              </w:rPr>
              <w:t>613,882</w:t>
            </w:r>
          </w:p>
        </w:tc>
        <w:tc>
          <w:tcPr>
            <w:tcW w:w="1280" w:type="dxa"/>
            <w:vAlign w:val="bottom"/>
            <w:tcBorders>
              <w:bottom w:val="single" w:sz="8" w:color="959595"/>
            </w:tcBorders>
          </w:tcPr>
          <w:p>
            <w:pPr>
              <w:jc w:val="right"/>
              <w:ind w:right="33"/>
              <w:spacing w:after="0" w:line="142" w:lineRule="exact"/>
              <w:rPr>
                <w:sz w:val="20"/>
                <w:szCs w:val="20"/>
                <w:color w:val="auto"/>
              </w:rPr>
            </w:pPr>
            <w:r>
              <w:rPr>
                <w:rFonts w:ascii="Arial" w:cs="Arial" w:eastAsia="Arial" w:hAnsi="Arial"/>
                <w:sz w:val="13"/>
                <w:szCs w:val="13"/>
                <w:color w:val="auto"/>
              </w:rPr>
              <w:t>559,284</w:t>
            </w:r>
          </w:p>
        </w:tc>
        <w:tc>
          <w:tcPr>
            <w:tcW w:w="40" w:type="dxa"/>
            <w:vAlign w:val="bottom"/>
            <w:tcBorders>
              <w:bottom w:val="single" w:sz="8" w:color="959595"/>
            </w:tcBorders>
          </w:tcPr>
          <w:p>
            <w:pPr>
              <w:spacing w:after="0"/>
              <w:rPr>
                <w:sz w:val="12"/>
                <w:szCs w:val="12"/>
                <w:color w:val="auto"/>
              </w:rPr>
            </w:pPr>
          </w:p>
        </w:tc>
        <w:tc>
          <w:tcPr>
            <w:tcW w:w="1220" w:type="dxa"/>
            <w:vAlign w:val="bottom"/>
            <w:tcBorders>
              <w:bottom w:val="single" w:sz="8" w:color="959595"/>
            </w:tcBorders>
          </w:tcPr>
          <w:p>
            <w:pPr>
              <w:jc w:val="right"/>
              <w:spacing w:after="0" w:line="142" w:lineRule="exact"/>
              <w:rPr>
                <w:sz w:val="20"/>
                <w:szCs w:val="20"/>
                <w:color w:val="auto"/>
              </w:rPr>
            </w:pPr>
            <w:r>
              <w:rPr>
                <w:rFonts w:ascii="Arial" w:cs="Arial" w:eastAsia="Arial" w:hAnsi="Arial"/>
                <w:sz w:val="13"/>
                <w:szCs w:val="13"/>
                <w:color w:val="auto"/>
              </w:rPr>
              <w:t>5,866</w:t>
            </w:r>
          </w:p>
        </w:tc>
      </w:tr>
      <w:tr>
        <w:trPr>
          <w:trHeight w:val="142"/>
        </w:trPr>
        <w:tc>
          <w:tcPr>
            <w:tcW w:w="4220" w:type="dxa"/>
            <w:vAlign w:val="bottom"/>
            <w:tcBorders>
              <w:bottom w:val="single" w:sz="8" w:color="959595"/>
            </w:tcBorders>
          </w:tcPr>
          <w:p>
            <w:pPr>
              <w:ind w:left="80"/>
              <w:spacing w:after="0" w:line="142" w:lineRule="exact"/>
              <w:rPr>
                <w:sz w:val="20"/>
                <w:szCs w:val="20"/>
                <w:color w:val="auto"/>
              </w:rPr>
            </w:pPr>
            <w:r>
              <w:rPr>
                <w:rFonts w:ascii="Arial" w:cs="Arial" w:eastAsia="Arial" w:hAnsi="Arial"/>
                <w:sz w:val="13"/>
                <w:szCs w:val="13"/>
                <w:b w:val="1"/>
                <w:bCs w:val="1"/>
                <w:color w:val="23628F"/>
              </w:rPr>
              <w:t>Paula A. Price</w:t>
            </w:r>
          </w:p>
        </w:tc>
        <w:tc>
          <w:tcPr>
            <w:tcW w:w="880" w:type="dxa"/>
            <w:vAlign w:val="bottom"/>
            <w:tcBorders>
              <w:bottom w:val="single" w:sz="8" w:color="959595"/>
            </w:tcBorders>
          </w:tcPr>
          <w:p>
            <w:pPr>
              <w:jc w:val="right"/>
              <w:ind w:right="13"/>
              <w:spacing w:after="0" w:line="142" w:lineRule="exact"/>
              <w:rPr>
                <w:sz w:val="20"/>
                <w:szCs w:val="20"/>
                <w:color w:val="auto"/>
              </w:rPr>
            </w:pPr>
            <w:r>
              <w:rPr>
                <w:rFonts w:ascii="Arial" w:cs="Arial" w:eastAsia="Arial" w:hAnsi="Arial"/>
                <w:sz w:val="13"/>
                <w:szCs w:val="13"/>
                <w:color w:val="auto"/>
              </w:rPr>
              <w:t>—</w:t>
            </w:r>
          </w:p>
        </w:tc>
        <w:tc>
          <w:tcPr>
            <w:tcW w:w="800" w:type="dxa"/>
            <w:vAlign w:val="bottom"/>
            <w:tcBorders>
              <w:bottom w:val="single" w:sz="8" w:color="959595"/>
            </w:tcBorders>
          </w:tcPr>
          <w:p>
            <w:pPr>
              <w:jc w:val="right"/>
              <w:ind w:right="13"/>
              <w:spacing w:after="0" w:line="142" w:lineRule="exact"/>
              <w:rPr>
                <w:sz w:val="20"/>
                <w:szCs w:val="20"/>
                <w:color w:val="auto"/>
              </w:rPr>
            </w:pPr>
            <w:r>
              <w:rPr>
                <w:rFonts w:ascii="Arial" w:cs="Arial" w:eastAsia="Arial" w:hAnsi="Arial"/>
                <w:sz w:val="13"/>
                <w:szCs w:val="13"/>
                <w:color w:val="auto"/>
              </w:rPr>
              <w:t>—</w:t>
            </w:r>
          </w:p>
        </w:tc>
        <w:tc>
          <w:tcPr>
            <w:tcW w:w="880" w:type="dxa"/>
            <w:vAlign w:val="bottom"/>
            <w:tcBorders>
              <w:bottom w:val="single" w:sz="8" w:color="959595"/>
            </w:tcBorders>
          </w:tcPr>
          <w:p>
            <w:pPr>
              <w:jc w:val="right"/>
              <w:ind w:right="33"/>
              <w:spacing w:after="0" w:line="142" w:lineRule="exact"/>
              <w:rPr>
                <w:sz w:val="20"/>
                <w:szCs w:val="20"/>
                <w:color w:val="auto"/>
              </w:rPr>
            </w:pPr>
            <w:r>
              <w:rPr>
                <w:rFonts w:ascii="Arial" w:cs="Arial" w:eastAsia="Arial" w:hAnsi="Arial"/>
                <w:sz w:val="13"/>
                <w:szCs w:val="13"/>
                <w:color w:val="auto"/>
              </w:rPr>
              <w:t>—</w:t>
            </w:r>
          </w:p>
        </w:tc>
        <w:tc>
          <w:tcPr>
            <w:tcW w:w="1040" w:type="dxa"/>
            <w:vAlign w:val="bottom"/>
            <w:tcBorders>
              <w:bottom w:val="single" w:sz="8" w:color="959595"/>
            </w:tcBorders>
          </w:tcPr>
          <w:p>
            <w:pPr>
              <w:jc w:val="right"/>
              <w:ind w:right="33"/>
              <w:spacing w:after="0" w:line="142" w:lineRule="exact"/>
              <w:rPr>
                <w:sz w:val="20"/>
                <w:szCs w:val="20"/>
                <w:color w:val="auto"/>
              </w:rPr>
            </w:pPr>
            <w:r>
              <w:rPr>
                <w:rFonts w:ascii="Arial" w:cs="Arial" w:eastAsia="Arial" w:hAnsi="Arial"/>
                <w:sz w:val="13"/>
                <w:szCs w:val="13"/>
                <w:color w:val="auto"/>
              </w:rPr>
              <w:t>—</w:t>
            </w:r>
          </w:p>
        </w:tc>
        <w:tc>
          <w:tcPr>
            <w:tcW w:w="880" w:type="dxa"/>
            <w:vAlign w:val="bottom"/>
            <w:tcBorders>
              <w:bottom w:val="single" w:sz="8" w:color="959595"/>
            </w:tcBorders>
          </w:tcPr>
          <w:p>
            <w:pPr>
              <w:jc w:val="right"/>
              <w:ind w:right="33"/>
              <w:spacing w:after="0" w:line="142" w:lineRule="exact"/>
              <w:rPr>
                <w:sz w:val="20"/>
                <w:szCs w:val="20"/>
                <w:color w:val="auto"/>
              </w:rPr>
            </w:pPr>
            <w:r>
              <w:rPr>
                <w:rFonts w:ascii="Arial" w:cs="Arial" w:eastAsia="Arial" w:hAnsi="Arial"/>
                <w:sz w:val="13"/>
                <w:szCs w:val="13"/>
                <w:color w:val="auto"/>
              </w:rPr>
              <w:t>20,204</w:t>
            </w:r>
          </w:p>
        </w:tc>
        <w:tc>
          <w:tcPr>
            <w:tcW w:w="1280" w:type="dxa"/>
            <w:vAlign w:val="bottom"/>
            <w:tcBorders>
              <w:bottom w:val="single" w:sz="8" w:color="959595"/>
            </w:tcBorders>
          </w:tcPr>
          <w:p>
            <w:pPr>
              <w:jc w:val="right"/>
              <w:ind w:right="33"/>
              <w:spacing w:after="0" w:line="142" w:lineRule="exact"/>
              <w:rPr>
                <w:sz w:val="20"/>
                <w:szCs w:val="20"/>
                <w:color w:val="auto"/>
              </w:rPr>
            </w:pPr>
            <w:r>
              <w:rPr>
                <w:rFonts w:ascii="Arial" w:cs="Arial" w:eastAsia="Arial" w:hAnsi="Arial"/>
                <w:sz w:val="13"/>
                <w:szCs w:val="13"/>
                <w:color w:val="auto"/>
              </w:rPr>
              <w:t>14,114</w:t>
            </w:r>
          </w:p>
        </w:tc>
        <w:tc>
          <w:tcPr>
            <w:tcW w:w="40" w:type="dxa"/>
            <w:vAlign w:val="bottom"/>
            <w:tcBorders>
              <w:bottom w:val="single" w:sz="8" w:color="959595"/>
            </w:tcBorders>
          </w:tcPr>
          <w:p>
            <w:pPr>
              <w:spacing w:after="0"/>
              <w:rPr>
                <w:sz w:val="12"/>
                <w:szCs w:val="12"/>
                <w:color w:val="auto"/>
              </w:rPr>
            </w:pPr>
          </w:p>
        </w:tc>
        <w:tc>
          <w:tcPr>
            <w:tcW w:w="1220" w:type="dxa"/>
            <w:vAlign w:val="bottom"/>
            <w:tcBorders>
              <w:bottom w:val="single" w:sz="8" w:color="959595"/>
            </w:tcBorders>
          </w:tcPr>
          <w:p>
            <w:pPr>
              <w:jc w:val="right"/>
              <w:spacing w:after="0" w:line="142" w:lineRule="exact"/>
              <w:rPr>
                <w:sz w:val="20"/>
                <w:szCs w:val="20"/>
                <w:color w:val="auto"/>
              </w:rPr>
            </w:pPr>
            <w:r>
              <w:rPr>
                <w:rFonts w:ascii="Arial" w:cs="Arial" w:eastAsia="Arial" w:hAnsi="Arial"/>
                <w:sz w:val="13"/>
                <w:szCs w:val="13"/>
                <w:color w:val="auto"/>
              </w:rPr>
              <w:t>1,944</w:t>
            </w:r>
          </w:p>
        </w:tc>
      </w:tr>
      <w:tr>
        <w:trPr>
          <w:trHeight w:val="142"/>
        </w:trPr>
        <w:tc>
          <w:tcPr>
            <w:tcW w:w="4220" w:type="dxa"/>
            <w:vAlign w:val="bottom"/>
            <w:tcBorders>
              <w:bottom w:val="single" w:sz="8" w:color="959595"/>
            </w:tcBorders>
          </w:tcPr>
          <w:p>
            <w:pPr>
              <w:ind w:left="80"/>
              <w:spacing w:after="0" w:line="142" w:lineRule="exact"/>
              <w:rPr>
                <w:sz w:val="20"/>
                <w:szCs w:val="20"/>
                <w:color w:val="auto"/>
              </w:rPr>
            </w:pPr>
            <w:r>
              <w:rPr>
                <w:rFonts w:ascii="Arial" w:cs="Arial" w:eastAsia="Arial" w:hAnsi="Arial"/>
                <w:sz w:val="13"/>
                <w:szCs w:val="13"/>
                <w:b w:val="1"/>
                <w:bCs w:val="1"/>
                <w:color w:val="23628F"/>
              </w:rPr>
              <w:t>Stephanie A. Streeter</w:t>
            </w:r>
          </w:p>
        </w:tc>
        <w:tc>
          <w:tcPr>
            <w:tcW w:w="880" w:type="dxa"/>
            <w:vAlign w:val="bottom"/>
            <w:tcBorders>
              <w:bottom w:val="single" w:sz="8" w:color="959595"/>
            </w:tcBorders>
          </w:tcPr>
          <w:p>
            <w:pPr>
              <w:jc w:val="right"/>
              <w:ind w:right="13"/>
              <w:spacing w:after="0" w:line="142" w:lineRule="exact"/>
              <w:rPr>
                <w:sz w:val="20"/>
                <w:szCs w:val="20"/>
                <w:color w:val="auto"/>
              </w:rPr>
            </w:pPr>
            <w:r>
              <w:rPr>
                <w:rFonts w:ascii="Arial" w:cs="Arial" w:eastAsia="Arial" w:hAnsi="Arial"/>
                <w:sz w:val="13"/>
                <w:szCs w:val="13"/>
                <w:color w:val="auto"/>
              </w:rPr>
              <w:t>—</w:t>
            </w:r>
          </w:p>
        </w:tc>
        <w:tc>
          <w:tcPr>
            <w:tcW w:w="800" w:type="dxa"/>
            <w:vAlign w:val="bottom"/>
            <w:tcBorders>
              <w:bottom w:val="single" w:sz="8" w:color="959595"/>
            </w:tcBorders>
          </w:tcPr>
          <w:p>
            <w:pPr>
              <w:jc w:val="right"/>
              <w:ind w:right="13"/>
              <w:spacing w:after="0" w:line="142" w:lineRule="exact"/>
              <w:rPr>
                <w:sz w:val="20"/>
                <w:szCs w:val="20"/>
                <w:color w:val="auto"/>
              </w:rPr>
            </w:pPr>
            <w:r>
              <w:rPr>
                <w:rFonts w:ascii="Arial" w:cs="Arial" w:eastAsia="Arial" w:hAnsi="Arial"/>
                <w:sz w:val="13"/>
                <w:szCs w:val="13"/>
                <w:color w:val="auto"/>
              </w:rPr>
              <w:t>—</w:t>
            </w:r>
          </w:p>
        </w:tc>
        <w:tc>
          <w:tcPr>
            <w:tcW w:w="880" w:type="dxa"/>
            <w:vAlign w:val="bottom"/>
            <w:tcBorders>
              <w:bottom w:val="single" w:sz="8" w:color="959595"/>
            </w:tcBorders>
          </w:tcPr>
          <w:p>
            <w:pPr>
              <w:jc w:val="right"/>
              <w:ind w:right="33"/>
              <w:spacing w:after="0" w:line="142" w:lineRule="exact"/>
              <w:rPr>
                <w:sz w:val="20"/>
                <w:szCs w:val="20"/>
                <w:color w:val="auto"/>
              </w:rPr>
            </w:pPr>
            <w:r>
              <w:rPr>
                <w:rFonts w:ascii="Arial" w:cs="Arial" w:eastAsia="Arial" w:hAnsi="Arial"/>
                <w:sz w:val="13"/>
                <w:szCs w:val="13"/>
                <w:color w:val="auto"/>
              </w:rPr>
              <w:t>—</w:t>
            </w:r>
          </w:p>
        </w:tc>
        <w:tc>
          <w:tcPr>
            <w:tcW w:w="1040" w:type="dxa"/>
            <w:vAlign w:val="bottom"/>
            <w:tcBorders>
              <w:bottom w:val="single" w:sz="8" w:color="959595"/>
            </w:tcBorders>
          </w:tcPr>
          <w:p>
            <w:pPr>
              <w:jc w:val="right"/>
              <w:ind w:right="33"/>
              <w:spacing w:after="0" w:line="142" w:lineRule="exact"/>
              <w:rPr>
                <w:sz w:val="20"/>
                <w:szCs w:val="20"/>
                <w:color w:val="auto"/>
              </w:rPr>
            </w:pPr>
            <w:r>
              <w:rPr>
                <w:rFonts w:ascii="Arial" w:cs="Arial" w:eastAsia="Arial" w:hAnsi="Arial"/>
                <w:sz w:val="13"/>
                <w:szCs w:val="13"/>
                <w:color w:val="auto"/>
              </w:rPr>
              <w:t>—</w:t>
            </w:r>
          </w:p>
        </w:tc>
        <w:tc>
          <w:tcPr>
            <w:tcW w:w="880" w:type="dxa"/>
            <w:vAlign w:val="bottom"/>
            <w:tcBorders>
              <w:bottom w:val="single" w:sz="8" w:color="959595"/>
            </w:tcBorders>
          </w:tcPr>
          <w:p>
            <w:pPr>
              <w:jc w:val="right"/>
              <w:ind w:right="33"/>
              <w:spacing w:after="0" w:line="142" w:lineRule="exact"/>
              <w:rPr>
                <w:sz w:val="20"/>
                <w:szCs w:val="20"/>
                <w:color w:val="auto"/>
              </w:rPr>
            </w:pPr>
            <w:r>
              <w:rPr>
                <w:rFonts w:ascii="Arial" w:cs="Arial" w:eastAsia="Arial" w:hAnsi="Arial"/>
                <w:sz w:val="13"/>
                <w:szCs w:val="13"/>
                <w:color w:val="auto"/>
              </w:rPr>
              <w:t>9,531</w:t>
            </w:r>
          </w:p>
        </w:tc>
        <w:tc>
          <w:tcPr>
            <w:tcW w:w="1280" w:type="dxa"/>
            <w:vAlign w:val="bottom"/>
            <w:tcBorders>
              <w:bottom w:val="single" w:sz="8" w:color="959595"/>
            </w:tcBorders>
          </w:tcPr>
          <w:p>
            <w:pPr>
              <w:jc w:val="right"/>
              <w:ind w:right="33"/>
              <w:spacing w:after="0" w:line="142" w:lineRule="exact"/>
              <w:rPr>
                <w:sz w:val="20"/>
                <w:szCs w:val="20"/>
                <w:color w:val="auto"/>
              </w:rPr>
            </w:pPr>
            <w:r>
              <w:rPr>
                <w:rFonts w:ascii="Arial" w:cs="Arial" w:eastAsia="Arial" w:hAnsi="Arial"/>
                <w:sz w:val="13"/>
                <w:szCs w:val="13"/>
                <w:color w:val="auto"/>
              </w:rPr>
              <w:t>4,964</w:t>
            </w:r>
          </w:p>
        </w:tc>
        <w:tc>
          <w:tcPr>
            <w:tcW w:w="40" w:type="dxa"/>
            <w:vAlign w:val="bottom"/>
            <w:tcBorders>
              <w:bottom w:val="single" w:sz="8" w:color="959595"/>
            </w:tcBorders>
          </w:tcPr>
          <w:p>
            <w:pPr>
              <w:spacing w:after="0"/>
              <w:rPr>
                <w:sz w:val="12"/>
                <w:szCs w:val="12"/>
                <w:color w:val="auto"/>
              </w:rPr>
            </w:pPr>
          </w:p>
        </w:tc>
        <w:tc>
          <w:tcPr>
            <w:tcW w:w="1220" w:type="dxa"/>
            <w:vAlign w:val="bottom"/>
            <w:tcBorders>
              <w:bottom w:val="single" w:sz="8" w:color="959595"/>
            </w:tcBorders>
          </w:tcPr>
          <w:p>
            <w:pPr>
              <w:jc w:val="right"/>
              <w:spacing w:after="0" w:line="142" w:lineRule="exact"/>
              <w:rPr>
                <w:sz w:val="20"/>
                <w:szCs w:val="20"/>
                <w:color w:val="auto"/>
              </w:rPr>
            </w:pPr>
            <w:r>
              <w:rPr>
                <w:rFonts w:ascii="Arial" w:cs="Arial" w:eastAsia="Arial" w:hAnsi="Arial"/>
                <w:sz w:val="13"/>
                <w:szCs w:val="13"/>
                <w:color w:val="auto"/>
              </w:rPr>
              <w:t>4,854</w:t>
            </w:r>
          </w:p>
        </w:tc>
      </w:tr>
      <w:tr>
        <w:trPr>
          <w:trHeight w:val="125"/>
        </w:trPr>
        <w:tc>
          <w:tcPr>
            <w:tcW w:w="4220" w:type="dxa"/>
            <w:vAlign w:val="bottom"/>
          </w:tcPr>
          <w:p>
            <w:pPr>
              <w:ind w:left="80"/>
              <w:spacing w:after="0" w:line="126" w:lineRule="exact"/>
              <w:rPr>
                <w:sz w:val="20"/>
                <w:szCs w:val="20"/>
                <w:color w:val="auto"/>
              </w:rPr>
            </w:pPr>
            <w:r>
              <w:rPr>
                <w:rFonts w:ascii="Arial" w:cs="Arial" w:eastAsia="Arial" w:hAnsi="Arial"/>
                <w:sz w:val="13"/>
                <w:szCs w:val="13"/>
                <w:b w:val="1"/>
                <w:bCs w:val="1"/>
                <w:color w:val="auto"/>
              </w:rPr>
              <w:t>All non-employee directors</w:t>
            </w:r>
          </w:p>
        </w:tc>
        <w:tc>
          <w:tcPr>
            <w:tcW w:w="880" w:type="dxa"/>
            <w:vAlign w:val="bottom"/>
          </w:tcPr>
          <w:p>
            <w:pPr>
              <w:jc w:val="right"/>
              <w:ind w:right="13"/>
              <w:spacing w:after="0" w:line="126" w:lineRule="exact"/>
              <w:rPr>
                <w:sz w:val="20"/>
                <w:szCs w:val="20"/>
                <w:color w:val="auto"/>
              </w:rPr>
            </w:pPr>
            <w:r>
              <w:rPr>
                <w:rFonts w:ascii="Arial" w:cs="Arial" w:eastAsia="Arial" w:hAnsi="Arial"/>
                <w:sz w:val="13"/>
                <w:szCs w:val="13"/>
                <w:b w:val="1"/>
                <w:bCs w:val="1"/>
                <w:color w:val="auto"/>
              </w:rPr>
              <w:t>642,998</w:t>
            </w:r>
          </w:p>
        </w:tc>
        <w:tc>
          <w:tcPr>
            <w:tcW w:w="800" w:type="dxa"/>
            <w:vAlign w:val="bottom"/>
          </w:tcPr>
          <w:p>
            <w:pPr>
              <w:jc w:val="right"/>
              <w:ind w:right="13"/>
              <w:spacing w:after="0" w:line="126" w:lineRule="exact"/>
              <w:rPr>
                <w:sz w:val="20"/>
                <w:szCs w:val="20"/>
                <w:color w:val="auto"/>
              </w:rPr>
            </w:pPr>
            <w:r>
              <w:rPr>
                <w:rFonts w:ascii="Arial" w:cs="Arial" w:eastAsia="Arial" w:hAnsi="Arial"/>
                <w:sz w:val="13"/>
                <w:szCs w:val="13"/>
                <w:b w:val="1"/>
                <w:bCs w:val="1"/>
                <w:color w:val="auto"/>
              </w:rPr>
              <w:t>455,498</w:t>
            </w:r>
          </w:p>
        </w:tc>
        <w:tc>
          <w:tcPr>
            <w:tcW w:w="880" w:type="dxa"/>
            <w:vAlign w:val="bottom"/>
          </w:tcPr>
          <w:p>
            <w:pPr>
              <w:jc w:val="right"/>
              <w:ind w:right="33"/>
              <w:spacing w:after="0" w:line="126" w:lineRule="exact"/>
              <w:rPr>
                <w:sz w:val="20"/>
                <w:szCs w:val="20"/>
                <w:color w:val="auto"/>
              </w:rPr>
            </w:pPr>
            <w:r>
              <w:rPr>
                <w:rFonts w:ascii="Arial" w:cs="Arial" w:eastAsia="Arial" w:hAnsi="Arial"/>
                <w:sz w:val="13"/>
                <w:szCs w:val="13"/>
                <w:b w:val="1"/>
                <w:bCs w:val="1"/>
                <w:color w:val="auto"/>
              </w:rPr>
              <w:t>—</w:t>
            </w:r>
          </w:p>
        </w:tc>
        <w:tc>
          <w:tcPr>
            <w:tcW w:w="1040" w:type="dxa"/>
            <w:vAlign w:val="bottom"/>
          </w:tcPr>
          <w:p>
            <w:pPr>
              <w:jc w:val="right"/>
              <w:ind w:right="33"/>
              <w:spacing w:after="0" w:line="126" w:lineRule="exact"/>
              <w:rPr>
                <w:sz w:val="20"/>
                <w:szCs w:val="20"/>
                <w:color w:val="auto"/>
              </w:rPr>
            </w:pPr>
            <w:r>
              <w:rPr>
                <w:rFonts w:ascii="Arial" w:cs="Arial" w:eastAsia="Arial" w:hAnsi="Arial"/>
                <w:sz w:val="13"/>
                <w:szCs w:val="13"/>
                <w:b w:val="1"/>
                <w:bCs w:val="1"/>
                <w:color w:val="auto"/>
              </w:rPr>
              <w:t>—</w:t>
            </w:r>
          </w:p>
        </w:tc>
        <w:tc>
          <w:tcPr>
            <w:tcW w:w="880" w:type="dxa"/>
            <w:vAlign w:val="bottom"/>
          </w:tcPr>
          <w:p>
            <w:pPr>
              <w:jc w:val="right"/>
              <w:ind w:right="33"/>
              <w:spacing w:after="0" w:line="126" w:lineRule="exact"/>
              <w:rPr>
                <w:sz w:val="20"/>
                <w:szCs w:val="20"/>
                <w:color w:val="auto"/>
              </w:rPr>
            </w:pPr>
            <w:r>
              <w:rPr>
                <w:rFonts w:ascii="Arial" w:cs="Arial" w:eastAsia="Arial" w:hAnsi="Arial"/>
                <w:sz w:val="13"/>
                <w:szCs w:val="13"/>
                <w:b w:val="1"/>
                <w:bCs w:val="1"/>
                <w:color w:val="auto"/>
              </w:rPr>
              <w:t>750,699</w:t>
            </w:r>
          </w:p>
        </w:tc>
        <w:tc>
          <w:tcPr>
            <w:tcW w:w="1280" w:type="dxa"/>
            <w:vAlign w:val="bottom"/>
          </w:tcPr>
          <w:p>
            <w:pPr>
              <w:jc w:val="right"/>
              <w:ind w:right="33"/>
              <w:spacing w:after="0" w:line="126" w:lineRule="exact"/>
              <w:rPr>
                <w:sz w:val="20"/>
                <w:szCs w:val="20"/>
                <w:color w:val="auto"/>
              </w:rPr>
            </w:pPr>
            <w:r>
              <w:rPr>
                <w:rFonts w:ascii="Arial" w:cs="Arial" w:eastAsia="Arial" w:hAnsi="Arial"/>
                <w:sz w:val="13"/>
                <w:szCs w:val="13"/>
                <w:b w:val="1"/>
                <w:bCs w:val="1"/>
                <w:color w:val="auto"/>
              </w:rPr>
              <w:t>667,966</w:t>
            </w:r>
          </w:p>
        </w:tc>
        <w:tc>
          <w:tcPr>
            <w:tcW w:w="40" w:type="dxa"/>
            <w:vAlign w:val="bottom"/>
          </w:tcPr>
          <w:p>
            <w:pPr>
              <w:spacing w:after="0"/>
              <w:rPr>
                <w:sz w:val="10"/>
                <w:szCs w:val="10"/>
                <w:color w:val="auto"/>
              </w:rPr>
            </w:pPr>
          </w:p>
        </w:tc>
        <w:tc>
          <w:tcPr>
            <w:tcW w:w="1220" w:type="dxa"/>
            <w:vAlign w:val="bottom"/>
          </w:tcPr>
          <w:p>
            <w:pPr>
              <w:jc w:val="right"/>
              <w:spacing w:after="0" w:line="126" w:lineRule="exact"/>
              <w:rPr>
                <w:sz w:val="20"/>
                <w:szCs w:val="20"/>
                <w:color w:val="auto"/>
              </w:rPr>
            </w:pPr>
            <w:r>
              <w:rPr>
                <w:rFonts w:ascii="Arial" w:cs="Arial" w:eastAsia="Arial" w:hAnsi="Arial"/>
                <w:sz w:val="13"/>
                <w:szCs w:val="13"/>
                <w:b w:val="1"/>
                <w:bCs w:val="1"/>
                <w:color w:val="auto"/>
              </w:rPr>
              <w:t>32,517</w:t>
            </w:r>
          </w:p>
        </w:tc>
      </w:tr>
      <w:tr>
        <w:trPr>
          <w:trHeight w:val="165"/>
        </w:trPr>
        <w:tc>
          <w:tcPr>
            <w:tcW w:w="422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auto"/>
              </w:rPr>
              <w:t>(7 persons)</w:t>
            </w:r>
          </w:p>
        </w:tc>
        <w:tc>
          <w:tcPr>
            <w:tcW w:w="880" w:type="dxa"/>
            <w:vAlign w:val="bottom"/>
            <w:tcBorders>
              <w:bottom w:val="single" w:sz="8" w:color="959595"/>
            </w:tcBorders>
          </w:tcPr>
          <w:p>
            <w:pPr>
              <w:spacing w:after="0"/>
              <w:rPr>
                <w:sz w:val="14"/>
                <w:szCs w:val="14"/>
                <w:color w:val="auto"/>
              </w:rPr>
            </w:pPr>
          </w:p>
        </w:tc>
        <w:tc>
          <w:tcPr>
            <w:tcW w:w="800" w:type="dxa"/>
            <w:vAlign w:val="bottom"/>
            <w:tcBorders>
              <w:bottom w:val="single" w:sz="8" w:color="959595"/>
            </w:tcBorders>
          </w:tcPr>
          <w:p>
            <w:pPr>
              <w:spacing w:after="0"/>
              <w:rPr>
                <w:sz w:val="14"/>
                <w:szCs w:val="14"/>
                <w:color w:val="auto"/>
              </w:rPr>
            </w:pPr>
          </w:p>
        </w:tc>
        <w:tc>
          <w:tcPr>
            <w:tcW w:w="880" w:type="dxa"/>
            <w:vAlign w:val="bottom"/>
            <w:tcBorders>
              <w:bottom w:val="single" w:sz="8" w:color="959595"/>
            </w:tcBorders>
          </w:tcPr>
          <w:p>
            <w:pPr>
              <w:spacing w:after="0"/>
              <w:rPr>
                <w:sz w:val="14"/>
                <w:szCs w:val="14"/>
                <w:color w:val="auto"/>
              </w:rPr>
            </w:pPr>
          </w:p>
        </w:tc>
        <w:tc>
          <w:tcPr>
            <w:tcW w:w="1040" w:type="dxa"/>
            <w:vAlign w:val="bottom"/>
            <w:tcBorders>
              <w:bottom w:val="single" w:sz="8" w:color="959595"/>
            </w:tcBorders>
          </w:tcPr>
          <w:p>
            <w:pPr>
              <w:spacing w:after="0"/>
              <w:rPr>
                <w:sz w:val="14"/>
                <w:szCs w:val="14"/>
                <w:color w:val="auto"/>
              </w:rPr>
            </w:pPr>
          </w:p>
        </w:tc>
        <w:tc>
          <w:tcPr>
            <w:tcW w:w="880" w:type="dxa"/>
            <w:vAlign w:val="bottom"/>
            <w:tcBorders>
              <w:bottom w:val="single" w:sz="8" w:color="959595"/>
            </w:tcBorders>
          </w:tcPr>
          <w:p>
            <w:pPr>
              <w:spacing w:after="0"/>
              <w:rPr>
                <w:sz w:val="14"/>
                <w:szCs w:val="14"/>
                <w:color w:val="auto"/>
              </w:rPr>
            </w:pPr>
          </w:p>
        </w:tc>
        <w:tc>
          <w:tcPr>
            <w:tcW w:w="1280" w:type="dxa"/>
            <w:vAlign w:val="bottom"/>
            <w:tcBorders>
              <w:bottom w:val="single" w:sz="8" w:color="959595"/>
            </w:tcBorders>
          </w:tcPr>
          <w:p>
            <w:pPr>
              <w:spacing w:after="0"/>
              <w:rPr>
                <w:sz w:val="14"/>
                <w:szCs w:val="14"/>
                <w:color w:val="auto"/>
              </w:rPr>
            </w:pPr>
          </w:p>
        </w:tc>
        <w:tc>
          <w:tcPr>
            <w:tcW w:w="40" w:type="dxa"/>
            <w:vAlign w:val="bottom"/>
            <w:tcBorders>
              <w:bottom w:val="single" w:sz="8" w:color="959595"/>
            </w:tcBorders>
          </w:tcPr>
          <w:p>
            <w:pPr>
              <w:spacing w:after="0"/>
              <w:rPr>
                <w:sz w:val="14"/>
                <w:szCs w:val="14"/>
                <w:color w:val="auto"/>
              </w:rPr>
            </w:pPr>
          </w:p>
        </w:tc>
        <w:tc>
          <w:tcPr>
            <w:tcW w:w="1220" w:type="dxa"/>
            <w:vAlign w:val="bottom"/>
            <w:tcBorders>
              <w:bottom w:val="single" w:sz="8" w:color="959595"/>
            </w:tcBorders>
          </w:tcPr>
          <w:p>
            <w:pPr>
              <w:spacing w:after="0"/>
              <w:rPr>
                <w:sz w:val="14"/>
                <w:szCs w:val="14"/>
                <w:color w:val="auto"/>
              </w:rPr>
            </w:pPr>
          </w:p>
        </w:tc>
      </w:tr>
      <w:tr>
        <w:trPr>
          <w:trHeight w:val="125"/>
        </w:trPr>
        <w:tc>
          <w:tcPr>
            <w:tcW w:w="4220" w:type="dxa"/>
            <w:vAlign w:val="bottom"/>
          </w:tcPr>
          <w:p>
            <w:pPr>
              <w:ind w:left="80"/>
              <w:spacing w:after="0" w:line="126" w:lineRule="exact"/>
              <w:rPr>
                <w:sz w:val="20"/>
                <w:szCs w:val="20"/>
                <w:color w:val="auto"/>
              </w:rPr>
            </w:pPr>
            <w:r>
              <w:rPr>
                <w:rFonts w:ascii="Arial" w:cs="Arial" w:eastAsia="Arial" w:hAnsi="Arial"/>
                <w:sz w:val="13"/>
                <w:szCs w:val="13"/>
                <w:b w:val="1"/>
                <w:bCs w:val="1"/>
                <w:color w:val="auto"/>
              </w:rPr>
              <w:t>Each other person who has received 5% or more of the options,</w:t>
            </w:r>
          </w:p>
        </w:tc>
        <w:tc>
          <w:tcPr>
            <w:tcW w:w="880" w:type="dxa"/>
            <w:vAlign w:val="bottom"/>
          </w:tcPr>
          <w:p>
            <w:pPr>
              <w:jc w:val="right"/>
              <w:ind w:right="13"/>
              <w:spacing w:after="0" w:line="126" w:lineRule="exact"/>
              <w:rPr>
                <w:sz w:val="20"/>
                <w:szCs w:val="20"/>
                <w:color w:val="auto"/>
              </w:rPr>
            </w:pPr>
            <w:r>
              <w:rPr>
                <w:rFonts w:ascii="Arial" w:cs="Arial" w:eastAsia="Arial" w:hAnsi="Arial"/>
                <w:sz w:val="13"/>
                <w:szCs w:val="13"/>
                <w:b w:val="1"/>
                <w:bCs w:val="1"/>
                <w:color w:val="auto"/>
              </w:rPr>
              <w:t>—</w:t>
            </w:r>
          </w:p>
        </w:tc>
        <w:tc>
          <w:tcPr>
            <w:tcW w:w="800" w:type="dxa"/>
            <w:vAlign w:val="bottom"/>
          </w:tcPr>
          <w:p>
            <w:pPr>
              <w:jc w:val="right"/>
              <w:ind w:right="13"/>
              <w:spacing w:after="0" w:line="126" w:lineRule="exact"/>
              <w:rPr>
                <w:sz w:val="20"/>
                <w:szCs w:val="20"/>
                <w:color w:val="auto"/>
              </w:rPr>
            </w:pPr>
            <w:r>
              <w:rPr>
                <w:rFonts w:ascii="Arial" w:cs="Arial" w:eastAsia="Arial" w:hAnsi="Arial"/>
                <w:sz w:val="13"/>
                <w:szCs w:val="13"/>
                <w:b w:val="1"/>
                <w:bCs w:val="1"/>
                <w:color w:val="auto"/>
              </w:rPr>
              <w:t>—</w:t>
            </w:r>
          </w:p>
        </w:tc>
        <w:tc>
          <w:tcPr>
            <w:tcW w:w="880" w:type="dxa"/>
            <w:vAlign w:val="bottom"/>
          </w:tcPr>
          <w:p>
            <w:pPr>
              <w:jc w:val="right"/>
              <w:ind w:right="33"/>
              <w:spacing w:after="0" w:line="126" w:lineRule="exact"/>
              <w:rPr>
                <w:sz w:val="20"/>
                <w:szCs w:val="20"/>
                <w:color w:val="auto"/>
              </w:rPr>
            </w:pPr>
            <w:r>
              <w:rPr>
                <w:rFonts w:ascii="Arial" w:cs="Arial" w:eastAsia="Arial" w:hAnsi="Arial"/>
                <w:sz w:val="13"/>
                <w:szCs w:val="13"/>
                <w:b w:val="1"/>
                <w:bCs w:val="1"/>
                <w:color w:val="auto"/>
              </w:rPr>
              <w:t>—</w:t>
            </w:r>
          </w:p>
        </w:tc>
        <w:tc>
          <w:tcPr>
            <w:tcW w:w="1040" w:type="dxa"/>
            <w:vAlign w:val="bottom"/>
          </w:tcPr>
          <w:p>
            <w:pPr>
              <w:jc w:val="right"/>
              <w:ind w:right="33"/>
              <w:spacing w:after="0" w:line="126" w:lineRule="exact"/>
              <w:rPr>
                <w:sz w:val="20"/>
                <w:szCs w:val="20"/>
                <w:color w:val="auto"/>
              </w:rPr>
            </w:pPr>
            <w:r>
              <w:rPr>
                <w:rFonts w:ascii="Arial" w:cs="Arial" w:eastAsia="Arial" w:hAnsi="Arial"/>
                <w:sz w:val="13"/>
                <w:szCs w:val="13"/>
                <w:b w:val="1"/>
                <w:bCs w:val="1"/>
                <w:color w:val="auto"/>
              </w:rPr>
              <w:t>—</w:t>
            </w:r>
          </w:p>
        </w:tc>
        <w:tc>
          <w:tcPr>
            <w:tcW w:w="880" w:type="dxa"/>
            <w:vAlign w:val="bottom"/>
          </w:tcPr>
          <w:p>
            <w:pPr>
              <w:jc w:val="right"/>
              <w:ind w:right="33"/>
              <w:spacing w:after="0" w:line="126" w:lineRule="exact"/>
              <w:rPr>
                <w:sz w:val="20"/>
                <w:szCs w:val="20"/>
                <w:color w:val="auto"/>
              </w:rPr>
            </w:pPr>
            <w:r>
              <w:rPr>
                <w:rFonts w:ascii="Arial" w:cs="Arial" w:eastAsia="Arial" w:hAnsi="Arial"/>
                <w:sz w:val="13"/>
                <w:szCs w:val="13"/>
                <w:b w:val="1"/>
                <w:bCs w:val="1"/>
                <w:color w:val="auto"/>
              </w:rPr>
              <w:t>—</w:t>
            </w:r>
          </w:p>
        </w:tc>
        <w:tc>
          <w:tcPr>
            <w:tcW w:w="1320" w:type="dxa"/>
            <w:vAlign w:val="bottom"/>
            <w:gridSpan w:val="2"/>
          </w:tcPr>
          <w:p>
            <w:pPr>
              <w:jc w:val="right"/>
              <w:ind w:right="140"/>
              <w:spacing w:after="0" w:line="126" w:lineRule="exact"/>
              <w:rPr>
                <w:sz w:val="20"/>
                <w:szCs w:val="20"/>
                <w:color w:val="auto"/>
              </w:rPr>
            </w:pPr>
            <w:r>
              <w:rPr>
                <w:rFonts w:ascii="Arial" w:cs="Arial" w:eastAsia="Arial" w:hAnsi="Arial"/>
                <w:sz w:val="13"/>
                <w:szCs w:val="13"/>
                <w:b w:val="1"/>
                <w:bCs w:val="1"/>
                <w:color w:val="auto"/>
              </w:rPr>
              <w:t>—</w:t>
            </w:r>
          </w:p>
        </w:tc>
        <w:tc>
          <w:tcPr>
            <w:tcW w:w="1220" w:type="dxa"/>
            <w:vAlign w:val="bottom"/>
          </w:tcPr>
          <w:p>
            <w:pPr>
              <w:jc w:val="right"/>
              <w:spacing w:after="0" w:line="126" w:lineRule="exact"/>
              <w:rPr>
                <w:sz w:val="20"/>
                <w:szCs w:val="20"/>
                <w:color w:val="auto"/>
              </w:rPr>
            </w:pPr>
            <w:r>
              <w:rPr>
                <w:rFonts w:ascii="Arial" w:cs="Arial" w:eastAsia="Arial" w:hAnsi="Arial"/>
                <w:sz w:val="13"/>
                <w:szCs w:val="13"/>
                <w:b w:val="1"/>
                <w:bCs w:val="1"/>
                <w:color w:val="auto"/>
              </w:rPr>
              <w:t>—</w:t>
            </w:r>
          </w:p>
        </w:tc>
      </w:tr>
      <w:tr>
        <w:trPr>
          <w:trHeight w:val="165"/>
        </w:trPr>
        <w:tc>
          <w:tcPr>
            <w:tcW w:w="422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auto"/>
              </w:rPr>
              <w:t>warrants or rights under our 2017 Performance Incentive Plan</w:t>
            </w:r>
          </w:p>
        </w:tc>
        <w:tc>
          <w:tcPr>
            <w:tcW w:w="880" w:type="dxa"/>
            <w:vAlign w:val="bottom"/>
            <w:tcBorders>
              <w:bottom w:val="single" w:sz="8" w:color="959595"/>
            </w:tcBorders>
          </w:tcPr>
          <w:p>
            <w:pPr>
              <w:spacing w:after="0"/>
              <w:rPr>
                <w:sz w:val="14"/>
                <w:szCs w:val="14"/>
                <w:color w:val="auto"/>
              </w:rPr>
            </w:pPr>
          </w:p>
        </w:tc>
        <w:tc>
          <w:tcPr>
            <w:tcW w:w="800" w:type="dxa"/>
            <w:vAlign w:val="bottom"/>
            <w:tcBorders>
              <w:bottom w:val="single" w:sz="8" w:color="959595"/>
            </w:tcBorders>
          </w:tcPr>
          <w:p>
            <w:pPr>
              <w:spacing w:after="0"/>
              <w:rPr>
                <w:sz w:val="14"/>
                <w:szCs w:val="14"/>
                <w:color w:val="auto"/>
              </w:rPr>
            </w:pPr>
          </w:p>
        </w:tc>
        <w:tc>
          <w:tcPr>
            <w:tcW w:w="880" w:type="dxa"/>
            <w:vAlign w:val="bottom"/>
            <w:tcBorders>
              <w:bottom w:val="single" w:sz="8" w:color="959595"/>
            </w:tcBorders>
          </w:tcPr>
          <w:p>
            <w:pPr>
              <w:spacing w:after="0"/>
              <w:rPr>
                <w:sz w:val="14"/>
                <w:szCs w:val="14"/>
                <w:color w:val="auto"/>
              </w:rPr>
            </w:pPr>
          </w:p>
        </w:tc>
        <w:tc>
          <w:tcPr>
            <w:tcW w:w="1040" w:type="dxa"/>
            <w:vAlign w:val="bottom"/>
            <w:tcBorders>
              <w:bottom w:val="single" w:sz="8" w:color="959595"/>
            </w:tcBorders>
          </w:tcPr>
          <w:p>
            <w:pPr>
              <w:spacing w:after="0"/>
              <w:rPr>
                <w:sz w:val="14"/>
                <w:szCs w:val="14"/>
                <w:color w:val="auto"/>
              </w:rPr>
            </w:pPr>
          </w:p>
        </w:tc>
        <w:tc>
          <w:tcPr>
            <w:tcW w:w="880" w:type="dxa"/>
            <w:vAlign w:val="bottom"/>
            <w:tcBorders>
              <w:bottom w:val="single" w:sz="8" w:color="959595"/>
            </w:tcBorders>
          </w:tcPr>
          <w:p>
            <w:pPr>
              <w:spacing w:after="0"/>
              <w:rPr>
                <w:sz w:val="14"/>
                <w:szCs w:val="14"/>
                <w:color w:val="auto"/>
              </w:rPr>
            </w:pPr>
          </w:p>
        </w:tc>
        <w:tc>
          <w:tcPr>
            <w:tcW w:w="1280" w:type="dxa"/>
            <w:vAlign w:val="bottom"/>
            <w:tcBorders>
              <w:bottom w:val="single" w:sz="8" w:color="959595"/>
            </w:tcBorders>
          </w:tcPr>
          <w:p>
            <w:pPr>
              <w:spacing w:after="0"/>
              <w:rPr>
                <w:sz w:val="14"/>
                <w:szCs w:val="14"/>
                <w:color w:val="auto"/>
              </w:rPr>
            </w:pPr>
          </w:p>
        </w:tc>
        <w:tc>
          <w:tcPr>
            <w:tcW w:w="40" w:type="dxa"/>
            <w:vAlign w:val="bottom"/>
            <w:tcBorders>
              <w:bottom w:val="single" w:sz="8" w:color="959595"/>
            </w:tcBorders>
          </w:tcPr>
          <w:p>
            <w:pPr>
              <w:spacing w:after="0"/>
              <w:rPr>
                <w:sz w:val="14"/>
                <w:szCs w:val="14"/>
                <w:color w:val="auto"/>
              </w:rPr>
            </w:pPr>
          </w:p>
        </w:tc>
        <w:tc>
          <w:tcPr>
            <w:tcW w:w="1220" w:type="dxa"/>
            <w:vAlign w:val="bottom"/>
            <w:tcBorders>
              <w:bottom w:val="single" w:sz="8" w:color="959595"/>
            </w:tcBorders>
          </w:tcPr>
          <w:p>
            <w:pPr>
              <w:spacing w:after="0"/>
              <w:rPr>
                <w:sz w:val="14"/>
                <w:szCs w:val="14"/>
                <w:color w:val="auto"/>
              </w:rPr>
            </w:pPr>
          </w:p>
        </w:tc>
      </w:tr>
      <w:tr>
        <w:trPr>
          <w:trHeight w:val="125"/>
        </w:trPr>
        <w:tc>
          <w:tcPr>
            <w:tcW w:w="4220" w:type="dxa"/>
            <w:vAlign w:val="bottom"/>
          </w:tcPr>
          <w:p>
            <w:pPr>
              <w:ind w:left="80"/>
              <w:spacing w:after="0" w:line="126" w:lineRule="exact"/>
              <w:rPr>
                <w:sz w:val="20"/>
                <w:szCs w:val="20"/>
                <w:color w:val="auto"/>
              </w:rPr>
            </w:pPr>
            <w:r>
              <w:rPr>
                <w:rFonts w:ascii="Arial" w:cs="Arial" w:eastAsia="Arial" w:hAnsi="Arial"/>
                <w:sz w:val="13"/>
                <w:szCs w:val="13"/>
                <w:b w:val="1"/>
                <w:bCs w:val="1"/>
                <w:color w:val="auto"/>
              </w:rPr>
              <w:t>All employees, including all current officers who are not executive</w:t>
            </w:r>
          </w:p>
        </w:tc>
        <w:tc>
          <w:tcPr>
            <w:tcW w:w="880" w:type="dxa"/>
            <w:vAlign w:val="bottom"/>
          </w:tcPr>
          <w:p>
            <w:pPr>
              <w:jc w:val="right"/>
              <w:ind w:right="13"/>
              <w:spacing w:after="0" w:line="126" w:lineRule="exact"/>
              <w:rPr>
                <w:sz w:val="20"/>
                <w:szCs w:val="20"/>
                <w:color w:val="auto"/>
              </w:rPr>
            </w:pPr>
            <w:r>
              <w:rPr>
                <w:rFonts w:ascii="Arial" w:cs="Arial" w:eastAsia="Arial" w:hAnsi="Arial"/>
                <w:sz w:val="13"/>
                <w:szCs w:val="13"/>
                <w:b w:val="1"/>
                <w:bCs w:val="1"/>
                <w:color w:val="auto"/>
              </w:rPr>
              <w:t>26,604,895</w:t>
            </w:r>
          </w:p>
        </w:tc>
        <w:tc>
          <w:tcPr>
            <w:tcW w:w="800" w:type="dxa"/>
            <w:vAlign w:val="bottom"/>
          </w:tcPr>
          <w:p>
            <w:pPr>
              <w:jc w:val="right"/>
              <w:ind w:right="13"/>
              <w:spacing w:after="0" w:line="126" w:lineRule="exact"/>
              <w:rPr>
                <w:sz w:val="20"/>
                <w:szCs w:val="20"/>
                <w:color w:val="auto"/>
              </w:rPr>
            </w:pPr>
            <w:r>
              <w:rPr>
                <w:rFonts w:ascii="Arial" w:cs="Arial" w:eastAsia="Arial" w:hAnsi="Arial"/>
                <w:sz w:val="13"/>
                <w:szCs w:val="13"/>
                <w:b w:val="1"/>
                <w:bCs w:val="1"/>
                <w:color w:val="auto"/>
              </w:rPr>
              <w:t>20,249,333</w:t>
            </w:r>
          </w:p>
        </w:tc>
        <w:tc>
          <w:tcPr>
            <w:tcW w:w="880" w:type="dxa"/>
            <w:vAlign w:val="bottom"/>
          </w:tcPr>
          <w:p>
            <w:pPr>
              <w:jc w:val="right"/>
              <w:ind w:right="33"/>
              <w:spacing w:after="0" w:line="126" w:lineRule="exact"/>
              <w:rPr>
                <w:sz w:val="20"/>
                <w:szCs w:val="20"/>
                <w:color w:val="auto"/>
              </w:rPr>
            </w:pPr>
            <w:r>
              <w:rPr>
                <w:rFonts w:ascii="Arial" w:cs="Arial" w:eastAsia="Arial" w:hAnsi="Arial"/>
                <w:sz w:val="13"/>
                <w:szCs w:val="13"/>
                <w:b w:val="1"/>
                <w:bCs w:val="1"/>
                <w:color w:val="auto"/>
              </w:rPr>
              <w:t>1,628,489</w:t>
            </w:r>
          </w:p>
        </w:tc>
        <w:tc>
          <w:tcPr>
            <w:tcW w:w="1040" w:type="dxa"/>
            <w:vAlign w:val="bottom"/>
          </w:tcPr>
          <w:p>
            <w:pPr>
              <w:jc w:val="right"/>
              <w:ind w:right="33"/>
              <w:spacing w:after="0" w:line="126" w:lineRule="exact"/>
              <w:rPr>
                <w:sz w:val="20"/>
                <w:szCs w:val="20"/>
                <w:color w:val="auto"/>
              </w:rPr>
            </w:pPr>
            <w:r>
              <w:rPr>
                <w:rFonts w:ascii="Arial" w:cs="Arial" w:eastAsia="Arial" w:hAnsi="Arial"/>
                <w:sz w:val="13"/>
                <w:szCs w:val="13"/>
                <w:b w:val="1"/>
                <w:bCs w:val="1"/>
                <w:color w:val="auto"/>
              </w:rPr>
              <w:t>1,269</w:t>
            </w:r>
          </w:p>
        </w:tc>
        <w:tc>
          <w:tcPr>
            <w:tcW w:w="880" w:type="dxa"/>
            <w:vAlign w:val="bottom"/>
          </w:tcPr>
          <w:p>
            <w:pPr>
              <w:jc w:val="right"/>
              <w:ind w:right="33"/>
              <w:spacing w:after="0" w:line="126" w:lineRule="exact"/>
              <w:rPr>
                <w:sz w:val="20"/>
                <w:szCs w:val="20"/>
                <w:color w:val="auto"/>
              </w:rPr>
            </w:pPr>
            <w:r>
              <w:rPr>
                <w:rFonts w:ascii="Arial" w:cs="Arial" w:eastAsia="Arial" w:hAnsi="Arial"/>
                <w:sz w:val="13"/>
                <w:szCs w:val="13"/>
                <w:b w:val="1"/>
                <w:bCs w:val="1"/>
                <w:color w:val="auto"/>
              </w:rPr>
              <w:t>40,659,478</w:t>
            </w:r>
          </w:p>
        </w:tc>
        <w:tc>
          <w:tcPr>
            <w:tcW w:w="1280" w:type="dxa"/>
            <w:vAlign w:val="bottom"/>
          </w:tcPr>
          <w:p>
            <w:pPr>
              <w:jc w:val="right"/>
              <w:ind w:right="33"/>
              <w:spacing w:after="0" w:line="126" w:lineRule="exact"/>
              <w:rPr>
                <w:sz w:val="20"/>
                <w:szCs w:val="20"/>
                <w:color w:val="auto"/>
              </w:rPr>
            </w:pPr>
            <w:r>
              <w:rPr>
                <w:rFonts w:ascii="Arial" w:cs="Arial" w:eastAsia="Arial" w:hAnsi="Arial"/>
                <w:sz w:val="13"/>
                <w:szCs w:val="13"/>
                <w:b w:val="1"/>
                <w:bCs w:val="1"/>
                <w:color w:val="auto"/>
              </w:rPr>
              <w:t>23,856,931</w:t>
            </w:r>
          </w:p>
        </w:tc>
        <w:tc>
          <w:tcPr>
            <w:tcW w:w="40" w:type="dxa"/>
            <w:vAlign w:val="bottom"/>
          </w:tcPr>
          <w:p>
            <w:pPr>
              <w:spacing w:after="0"/>
              <w:rPr>
                <w:sz w:val="10"/>
                <w:szCs w:val="10"/>
                <w:color w:val="auto"/>
              </w:rPr>
            </w:pPr>
          </w:p>
        </w:tc>
        <w:tc>
          <w:tcPr>
            <w:tcW w:w="1220" w:type="dxa"/>
            <w:vAlign w:val="bottom"/>
          </w:tcPr>
          <w:p>
            <w:pPr>
              <w:jc w:val="right"/>
              <w:spacing w:after="0" w:line="126" w:lineRule="exact"/>
              <w:rPr>
                <w:sz w:val="20"/>
                <w:szCs w:val="20"/>
                <w:color w:val="auto"/>
              </w:rPr>
            </w:pPr>
            <w:r>
              <w:rPr>
                <w:rFonts w:ascii="Arial" w:cs="Arial" w:eastAsia="Arial" w:hAnsi="Arial"/>
                <w:sz w:val="13"/>
                <w:szCs w:val="13"/>
                <w:b w:val="1"/>
                <w:bCs w:val="1"/>
                <w:color w:val="auto"/>
              </w:rPr>
              <w:t>14,580,755</w:t>
            </w:r>
          </w:p>
        </w:tc>
      </w:tr>
      <w:tr>
        <w:trPr>
          <w:trHeight w:val="165"/>
        </w:trPr>
        <w:tc>
          <w:tcPr>
            <w:tcW w:w="422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auto"/>
              </w:rPr>
              <w:t>officers or directors, as a group</w:t>
            </w:r>
          </w:p>
        </w:tc>
        <w:tc>
          <w:tcPr>
            <w:tcW w:w="880" w:type="dxa"/>
            <w:vAlign w:val="bottom"/>
            <w:tcBorders>
              <w:bottom w:val="single" w:sz="8" w:color="959595"/>
            </w:tcBorders>
          </w:tcPr>
          <w:p>
            <w:pPr>
              <w:spacing w:after="0"/>
              <w:rPr>
                <w:sz w:val="14"/>
                <w:szCs w:val="14"/>
                <w:color w:val="auto"/>
              </w:rPr>
            </w:pPr>
          </w:p>
        </w:tc>
        <w:tc>
          <w:tcPr>
            <w:tcW w:w="800" w:type="dxa"/>
            <w:vAlign w:val="bottom"/>
            <w:tcBorders>
              <w:bottom w:val="single" w:sz="8" w:color="959595"/>
            </w:tcBorders>
          </w:tcPr>
          <w:p>
            <w:pPr>
              <w:spacing w:after="0"/>
              <w:rPr>
                <w:sz w:val="14"/>
                <w:szCs w:val="14"/>
                <w:color w:val="auto"/>
              </w:rPr>
            </w:pPr>
          </w:p>
        </w:tc>
        <w:tc>
          <w:tcPr>
            <w:tcW w:w="880" w:type="dxa"/>
            <w:vAlign w:val="bottom"/>
            <w:tcBorders>
              <w:bottom w:val="single" w:sz="8" w:color="959595"/>
            </w:tcBorders>
          </w:tcPr>
          <w:p>
            <w:pPr>
              <w:spacing w:after="0"/>
              <w:rPr>
                <w:sz w:val="14"/>
                <w:szCs w:val="14"/>
                <w:color w:val="auto"/>
              </w:rPr>
            </w:pPr>
          </w:p>
        </w:tc>
        <w:tc>
          <w:tcPr>
            <w:tcW w:w="1040" w:type="dxa"/>
            <w:vAlign w:val="bottom"/>
            <w:tcBorders>
              <w:bottom w:val="single" w:sz="8" w:color="959595"/>
            </w:tcBorders>
          </w:tcPr>
          <w:p>
            <w:pPr>
              <w:spacing w:after="0"/>
              <w:rPr>
                <w:sz w:val="14"/>
                <w:szCs w:val="14"/>
                <w:color w:val="auto"/>
              </w:rPr>
            </w:pPr>
          </w:p>
        </w:tc>
        <w:tc>
          <w:tcPr>
            <w:tcW w:w="880" w:type="dxa"/>
            <w:vAlign w:val="bottom"/>
            <w:tcBorders>
              <w:bottom w:val="single" w:sz="8" w:color="959595"/>
            </w:tcBorders>
          </w:tcPr>
          <w:p>
            <w:pPr>
              <w:spacing w:after="0"/>
              <w:rPr>
                <w:sz w:val="14"/>
                <w:szCs w:val="14"/>
                <w:color w:val="auto"/>
              </w:rPr>
            </w:pPr>
          </w:p>
        </w:tc>
        <w:tc>
          <w:tcPr>
            <w:tcW w:w="1280" w:type="dxa"/>
            <w:vAlign w:val="bottom"/>
            <w:tcBorders>
              <w:bottom w:val="single" w:sz="8" w:color="959595"/>
            </w:tcBorders>
          </w:tcPr>
          <w:p>
            <w:pPr>
              <w:spacing w:after="0"/>
              <w:rPr>
                <w:sz w:val="14"/>
                <w:szCs w:val="14"/>
                <w:color w:val="auto"/>
              </w:rPr>
            </w:pPr>
          </w:p>
        </w:tc>
        <w:tc>
          <w:tcPr>
            <w:tcW w:w="40" w:type="dxa"/>
            <w:vAlign w:val="bottom"/>
            <w:tcBorders>
              <w:bottom w:val="single" w:sz="8" w:color="959595"/>
            </w:tcBorders>
          </w:tcPr>
          <w:p>
            <w:pPr>
              <w:spacing w:after="0"/>
              <w:rPr>
                <w:sz w:val="14"/>
                <w:szCs w:val="14"/>
                <w:color w:val="auto"/>
              </w:rPr>
            </w:pPr>
          </w:p>
        </w:tc>
        <w:tc>
          <w:tcPr>
            <w:tcW w:w="1220" w:type="dxa"/>
            <w:vAlign w:val="bottom"/>
            <w:tcBorders>
              <w:bottom w:val="single" w:sz="8" w:color="959595"/>
            </w:tcBorders>
          </w:tcPr>
          <w:p>
            <w:pPr>
              <w:spacing w:after="0"/>
              <w:rPr>
                <w:sz w:val="14"/>
                <w:szCs w:val="14"/>
                <w:color w:val="auto"/>
              </w:rPr>
            </w:pPr>
          </w:p>
        </w:tc>
      </w:tr>
    </w:tbl>
    <w:p>
      <w:pPr>
        <w:spacing w:after="0" w:line="107" w:lineRule="exact"/>
        <w:rPr>
          <w:sz w:val="20"/>
          <w:szCs w:val="20"/>
          <w:color w:val="auto"/>
        </w:rPr>
      </w:pPr>
    </w:p>
    <w:p>
      <w:pPr>
        <w:ind w:left="300" w:right="40" w:hanging="292"/>
        <w:spacing w:after="0" w:line="243" w:lineRule="auto"/>
        <w:tabs>
          <w:tab w:leader="none" w:pos="300" w:val="left"/>
        </w:tabs>
        <w:numPr>
          <w:ilvl w:val="0"/>
          <w:numId w:val="239"/>
        </w:numPr>
        <w:rPr>
          <w:rFonts w:ascii="Arial" w:cs="Arial" w:eastAsia="Arial" w:hAnsi="Arial"/>
          <w:sz w:val="11"/>
          <w:szCs w:val="11"/>
          <w:color w:val="auto"/>
        </w:rPr>
      </w:pPr>
      <w:r>
        <w:rPr>
          <w:rFonts w:ascii="Arial" w:cs="Arial" w:eastAsia="Arial" w:hAnsi="Arial"/>
          <w:sz w:val="13"/>
          <w:szCs w:val="13"/>
          <w:color w:val="auto"/>
        </w:rPr>
        <w:t>Amounts presented in the past grants column of the table above take PSU awards into account at the time of grant based on the applicable target level of performance. The number of shares or stock units vested or unvested as of September 4, 2020 in the table above is presented taking PSU awards into account based on the number of stock units actually credited based on performance as to completed performance periods and, as to awards that remain subject to performance-based vesting conditions, based on the applicable target level of performance. Amounts presented in the table above include dividend equivalents credited through September 4, 2020, with fractional dividend equivalents rounded to the nearest whole share.</w:t>
      </w:r>
    </w:p>
    <w:p>
      <w:pPr>
        <w:spacing w:after="0" w:line="353" w:lineRule="exact"/>
        <w:rPr>
          <w:sz w:val="20"/>
          <w:szCs w:val="20"/>
          <w:color w:val="auto"/>
        </w:rPr>
      </w:pPr>
    </w:p>
    <w:p>
      <w:pPr>
        <w:spacing w:after="0"/>
        <w:rPr>
          <w:sz w:val="20"/>
          <w:szCs w:val="20"/>
          <w:color w:val="auto"/>
        </w:rPr>
      </w:pPr>
      <w:r>
        <w:rPr>
          <w:rFonts w:ascii="Arial" w:cs="Arial" w:eastAsia="Arial" w:hAnsi="Arial"/>
          <w:sz w:val="13"/>
          <w:szCs w:val="13"/>
          <w:color w:val="auto"/>
        </w:rPr>
        <w:t>Mr. Goeckeler and each of the non-employee directors identified in the table above is a nominee for re-election as a director at the Annual Meeting.</w:t>
      </w:r>
    </w:p>
    <w:p>
      <w:pPr>
        <w:spacing w:after="0" w:line="197" w:lineRule="exact"/>
        <w:rPr>
          <w:sz w:val="20"/>
          <w:szCs w:val="20"/>
          <w:color w:val="auto"/>
        </w:rPr>
      </w:pPr>
    </w:p>
    <w:p>
      <w:pPr>
        <w:ind w:left="9060"/>
        <w:spacing w:after="0"/>
        <w:tabs>
          <w:tab w:leader="none" w:pos="10920" w:val="left"/>
        </w:tabs>
        <w:rPr>
          <w:sz w:val="20"/>
          <w:szCs w:val="20"/>
          <w:color w:val="auto"/>
        </w:rPr>
      </w:pPr>
      <w:r>
        <w:rPr>
          <w:rFonts w:ascii="Arial" w:cs="Arial" w:eastAsia="Arial" w:hAnsi="Arial"/>
          <w:sz w:val="13"/>
          <w:szCs w:val="13"/>
          <w:color w:val="23628F"/>
        </w:rPr>
        <w:t>2020 PROXY STATEMENT</w:t>
      </w:r>
      <w:r>
        <w:rPr>
          <w:sz w:val="20"/>
          <w:szCs w:val="20"/>
          <w:color w:val="auto"/>
        </w:rPr>
        <w:tab/>
      </w:r>
      <w:r>
        <w:rPr>
          <w:rFonts w:ascii="Arial" w:cs="Arial" w:eastAsia="Arial" w:hAnsi="Arial"/>
          <w:sz w:val="16"/>
          <w:szCs w:val="16"/>
          <w:b w:val="1"/>
          <w:bCs w:val="1"/>
          <w:color w:val="23628F"/>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153275" cy="215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23628F"/>
        </w:rPr>
        <w:t>EQUITY PLAN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234440" cy="6858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34440" cy="68580"/>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STOCKHOLDER APPROVAL REQUIREMENT</w:t>
      </w:r>
    </w:p>
    <w:p>
      <w:pPr>
        <w:spacing w:after="0" w:line="252" w:lineRule="exact"/>
        <w:rPr>
          <w:sz w:val="20"/>
          <w:szCs w:val="20"/>
          <w:color w:val="auto"/>
        </w:rPr>
      </w:pPr>
    </w:p>
    <w:p>
      <w:pPr>
        <w:ind w:right="320"/>
        <w:spacing w:after="0" w:line="245" w:lineRule="auto"/>
        <w:rPr>
          <w:sz w:val="20"/>
          <w:szCs w:val="20"/>
          <w:color w:val="auto"/>
        </w:rPr>
      </w:pPr>
      <w:r>
        <w:rPr>
          <w:rFonts w:ascii="Arial" w:cs="Arial" w:eastAsia="Arial" w:hAnsi="Arial"/>
          <w:sz w:val="13"/>
          <w:szCs w:val="13"/>
          <w:color w:val="auto"/>
        </w:rPr>
        <w:t>The provisions of the amended and restated version of our 2017 Performance Incentive Plan will become effective upon stockholder approval of this Proposal 3 at the Annual Meeting. Unless and until our stockholders approve the amended and restated version of our 2017 Performance Incentive Plan, we will continue to grant awards under the terms of our 2017 Performance Incentive Plan, as approved by our stockholders and effective as of August 7, 2019, and from the shares currently available for issuance under our 2017 Performance Incentive Plan, without regard to the amendment and restatement being proposed in this Proposal 3.</w:t>
      </w:r>
    </w:p>
    <w:p>
      <w:pPr>
        <w:spacing w:after="0" w:line="200" w:lineRule="exact"/>
        <w:rPr>
          <w:sz w:val="20"/>
          <w:szCs w:val="20"/>
          <w:color w:val="auto"/>
        </w:rPr>
      </w:pPr>
    </w:p>
    <w:p>
      <w:pPr>
        <w:spacing w:after="0" w:line="245" w:lineRule="auto"/>
        <w:rPr>
          <w:sz w:val="20"/>
          <w:szCs w:val="20"/>
          <w:color w:val="auto"/>
        </w:rPr>
      </w:pPr>
      <w:r>
        <w:rPr>
          <w:rFonts w:ascii="Arial" w:cs="Arial" w:eastAsia="Arial" w:hAnsi="Arial"/>
          <w:sz w:val="13"/>
          <w:szCs w:val="13"/>
          <w:color w:val="auto"/>
        </w:rPr>
        <w:t>Our Board of Directors approved the additional share authority requested under our amended and restated 2017 Performance Incentive Plan based on a belief that the number of shares currently available under our 2017 Performance Incentive Plan does not give us sufficient flexibility to adequately provide for future incentives based on current grant practices and the price of our common stock. If stockholders do not approve this Proposal 3, however, we will continue to have the authority to grant awards under the existing terms of our 2017 Performance Incentive Plan.</w:t>
      </w:r>
    </w:p>
    <w:p>
      <w:pPr>
        <w:spacing w:after="0" w:line="322" w:lineRule="exact"/>
        <w:rPr>
          <w:sz w:val="20"/>
          <w:szCs w:val="20"/>
          <w:color w:val="auto"/>
        </w:rPr>
      </w:pPr>
    </w:p>
    <w:p>
      <w:pPr>
        <w:spacing w:after="0"/>
        <w:rPr>
          <w:sz w:val="20"/>
          <w:szCs w:val="20"/>
          <w:color w:val="auto"/>
        </w:rPr>
      </w:pPr>
      <w:r>
        <w:rPr>
          <w:rFonts w:ascii="Arial" w:cs="Arial" w:eastAsia="Arial" w:hAnsi="Arial"/>
          <w:sz w:val="31"/>
          <w:szCs w:val="31"/>
          <w:b w:val="1"/>
          <w:bCs w:val="1"/>
          <w:color w:val="567EA5"/>
        </w:rPr>
        <w:t>BOARD RECOMMENDATION AND VOTE REQUIRED FOR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1234440" cy="6858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34440" cy="68580"/>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BOARD RECOMMENDATION</w:t>
      </w:r>
    </w:p>
    <w:p>
      <w:pPr>
        <w:spacing w:after="0" w:line="2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Our Board of Directors recommends a vote </w:t>
      </w:r>
      <w:r>
        <w:rPr>
          <w:rFonts w:ascii="Arial" w:cs="Arial" w:eastAsia="Arial" w:hAnsi="Arial"/>
          <w:sz w:val="13"/>
          <w:szCs w:val="13"/>
          <w:b w:val="1"/>
          <w:bCs w:val="1"/>
          <w:color w:val="61C4AF"/>
        </w:rPr>
        <w:t>FOR</w:t>
      </w:r>
      <w:r>
        <w:rPr>
          <w:rFonts w:ascii="Arial" w:cs="Arial" w:eastAsia="Arial" w:hAnsi="Arial"/>
          <w:sz w:val="13"/>
          <w:szCs w:val="13"/>
          <w:color w:val="auto"/>
        </w:rPr>
        <w:t xml:space="preserve"> this Proposal 3 to approve the amendment and restatement of our 2017 Performance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1234440" cy="6858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34440" cy="68580"/>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VOTE REQUIRED FOR APPROVAL</w:t>
      </w:r>
    </w:p>
    <w:p>
      <w:pPr>
        <w:spacing w:after="0" w:line="252" w:lineRule="exact"/>
        <w:rPr>
          <w:sz w:val="20"/>
          <w:szCs w:val="20"/>
          <w:color w:val="auto"/>
        </w:rPr>
      </w:pPr>
    </w:p>
    <w:p>
      <w:pPr>
        <w:ind w:right="20"/>
        <w:spacing w:after="0" w:line="258" w:lineRule="auto"/>
        <w:rPr>
          <w:sz w:val="20"/>
          <w:szCs w:val="20"/>
          <w:color w:val="auto"/>
        </w:rPr>
      </w:pPr>
      <w:r>
        <w:rPr>
          <w:rFonts w:ascii="Arial" w:cs="Arial" w:eastAsia="Arial" w:hAnsi="Arial"/>
          <w:sz w:val="13"/>
          <w:szCs w:val="13"/>
          <w:color w:val="auto"/>
        </w:rPr>
        <w:t>The affirmative vote of a majority of the shares of our common stock represented in person or by proxy at the Annual Meeting and entitled to vote on this Proposal 3 is required for approval of the amendment and restatement of our 2017 Performance Incentive Plan.</w:t>
      </w:r>
    </w:p>
    <w:p>
      <w:pPr>
        <w:spacing w:after="0" w:line="192" w:lineRule="exact"/>
        <w:rPr>
          <w:sz w:val="20"/>
          <w:szCs w:val="20"/>
          <w:color w:val="auto"/>
        </w:rPr>
      </w:pPr>
    </w:p>
    <w:p>
      <w:pPr>
        <w:ind w:right="280"/>
        <w:spacing w:after="0" w:line="258" w:lineRule="auto"/>
        <w:rPr>
          <w:sz w:val="20"/>
          <w:szCs w:val="20"/>
          <w:color w:val="auto"/>
        </w:rPr>
      </w:pPr>
      <w:r>
        <w:rPr>
          <w:rFonts w:ascii="Arial" w:cs="Arial" w:eastAsia="Arial" w:hAnsi="Arial"/>
          <w:sz w:val="13"/>
          <w:szCs w:val="13"/>
          <w:color w:val="auto"/>
        </w:rPr>
        <w:t>Our Board of Directors believes that the proposed amendment and restatement of our 2017 Performance Incentive Plan will promote our interests and our stockholders and will help us continue to be able to attract, retain and reward persons important to our success.</w:t>
      </w:r>
    </w:p>
    <w:p>
      <w:pPr>
        <w:spacing w:after="0" w:line="192" w:lineRule="exact"/>
        <w:rPr>
          <w:sz w:val="20"/>
          <w:szCs w:val="20"/>
          <w:color w:val="auto"/>
        </w:rPr>
      </w:pPr>
    </w:p>
    <w:p>
      <w:pPr>
        <w:ind w:right="100"/>
        <w:spacing w:after="0" w:line="258" w:lineRule="auto"/>
        <w:rPr>
          <w:sz w:val="20"/>
          <w:szCs w:val="20"/>
          <w:color w:val="auto"/>
        </w:rPr>
      </w:pPr>
      <w:r>
        <w:rPr>
          <w:rFonts w:ascii="Arial" w:cs="Arial" w:eastAsia="Arial" w:hAnsi="Arial"/>
          <w:sz w:val="13"/>
          <w:szCs w:val="13"/>
          <w:color w:val="auto"/>
        </w:rPr>
        <w:t>All members of our Board of Directors and all of our executive officers are eligible for awards under our 2017 Performance Incentive Plan and thus have a personal interest in the approval of the amendment and restatement of our 2017 Performance Incentive Plan.</w:t>
      </w:r>
    </w:p>
    <w:p>
      <w:pPr>
        <w:spacing w:after="0" w:line="187" w:lineRule="exact"/>
        <w:rPr>
          <w:sz w:val="20"/>
          <w:szCs w:val="20"/>
          <w:color w:val="auto"/>
        </w:rPr>
      </w:pPr>
    </w:p>
    <w:p>
      <w:pPr>
        <w:ind w:left="540" w:hanging="532"/>
        <w:spacing w:after="0"/>
        <w:tabs>
          <w:tab w:leader="none" w:pos="540" w:val="left"/>
        </w:tabs>
        <w:numPr>
          <w:ilvl w:val="0"/>
          <w:numId w:val="240"/>
        </w:numPr>
        <w:rPr>
          <w:rFonts w:ascii="Arial" w:cs="Arial" w:eastAsia="Arial" w:hAnsi="Arial"/>
          <w:sz w:val="18"/>
          <w:szCs w:val="18"/>
          <w:b w:val="1"/>
          <w:bCs w:val="1"/>
          <w:color w:val="23628F"/>
        </w:rPr>
      </w:pPr>
      <w:r>
        <w:rPr>
          <w:rFonts w:ascii="Arial" w:cs="Arial" w:eastAsia="Arial" w:hAnsi="Arial"/>
          <w:sz w:val="13"/>
          <w:szCs w:val="13"/>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153275" cy="215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Arial" w:cs="Arial" w:eastAsia="Arial" w:hAnsi="Arial"/>
          <w:sz w:val="50"/>
          <w:szCs w:val="50"/>
          <w:b w:val="1"/>
          <w:bCs w:val="1"/>
          <w:color w:val="23628F"/>
        </w:rPr>
        <w:t>Audit Committee Matters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412"/>
        </w:trPr>
        <w:tc>
          <w:tcPr>
            <w:tcW w:w="2280" w:type="dxa"/>
            <w:vAlign w:val="bottom"/>
            <w:shd w:val="clear" w:color="auto" w:fill="23628F"/>
          </w:tcPr>
          <w:p>
            <w:pPr>
              <w:ind w:left="280"/>
              <w:spacing w:after="0"/>
              <w:rPr>
                <w:sz w:val="20"/>
                <w:szCs w:val="20"/>
                <w:color w:val="auto"/>
              </w:rPr>
            </w:pPr>
            <w:r>
              <w:rPr>
                <w:rFonts w:ascii="Arial" w:cs="Arial" w:eastAsia="Arial" w:hAnsi="Arial"/>
                <w:sz w:val="29"/>
                <w:szCs w:val="29"/>
                <w:b w:val="1"/>
                <w:bCs w:val="1"/>
                <w:color w:val="FFFFFF"/>
              </w:rPr>
              <w:t>PROPOSAL 4</w:t>
            </w:r>
          </w:p>
        </w:tc>
        <w:tc>
          <w:tcPr>
            <w:tcW w:w="8960" w:type="dxa"/>
            <w:vAlign w:val="bottom"/>
            <w:shd w:val="clear" w:color="auto" w:fill="23628F"/>
          </w:tcPr>
          <w:p>
            <w:pPr>
              <w:ind w:left="140"/>
              <w:spacing w:after="0"/>
              <w:rPr>
                <w:sz w:val="20"/>
                <w:szCs w:val="20"/>
                <w:color w:val="auto"/>
              </w:rPr>
            </w:pPr>
            <w:r>
              <w:rPr>
                <w:rFonts w:ascii="Arial" w:cs="Arial" w:eastAsia="Arial" w:hAnsi="Arial"/>
                <w:sz w:val="22"/>
                <w:szCs w:val="22"/>
                <w:b w:val="1"/>
                <w:bCs w:val="1"/>
                <w:color w:val="FFFFFF"/>
              </w:rPr>
              <w:t>RATIFICATION OF APPOINTMENT OF OUR INDEPENDENT REGISTERED PUBLIC</w:t>
            </w:r>
          </w:p>
        </w:tc>
      </w:tr>
      <w:tr>
        <w:trPr>
          <w:trHeight w:val="285"/>
        </w:trPr>
        <w:tc>
          <w:tcPr>
            <w:tcW w:w="2280" w:type="dxa"/>
            <w:vAlign w:val="bottom"/>
            <w:shd w:val="clear" w:color="auto" w:fill="23628F"/>
          </w:tcPr>
          <w:p>
            <w:pPr>
              <w:spacing w:after="0"/>
              <w:rPr>
                <w:sz w:val="24"/>
                <w:szCs w:val="24"/>
                <w:color w:val="auto"/>
              </w:rPr>
            </w:pPr>
          </w:p>
        </w:tc>
        <w:tc>
          <w:tcPr>
            <w:tcW w:w="8960" w:type="dxa"/>
            <w:vAlign w:val="bottom"/>
            <w:shd w:val="clear" w:color="auto" w:fill="23628F"/>
          </w:tcPr>
          <w:p>
            <w:pPr>
              <w:ind w:left="140"/>
              <w:spacing w:after="0"/>
              <w:rPr>
                <w:sz w:val="20"/>
                <w:szCs w:val="20"/>
                <w:color w:val="auto"/>
              </w:rPr>
            </w:pPr>
            <w:r>
              <w:rPr>
                <w:rFonts w:ascii="Arial" w:cs="Arial" w:eastAsia="Arial" w:hAnsi="Arial"/>
                <w:sz w:val="22"/>
                <w:szCs w:val="22"/>
                <w:b w:val="1"/>
                <w:bCs w:val="1"/>
                <w:color w:val="FFFFFF"/>
              </w:rPr>
              <w:t>ACCOUNTING FIRM</w:t>
            </w:r>
          </w:p>
        </w:tc>
      </w:tr>
      <w:tr>
        <w:trPr>
          <w:trHeight w:val="72"/>
        </w:trPr>
        <w:tc>
          <w:tcPr>
            <w:tcW w:w="2280" w:type="dxa"/>
            <w:vAlign w:val="bottom"/>
            <w:shd w:val="clear" w:color="auto" w:fill="23628F"/>
          </w:tcPr>
          <w:p>
            <w:pPr>
              <w:spacing w:after="0"/>
              <w:rPr>
                <w:sz w:val="6"/>
                <w:szCs w:val="6"/>
                <w:color w:val="auto"/>
              </w:rPr>
            </w:pPr>
          </w:p>
        </w:tc>
        <w:tc>
          <w:tcPr>
            <w:tcW w:w="8960" w:type="dxa"/>
            <w:vAlign w:val="bottom"/>
            <w:shd w:val="clear" w:color="auto" w:fill="23628F"/>
          </w:tcPr>
          <w:p>
            <w:pPr>
              <w:spacing w:after="0"/>
              <w:rPr>
                <w:sz w:val="6"/>
                <w:szCs w:val="6"/>
                <w:color w:val="auto"/>
              </w:rPr>
            </w:pPr>
          </w:p>
        </w:tc>
      </w:tr>
      <w:tr>
        <w:trPr>
          <w:trHeight w:val="216"/>
        </w:trPr>
        <w:tc>
          <w:tcPr>
            <w:tcW w:w="2280" w:type="dxa"/>
            <w:vAlign w:val="bottom"/>
            <w:shd w:val="clear" w:color="auto" w:fill="6AC0AE"/>
          </w:tcPr>
          <w:p>
            <w:pPr>
              <w:spacing w:after="0"/>
              <w:rPr>
                <w:sz w:val="18"/>
                <w:szCs w:val="18"/>
                <w:color w:val="auto"/>
              </w:rPr>
            </w:pPr>
          </w:p>
        </w:tc>
        <w:tc>
          <w:tcPr>
            <w:tcW w:w="8960" w:type="dxa"/>
            <w:vAlign w:val="bottom"/>
            <w:shd w:val="clear" w:color="auto" w:fill="6AC0AE"/>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385445" cy="3771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385445" cy="377190"/>
                    </a:xfrm>
                    <a:prstGeom prst="rect">
                      <a:avLst/>
                    </a:prstGeom>
                    <a:noFill/>
                  </pic:spPr>
                </pic:pic>
              </a:graphicData>
            </a:graphic>
          </wp:anchor>
        </w:drawing>
      </w:r>
    </w:p>
    <w:p>
      <w:pPr>
        <w:spacing w:after="0" w:line="314" w:lineRule="exact"/>
        <w:rPr>
          <w:sz w:val="20"/>
          <w:szCs w:val="20"/>
          <w:color w:val="auto"/>
        </w:rPr>
      </w:pPr>
    </w:p>
    <w:p>
      <w:pPr>
        <w:ind w:left="720"/>
        <w:spacing w:after="0"/>
        <w:rPr>
          <w:sz w:val="20"/>
          <w:szCs w:val="20"/>
          <w:color w:val="auto"/>
        </w:rPr>
      </w:pPr>
      <w:r>
        <w:rPr>
          <w:rFonts w:ascii="Arial" w:cs="Arial" w:eastAsia="Arial" w:hAnsi="Arial"/>
          <w:sz w:val="13"/>
          <w:szCs w:val="13"/>
          <w:color w:val="auto"/>
        </w:rPr>
        <w:t xml:space="preserve">Our Board of Directors recommends a vote </w:t>
      </w:r>
      <w:r>
        <w:rPr>
          <w:rFonts w:ascii="Arial" w:cs="Arial" w:eastAsia="Arial" w:hAnsi="Arial"/>
          <w:sz w:val="13"/>
          <w:szCs w:val="13"/>
          <w:b w:val="1"/>
          <w:bCs w:val="1"/>
          <w:color w:val="61C4AF"/>
        </w:rPr>
        <w:t>FOR</w:t>
      </w:r>
      <w:r>
        <w:rPr>
          <w:rFonts w:ascii="Arial" w:cs="Arial" w:eastAsia="Arial" w:hAnsi="Arial"/>
          <w:sz w:val="13"/>
          <w:szCs w:val="13"/>
          <w:color w:val="auto"/>
        </w:rPr>
        <w:t xml:space="preserve"> the appointment of KPMG LLP as our independent registered public accounting firm for fiscal 2021</w:t>
      </w:r>
    </w:p>
    <w:p>
      <w:pPr>
        <w:spacing w:after="0" w:line="200" w:lineRule="exact"/>
        <w:rPr>
          <w:sz w:val="20"/>
          <w:szCs w:val="20"/>
          <w:color w:val="auto"/>
        </w:rPr>
      </w:pPr>
    </w:p>
    <w:p>
      <w:pPr>
        <w:spacing w:after="0" w:line="261" w:lineRule="exact"/>
        <w:rPr>
          <w:sz w:val="20"/>
          <w:szCs w:val="20"/>
          <w:color w:val="auto"/>
        </w:rPr>
      </w:pPr>
    </w:p>
    <w:p>
      <w:pPr>
        <w:ind w:left="240" w:hanging="232"/>
        <w:spacing w:after="0"/>
        <w:tabs>
          <w:tab w:leader="none" w:pos="240" w:val="left"/>
        </w:tabs>
        <w:numPr>
          <w:ilvl w:val="0"/>
          <w:numId w:val="241"/>
        </w:numPr>
        <w:rPr>
          <w:rFonts w:ascii="Arial" w:cs="Arial" w:eastAsia="Arial" w:hAnsi="Arial"/>
          <w:sz w:val="13"/>
          <w:szCs w:val="13"/>
          <w:color w:val="61C4AF"/>
        </w:rPr>
      </w:pPr>
      <w:r>
        <w:rPr>
          <w:rFonts w:ascii="Arial" w:cs="Arial" w:eastAsia="Arial" w:hAnsi="Arial"/>
          <w:sz w:val="13"/>
          <w:szCs w:val="13"/>
          <w:color w:val="auto"/>
        </w:rPr>
        <w:t>Although not required, our Board has elected to seek stockholder ratification of the Audit Committee’s appointment of KPMG LLP as our independent registered public accounting firm</w:t>
      </w:r>
    </w:p>
    <w:p>
      <w:pPr>
        <w:spacing w:after="0" w:line="107" w:lineRule="exact"/>
        <w:rPr>
          <w:rFonts w:ascii="Arial" w:cs="Arial" w:eastAsia="Arial" w:hAnsi="Arial"/>
          <w:sz w:val="13"/>
          <w:szCs w:val="13"/>
          <w:color w:val="61C4AF"/>
        </w:rPr>
      </w:pPr>
    </w:p>
    <w:p>
      <w:pPr>
        <w:ind w:left="240" w:right="40" w:hanging="232"/>
        <w:spacing w:after="0" w:line="258" w:lineRule="auto"/>
        <w:tabs>
          <w:tab w:leader="none" w:pos="240" w:val="left"/>
        </w:tabs>
        <w:numPr>
          <w:ilvl w:val="0"/>
          <w:numId w:val="241"/>
        </w:numPr>
        <w:rPr>
          <w:rFonts w:ascii="Arial" w:cs="Arial" w:eastAsia="Arial" w:hAnsi="Arial"/>
          <w:sz w:val="13"/>
          <w:szCs w:val="13"/>
          <w:color w:val="61C4AF"/>
        </w:rPr>
      </w:pPr>
      <w:r>
        <w:rPr>
          <w:rFonts w:ascii="Arial" w:cs="Arial" w:eastAsia="Arial" w:hAnsi="Arial"/>
          <w:sz w:val="13"/>
          <w:szCs w:val="13"/>
          <w:color w:val="auto"/>
        </w:rPr>
        <w:t>If the selection is not ratified, the Audit Committee will reconsider its appointment of KPMG LLP and will either continue to retain this firm or appoint a new independent registered public accounting firm</w:t>
      </w:r>
    </w:p>
    <w:p>
      <w:pPr>
        <w:spacing w:after="0" w:line="83" w:lineRule="exact"/>
        <w:rPr>
          <w:rFonts w:ascii="Arial" w:cs="Arial" w:eastAsia="Arial" w:hAnsi="Arial"/>
          <w:sz w:val="13"/>
          <w:szCs w:val="13"/>
          <w:color w:val="61C4AF"/>
        </w:rPr>
      </w:pPr>
    </w:p>
    <w:p>
      <w:pPr>
        <w:ind w:left="240" w:right="20" w:hanging="232"/>
        <w:spacing w:after="0" w:line="258" w:lineRule="auto"/>
        <w:tabs>
          <w:tab w:leader="none" w:pos="240" w:val="left"/>
        </w:tabs>
        <w:numPr>
          <w:ilvl w:val="0"/>
          <w:numId w:val="241"/>
        </w:numPr>
        <w:rPr>
          <w:rFonts w:ascii="Arial" w:cs="Arial" w:eastAsia="Arial" w:hAnsi="Arial"/>
          <w:sz w:val="13"/>
          <w:szCs w:val="13"/>
          <w:color w:val="61C4AF"/>
        </w:rPr>
      </w:pPr>
      <w:r>
        <w:rPr>
          <w:rFonts w:ascii="Arial" w:cs="Arial" w:eastAsia="Arial" w:hAnsi="Arial"/>
          <w:sz w:val="13"/>
          <w:szCs w:val="13"/>
          <w:color w:val="auto"/>
        </w:rPr>
        <w:t>We expect representatives of KPMG LLP to be present at the Annual Meeting, and they will have an opportunity to make a statement if they so desire and will be available to respond to appropriate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13232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1" w:lineRule="exact"/>
        <w:rPr>
          <w:sz w:val="20"/>
          <w:szCs w:val="20"/>
          <w:color w:val="auto"/>
        </w:rPr>
      </w:pPr>
    </w:p>
    <w:p>
      <w:pPr>
        <w:spacing w:after="0" w:line="241" w:lineRule="auto"/>
        <w:rPr>
          <w:sz w:val="20"/>
          <w:szCs w:val="20"/>
          <w:color w:val="auto"/>
        </w:rPr>
      </w:pPr>
      <w:r>
        <w:rPr>
          <w:rFonts w:ascii="Arial" w:cs="Arial" w:eastAsia="Arial" w:hAnsi="Arial"/>
          <w:sz w:val="13"/>
          <w:szCs w:val="13"/>
          <w:color w:val="auto"/>
        </w:rPr>
        <w:t>The accounting firm of KPMG LLP has served as our independent auditors since our incorporation in 1970. The Audit Committee has again appointed KPMG LLP to serve as our independent registered public accounting firm for the fiscal year ending July 2, 2021. We are not required to submit the appointment of KPMG LLP for stockholder approval, but our Board of Directors has elected to seek ratification of the appointment of our independent registered public accounting firm by the affirmative vote of a majority of the shares represented in person or by proxy and entitled to vote on this Proposal 4 at the Annual Meeting. If a majority of the shares represented at the Annual Meeting and entitled to vote do not ratify this appointment, the Audit Committee will reconsider its appointment of KPMG LLP and will either continue to retain this firm or appoint a new independent registered public accounting firm. In addition, even if stockholders ratify the Audit Committee’s selection, the Audit Committee, in its discretion, may still appoint a different independent registered public accounting firm if it believes that such a change would be in the best interests of our company and our stockholders.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100" w:type="dxa"/>
            <w:vAlign w:val="bottom"/>
          </w:tcPr>
          <w:p>
            <w:pPr>
              <w:spacing w:after="0"/>
              <w:rPr>
                <w:sz w:val="20"/>
                <w:szCs w:val="20"/>
                <w:color w:val="auto"/>
              </w:rPr>
            </w:pPr>
            <w:r>
              <w:rPr>
                <w:rFonts w:ascii="Arial" w:cs="Arial" w:eastAsia="Arial" w:hAnsi="Arial"/>
                <w:sz w:val="13"/>
                <w:szCs w:val="13"/>
                <w:color w:val="auto"/>
              </w:rPr>
              <w:t>Following are the fees paid by us to KPMG LLP for fiscal 2020 and 2019:</w:t>
            </w: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100" w:type="dxa"/>
            <w:vAlign w:val="bottom"/>
          </w:tcPr>
          <w:p>
            <w:pPr>
              <w:spacing w:after="0"/>
              <w:rPr>
                <w:sz w:val="17"/>
                <w:szCs w:val="17"/>
                <w:color w:val="auto"/>
              </w:rPr>
            </w:pPr>
          </w:p>
        </w:tc>
        <w:tc>
          <w:tcPr>
            <w:tcW w:w="106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rPr>
              <w:t>Fiscal 2020</w:t>
            </w:r>
          </w:p>
        </w:tc>
        <w:tc>
          <w:tcPr>
            <w:tcW w:w="20" w:type="dxa"/>
            <w:vAlign w:val="bottom"/>
          </w:tcPr>
          <w:p>
            <w:pPr>
              <w:spacing w:after="0"/>
              <w:rPr>
                <w:sz w:val="17"/>
                <w:szCs w:val="17"/>
                <w:color w:val="auto"/>
              </w:rPr>
            </w:pPr>
          </w:p>
        </w:tc>
        <w:tc>
          <w:tcPr>
            <w:tcW w:w="106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rPr>
              <w:t>Fiscal 2019</w:t>
            </w:r>
          </w:p>
        </w:tc>
        <w:tc>
          <w:tcPr>
            <w:tcW w:w="0" w:type="dxa"/>
            <w:vAlign w:val="bottom"/>
          </w:tcPr>
          <w:p>
            <w:pPr>
              <w:spacing w:after="0"/>
              <w:rPr>
                <w:sz w:val="1"/>
                <w:szCs w:val="1"/>
                <w:color w:val="auto"/>
              </w:rPr>
            </w:pPr>
          </w:p>
        </w:tc>
      </w:tr>
      <w:tr>
        <w:trPr>
          <w:trHeight w:val="159"/>
        </w:trPr>
        <w:tc>
          <w:tcPr>
            <w:tcW w:w="9100" w:type="dxa"/>
            <w:vAlign w:val="bottom"/>
            <w:tcBorders>
              <w:right w:val="single" w:sz="8" w:color="auto"/>
            </w:tcBorders>
          </w:tcPr>
          <w:p>
            <w:pPr>
              <w:spacing w:after="0"/>
              <w:rPr>
                <w:sz w:val="13"/>
                <w:szCs w:val="13"/>
                <w:color w:val="auto"/>
              </w:rPr>
            </w:pPr>
          </w:p>
        </w:tc>
        <w:tc>
          <w:tcPr>
            <w:tcW w:w="1060" w:type="dxa"/>
            <w:vAlign w:val="bottom"/>
            <w:vMerge w:val="continue"/>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91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3"/>
                <w:szCs w:val="13"/>
                <w:b w:val="1"/>
                <w:bCs w:val="1"/>
                <w:color w:val="auto"/>
              </w:rPr>
              <w:t>Description of Professional Service</w:t>
            </w: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w:t>
            </w:r>
          </w:p>
        </w:tc>
        <w:tc>
          <w:tcPr>
            <w:tcW w:w="20" w:type="dxa"/>
            <w:vAlign w:val="bottom"/>
            <w:tcBorders>
              <w:bottom w:val="single" w:sz="8" w:color="auto"/>
            </w:tcBorders>
            <w:shd w:val="clear" w:color="auto" w:fill="000000"/>
          </w:tcPr>
          <w:p>
            <w:pPr>
              <w:spacing w:after="0"/>
              <w:rPr>
                <w:sz w:val="16"/>
                <w:szCs w:val="16"/>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75"/>
        </w:trPr>
        <w:tc>
          <w:tcPr>
            <w:tcW w:w="9100" w:type="dxa"/>
            <w:vAlign w:val="bottom"/>
          </w:tcPr>
          <w:p>
            <w:pPr>
              <w:ind w:left="80"/>
              <w:spacing w:after="0"/>
              <w:rPr>
                <w:sz w:val="20"/>
                <w:szCs w:val="20"/>
                <w:color w:val="auto"/>
              </w:rPr>
            </w:pPr>
            <w:r>
              <w:rPr>
                <w:rFonts w:ascii="Arial" w:cs="Arial" w:eastAsia="Arial" w:hAnsi="Arial"/>
                <w:sz w:val="13"/>
                <w:szCs w:val="13"/>
                <w:b w:val="1"/>
                <w:bCs w:val="1"/>
                <w:color w:val="auto"/>
              </w:rPr>
              <w:t xml:space="preserve">Audit Fees </w:t>
            </w:r>
            <w:r>
              <w:rPr>
                <w:rFonts w:ascii="Arial" w:cs="Arial" w:eastAsia="Arial" w:hAnsi="Arial"/>
                <w:sz w:val="13"/>
                <w:szCs w:val="13"/>
                <w:color w:val="auto"/>
              </w:rPr>
              <w:t>— professional services rendered for the audit of our annual financial statements and the review of the financial statements included in</w:t>
            </w: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9,778,189</w:t>
            </w:r>
          </w:p>
        </w:tc>
        <w:tc>
          <w:tcPr>
            <w:tcW w:w="1080" w:type="dxa"/>
            <w:vAlign w:val="bottom"/>
            <w:gridSpan w:val="2"/>
          </w:tcPr>
          <w:p>
            <w:pPr>
              <w:jc w:val="right"/>
              <w:ind w:right="13"/>
              <w:spacing w:after="0"/>
              <w:rPr>
                <w:sz w:val="20"/>
                <w:szCs w:val="20"/>
                <w:color w:val="auto"/>
              </w:rPr>
            </w:pPr>
            <w:r>
              <w:rPr>
                <w:rFonts w:ascii="Arial" w:cs="Arial" w:eastAsia="Arial" w:hAnsi="Arial"/>
                <w:sz w:val="13"/>
                <w:szCs w:val="13"/>
                <w:color w:val="auto"/>
              </w:rPr>
              <w:t>10,135,486</w:t>
            </w:r>
          </w:p>
        </w:tc>
        <w:tc>
          <w:tcPr>
            <w:tcW w:w="0" w:type="dxa"/>
            <w:vAlign w:val="bottom"/>
          </w:tcPr>
          <w:p>
            <w:pPr>
              <w:spacing w:after="0"/>
              <w:rPr>
                <w:sz w:val="1"/>
                <w:szCs w:val="1"/>
                <w:color w:val="auto"/>
              </w:rPr>
            </w:pPr>
          </w:p>
        </w:tc>
      </w:tr>
      <w:tr>
        <w:trPr>
          <w:trHeight w:val="170"/>
        </w:trPr>
        <w:tc>
          <w:tcPr>
            <w:tcW w:w="9100" w:type="dxa"/>
            <w:vAlign w:val="bottom"/>
            <w:tcBorders>
              <w:bottom w:val="single" w:sz="8" w:color="959595"/>
            </w:tcBorders>
          </w:tcPr>
          <w:p>
            <w:pPr>
              <w:ind w:left="80"/>
              <w:spacing w:after="0"/>
              <w:rPr>
                <w:sz w:val="20"/>
                <w:szCs w:val="20"/>
                <w:color w:val="auto"/>
              </w:rPr>
            </w:pPr>
            <w:r>
              <w:rPr>
                <w:rFonts w:ascii="Arial" w:cs="Arial" w:eastAsia="Arial" w:hAnsi="Arial"/>
                <w:sz w:val="13"/>
                <w:szCs w:val="13"/>
                <w:color w:val="auto"/>
              </w:rPr>
              <w:t>our Quarterly Reports on Form 10-Q or services that are normally provided in connection with statutory and regulatory filings or engagements</w:t>
            </w:r>
          </w:p>
        </w:tc>
        <w:tc>
          <w:tcPr>
            <w:tcW w:w="1060" w:type="dxa"/>
            <w:vAlign w:val="bottom"/>
            <w:tcBorders>
              <w:bottom w:val="single" w:sz="8" w:color="959595"/>
            </w:tcBorders>
          </w:tcPr>
          <w:p>
            <w:pPr>
              <w:spacing w:after="0"/>
              <w:rPr>
                <w:sz w:val="14"/>
                <w:szCs w:val="14"/>
                <w:color w:val="auto"/>
              </w:rPr>
            </w:pPr>
          </w:p>
        </w:tc>
        <w:tc>
          <w:tcPr>
            <w:tcW w:w="20" w:type="dxa"/>
            <w:vAlign w:val="bottom"/>
            <w:tcBorders>
              <w:bottom w:val="single" w:sz="8" w:color="959595"/>
            </w:tcBorders>
          </w:tcPr>
          <w:p>
            <w:pPr>
              <w:spacing w:after="0"/>
              <w:rPr>
                <w:sz w:val="14"/>
                <w:szCs w:val="14"/>
                <w:color w:val="auto"/>
              </w:rPr>
            </w:pPr>
          </w:p>
        </w:tc>
        <w:tc>
          <w:tcPr>
            <w:tcW w:w="1060" w:type="dxa"/>
            <w:vAlign w:val="bottom"/>
            <w:tcBorders>
              <w:bottom w:val="single" w:sz="8" w:color="959595"/>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10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auto"/>
              </w:rPr>
              <w:t xml:space="preserve">Audit-Related Fees </w:t>
            </w:r>
            <w:r>
              <w:rPr>
                <w:rFonts w:ascii="Arial" w:cs="Arial" w:eastAsia="Arial" w:hAnsi="Arial"/>
                <w:sz w:val="13"/>
                <w:szCs w:val="13"/>
                <w:color w:val="auto"/>
              </w:rPr>
              <w:t>— assurance and related services reasonably related to the performance of the audit or review of our financial statements</w:t>
            </w:r>
          </w:p>
        </w:tc>
        <w:tc>
          <w:tcPr>
            <w:tcW w:w="10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959595"/>
            </w:tcBorders>
          </w:tcPr>
          <w:p>
            <w:pPr>
              <w:spacing w:after="0"/>
              <w:rPr>
                <w:sz w:val="17"/>
                <w:szCs w:val="17"/>
                <w:color w:val="auto"/>
              </w:rPr>
            </w:pPr>
          </w:p>
        </w:tc>
        <w:tc>
          <w:tcPr>
            <w:tcW w:w="10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3"/>
        </w:trPr>
        <w:tc>
          <w:tcPr>
            <w:tcW w:w="9100" w:type="dxa"/>
            <w:vAlign w:val="bottom"/>
            <w:tcBorders>
              <w:bottom w:val="single" w:sz="8" w:color="959595"/>
            </w:tcBorders>
          </w:tcPr>
          <w:p>
            <w:pPr>
              <w:ind w:left="80"/>
              <w:spacing w:after="0" w:line="243" w:lineRule="exact"/>
              <w:rPr>
                <w:sz w:val="20"/>
                <w:szCs w:val="20"/>
                <w:color w:val="auto"/>
              </w:rPr>
            </w:pPr>
            <w:r>
              <w:rPr>
                <w:rFonts w:ascii="Arial" w:cs="Arial" w:eastAsia="Arial" w:hAnsi="Arial"/>
                <w:sz w:val="13"/>
                <w:szCs w:val="13"/>
                <w:b w:val="1"/>
                <w:bCs w:val="1"/>
                <w:color w:val="auto"/>
              </w:rPr>
              <w:t xml:space="preserve">Tax Fees </w:t>
            </w:r>
            <w:r>
              <w:rPr>
                <w:rFonts w:ascii="Arial" w:cs="Arial" w:eastAsia="Arial" w:hAnsi="Arial"/>
                <w:sz w:val="13"/>
                <w:szCs w:val="13"/>
                <w:color w:val="auto"/>
              </w:rPr>
              <w:t>— professional services rendered for tax compliance, tax advice and tax planning</w:t>
            </w:r>
            <w:r>
              <w:rPr>
                <w:rFonts w:ascii="Arial" w:cs="Arial" w:eastAsia="Arial" w:hAnsi="Arial"/>
                <w:sz w:val="22"/>
                <w:szCs w:val="22"/>
                <w:color w:val="auto"/>
                <w:vertAlign w:val="superscript"/>
              </w:rPr>
              <w:t>(1)</w:t>
            </w:r>
          </w:p>
        </w:tc>
        <w:tc>
          <w:tcPr>
            <w:tcW w:w="10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3,383,998</w:t>
            </w:r>
          </w:p>
        </w:tc>
        <w:tc>
          <w:tcPr>
            <w:tcW w:w="1080" w:type="dxa"/>
            <w:vAlign w:val="bottom"/>
            <w:tcBorders>
              <w:bottom w:val="single" w:sz="8" w:color="959595"/>
            </w:tcBorders>
            <w:gridSpan w:val="2"/>
          </w:tcPr>
          <w:p>
            <w:pPr>
              <w:jc w:val="right"/>
              <w:ind w:right="13"/>
              <w:spacing w:after="0"/>
              <w:rPr>
                <w:sz w:val="20"/>
                <w:szCs w:val="20"/>
                <w:color w:val="auto"/>
              </w:rPr>
            </w:pPr>
            <w:r>
              <w:rPr>
                <w:rFonts w:ascii="Arial" w:cs="Arial" w:eastAsia="Arial" w:hAnsi="Arial"/>
                <w:sz w:val="13"/>
                <w:szCs w:val="13"/>
                <w:color w:val="auto"/>
              </w:rPr>
              <w:t>5,402,860</w:t>
            </w:r>
          </w:p>
        </w:tc>
        <w:tc>
          <w:tcPr>
            <w:tcW w:w="0" w:type="dxa"/>
            <w:vAlign w:val="bottom"/>
          </w:tcPr>
          <w:p>
            <w:pPr>
              <w:spacing w:after="0"/>
              <w:rPr>
                <w:sz w:val="1"/>
                <w:szCs w:val="1"/>
                <w:color w:val="auto"/>
              </w:rPr>
            </w:pPr>
          </w:p>
        </w:tc>
      </w:tr>
      <w:tr>
        <w:trPr>
          <w:trHeight w:val="189"/>
        </w:trPr>
        <w:tc>
          <w:tcPr>
            <w:tcW w:w="9100" w:type="dxa"/>
            <w:vAlign w:val="bottom"/>
            <w:tcBorders>
              <w:bottom w:val="single" w:sz="8" w:color="959595"/>
            </w:tcBorders>
          </w:tcPr>
          <w:p>
            <w:pPr>
              <w:ind w:left="80"/>
              <w:spacing w:after="0"/>
              <w:rPr>
                <w:sz w:val="20"/>
                <w:szCs w:val="20"/>
                <w:color w:val="auto"/>
              </w:rPr>
            </w:pPr>
            <w:r>
              <w:rPr>
                <w:rFonts w:ascii="Arial" w:cs="Arial" w:eastAsia="Arial" w:hAnsi="Arial"/>
                <w:sz w:val="13"/>
                <w:szCs w:val="13"/>
                <w:b w:val="1"/>
                <w:bCs w:val="1"/>
                <w:color w:val="auto"/>
              </w:rPr>
              <w:t xml:space="preserve">All Other Fees </w:t>
            </w:r>
            <w:r>
              <w:rPr>
                <w:rFonts w:ascii="Arial" w:cs="Arial" w:eastAsia="Arial" w:hAnsi="Arial"/>
                <w:sz w:val="13"/>
                <w:szCs w:val="13"/>
                <w:color w:val="auto"/>
              </w:rPr>
              <w:t>— products and services other than those reported above</w:t>
            </w:r>
          </w:p>
        </w:tc>
        <w:tc>
          <w:tcPr>
            <w:tcW w:w="10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959595"/>
            </w:tcBorders>
          </w:tcPr>
          <w:p>
            <w:pPr>
              <w:spacing w:after="0"/>
              <w:rPr>
                <w:sz w:val="16"/>
                <w:szCs w:val="16"/>
                <w:color w:val="auto"/>
              </w:rPr>
            </w:pPr>
          </w:p>
        </w:tc>
        <w:tc>
          <w:tcPr>
            <w:tcW w:w="1060" w:type="dxa"/>
            <w:vAlign w:val="bottom"/>
            <w:tcBorders>
              <w:bottom w:val="single" w:sz="8" w:color="959595"/>
            </w:tcBorders>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9100" w:type="dxa"/>
            <w:vAlign w:val="bottom"/>
          </w:tcPr>
          <w:p>
            <w:pPr>
              <w:spacing w:after="0"/>
              <w:rPr>
                <w:sz w:val="20"/>
                <w:szCs w:val="20"/>
                <w:color w:val="auto"/>
              </w:rPr>
            </w:pPr>
            <w:r>
              <w:rPr>
                <w:rFonts w:ascii="Arial" w:cs="Arial" w:eastAsia="Arial" w:hAnsi="Arial"/>
                <w:sz w:val="11"/>
                <w:szCs w:val="11"/>
                <w:color w:val="auto"/>
              </w:rPr>
              <w:t xml:space="preserve">(1)   </w:t>
            </w:r>
            <w:r>
              <w:rPr>
                <w:rFonts w:ascii="Arial" w:cs="Arial" w:eastAsia="Arial" w:hAnsi="Arial"/>
                <w:sz w:val="13"/>
                <w:szCs w:val="13"/>
                <w:color w:val="auto"/>
              </w:rPr>
              <w:t>Tax Fees in fiscal 2020 and 2019 consisted of tax compliance assistance and related services and transfer pricing review.</w:t>
            </w: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line="241" w:lineRule="auto"/>
        <w:rPr>
          <w:sz w:val="20"/>
          <w:szCs w:val="20"/>
          <w:color w:val="auto"/>
        </w:rPr>
      </w:pPr>
      <w:r>
        <w:rPr>
          <w:rFonts w:ascii="Arial" w:cs="Arial" w:eastAsia="Arial" w:hAnsi="Arial"/>
          <w:sz w:val="13"/>
          <w:szCs w:val="13"/>
          <w:color w:val="auto"/>
        </w:rPr>
        <w:t>The Audit Committee has adopted a policy regarding the pre-approval of audit and non-audit services to be provided by our independent registered public accounting firm. At least annually, KPMG LLP provides a description of all audit and permissible non-audit services expected to be performed during the year and specific fee estimates for each such service, which must be pre-approved by the Audit Committee. KPMG LLP periodically reports to the Audit Committee regarding the extent of services provided in accordance with this pre-approval and the fees for the services performed to date. The Audit Committee has also delegated to our Chair of the Audit Committee the authority to pre-approve audit and permissible non-audit services and associated fees that were not pre-approved by the Audit Committee, up to a maximum amount of fees per audit or permissible non-audit service. Our Chair is required to report any decisions to pre-approve such audit or non-audit services and fees to the full Audit Committee at its next regular meeting. All services performed by KPMG LLP during fiscal 2020 and 2019 were pre-approved by the Audit Committee in accordance with its pre-approval policy and as required by applicable SEC rules.</w:t>
      </w:r>
    </w:p>
    <w:p>
      <w:pPr>
        <w:spacing w:after="0" w:line="187"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3"/>
          <w:szCs w:val="13"/>
          <w:color w:val="23628F"/>
        </w:rPr>
        <w:t>2020 PROXY STATEMENT</w:t>
      </w:r>
      <w:r>
        <w:rPr>
          <w:sz w:val="20"/>
          <w:szCs w:val="20"/>
          <w:color w:val="auto"/>
        </w:rPr>
        <w:tab/>
      </w:r>
      <w:r>
        <w:rPr>
          <w:rFonts w:ascii="Arial" w:cs="Arial" w:eastAsia="Arial" w:hAnsi="Arial"/>
          <w:sz w:val="16"/>
          <w:szCs w:val="16"/>
          <w:b w:val="1"/>
          <w:bCs w:val="1"/>
          <w:color w:val="23628F"/>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153275" cy="215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23628F"/>
        </w:rPr>
        <w:t>AUDIT COMMITTEE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234440" cy="6858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34440" cy="68580"/>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VOTE REQUIRED FOR APPROVAL</w:t>
      </w:r>
    </w:p>
    <w:p>
      <w:pPr>
        <w:spacing w:after="0" w:line="252" w:lineRule="exact"/>
        <w:rPr>
          <w:sz w:val="20"/>
          <w:szCs w:val="20"/>
          <w:color w:val="auto"/>
        </w:rPr>
      </w:pPr>
    </w:p>
    <w:p>
      <w:pPr>
        <w:ind w:right="560"/>
        <w:spacing w:after="0" w:line="258" w:lineRule="auto"/>
        <w:rPr>
          <w:sz w:val="20"/>
          <w:szCs w:val="20"/>
          <w:color w:val="auto"/>
        </w:rPr>
      </w:pPr>
      <w:r>
        <w:rPr>
          <w:rFonts w:ascii="Arial" w:cs="Arial" w:eastAsia="Arial" w:hAnsi="Arial"/>
          <w:sz w:val="13"/>
          <w:szCs w:val="13"/>
          <w:color w:val="auto"/>
        </w:rPr>
        <w:t>The affirmative vote of a majority of the shares of our common stock represented in person or by proxy at the Annual Meeting and entitled to vote on this Proposal 4 is required for ratification of the appointment of KPMG LLP as our independent registered public accounting firm for fiscal 2021.</w:t>
      </w:r>
    </w:p>
    <w:p>
      <w:pPr>
        <w:spacing w:after="0" w:line="161" w:lineRule="exact"/>
        <w:rPr>
          <w:sz w:val="20"/>
          <w:szCs w:val="20"/>
          <w:color w:val="auto"/>
        </w:rPr>
      </w:pPr>
    </w:p>
    <w:p>
      <w:pPr>
        <w:spacing w:after="0"/>
        <w:rPr>
          <w:sz w:val="20"/>
          <w:szCs w:val="20"/>
          <w:color w:val="auto"/>
        </w:rPr>
      </w:pPr>
      <w:r>
        <w:rPr>
          <w:rFonts w:ascii="Arial" w:cs="Arial" w:eastAsia="Arial" w:hAnsi="Arial"/>
          <w:sz w:val="31"/>
          <w:szCs w:val="31"/>
          <w:b w:val="1"/>
          <w:bCs w:val="1"/>
          <w:color w:val="567EA5"/>
        </w:rPr>
        <w:t>REPORT OF THE AUDIT COMMITTEE</w:t>
      </w:r>
    </w:p>
    <w:p>
      <w:pPr>
        <w:spacing w:after="0" w:line="241" w:lineRule="exact"/>
        <w:rPr>
          <w:sz w:val="20"/>
          <w:szCs w:val="20"/>
          <w:color w:val="auto"/>
        </w:rPr>
      </w:pPr>
    </w:p>
    <w:p>
      <w:pPr>
        <w:ind w:right="60"/>
        <w:spacing w:after="0" w:line="252" w:lineRule="auto"/>
        <w:rPr>
          <w:sz w:val="20"/>
          <w:szCs w:val="20"/>
          <w:color w:val="auto"/>
        </w:rPr>
      </w:pPr>
      <w:r>
        <w:rPr>
          <w:rFonts w:ascii="Arial" w:cs="Arial" w:eastAsia="Arial" w:hAnsi="Arial"/>
          <w:sz w:val="13"/>
          <w:szCs w:val="13"/>
          <w:i w:val="1"/>
          <w:iCs w:val="1"/>
          <w:color w:val="auto"/>
        </w:rPr>
        <w:t>The following is the report of the Audit Committee with respect to our audited financial statements for the fiscal year ended July 3, 2020. This report shall not be deemed soliciting material or to be filed with the SEC or subject to Regulation 14A or 14C under the Exchange Act or to the liabilities of Section 18 of the Exchange Act, nor shall any information in this report be incorporated by reference into any past or future filing under the Securities Act of 1933, as amended (the “Securities Act”) or the Exchange Act, except to the extent we specifically request that it be treated as soliciting material or specifically incorporate it by reference into a filing under the Securities Act or the Exchange Act.</w:t>
      </w:r>
    </w:p>
    <w:p>
      <w:pPr>
        <w:spacing w:after="0" w:line="196" w:lineRule="exact"/>
        <w:rPr>
          <w:sz w:val="20"/>
          <w:szCs w:val="20"/>
          <w:color w:val="auto"/>
        </w:rPr>
      </w:pPr>
    </w:p>
    <w:p>
      <w:pPr>
        <w:spacing w:after="0"/>
        <w:rPr>
          <w:sz w:val="20"/>
          <w:szCs w:val="20"/>
          <w:color w:val="auto"/>
        </w:rPr>
      </w:pPr>
      <w:r>
        <w:rPr>
          <w:rFonts w:ascii="Arial" w:cs="Arial" w:eastAsia="Arial" w:hAnsi="Arial"/>
          <w:sz w:val="13"/>
          <w:szCs w:val="13"/>
          <w:color w:val="auto"/>
        </w:rPr>
        <w:t>Dear Fellow Stockholders,</w:t>
      </w:r>
    </w:p>
    <w:p>
      <w:pPr>
        <w:spacing w:after="0" w:line="215" w:lineRule="exact"/>
        <w:rPr>
          <w:sz w:val="20"/>
          <w:szCs w:val="20"/>
          <w:color w:val="auto"/>
        </w:rPr>
      </w:pPr>
    </w:p>
    <w:p>
      <w:pPr>
        <w:ind w:right="80"/>
        <w:spacing w:after="0" w:line="241" w:lineRule="auto"/>
        <w:rPr>
          <w:sz w:val="20"/>
          <w:szCs w:val="20"/>
          <w:color w:val="auto"/>
        </w:rPr>
      </w:pPr>
      <w:r>
        <w:rPr>
          <w:rFonts w:ascii="Arial" w:cs="Arial" w:eastAsia="Arial" w:hAnsi="Arial"/>
          <w:sz w:val="13"/>
          <w:szCs w:val="13"/>
          <w:color w:val="auto"/>
        </w:rPr>
        <w:t>The Audit Committee represents our Board of Directors in discharging its responsibilities relating to the accounting, reporting and financial practices of Western Digital and its subsidiaries, and has general responsibility for oversight and review of the accounting and financial reporting practices, internal controls and accounting and audit activities of Western Digital and its subsidiaries. The Audit Committee is also responsible for overseeing our Enterprise Risk Management process on behalf of our Board of Directors. Accordingly, the Audit Committee oversees certain risk topics and allocates oversight responsibility for other risk topics among our Board and its other committees. The Audit Committee acts pursuant to a written charter. Our Board of Directors originally adopted the Audit Committee Charter on September 6, 1995 and most recently approved an amendment of the charter on March 3, 2020. A copy of the amended charter is available on our website under “Leadership &amp; Governance” at investor.wdc.com. Our Board of Directors has determined that each of the members of the Audit Committee is an “audit committee financial expert” as defined by the SEC and qualifies as an “independent” director under applicable rules of the Nasdaq Stock Market and the SEC.</w:t>
      </w:r>
    </w:p>
    <w:p>
      <w:pPr>
        <w:spacing w:after="0" w:line="205" w:lineRule="exact"/>
        <w:rPr>
          <w:sz w:val="20"/>
          <w:szCs w:val="20"/>
          <w:color w:val="auto"/>
        </w:rPr>
      </w:pPr>
    </w:p>
    <w:p>
      <w:pPr>
        <w:ind w:right="420"/>
        <w:spacing w:after="0" w:line="245" w:lineRule="auto"/>
        <w:rPr>
          <w:sz w:val="20"/>
          <w:szCs w:val="20"/>
          <w:color w:val="auto"/>
        </w:rPr>
      </w:pPr>
      <w:r>
        <w:rPr>
          <w:rFonts w:ascii="Arial" w:cs="Arial" w:eastAsia="Arial" w:hAnsi="Arial"/>
          <w:sz w:val="13"/>
          <w:szCs w:val="13"/>
          <w:color w:val="auto"/>
        </w:rPr>
        <w:t>Management is responsible for the preparation, presentation and integrity of Western Digital’s financial statements, the financial reporting process, accounting principles and internal controls and procedures designed to assure compliance with accounting standards and applicable laws and regulations. KPMG LLP, Western Digital’s independent registered public accounting firm since 1970, is responsible for performing an independent audit of Western Digital’s consolidated financial statements and internal control over financial reporting in accordance with auditing standards of the Public Company Accounting Oversight Board (United States), issuing reports thereon.</w:t>
      </w:r>
    </w:p>
    <w:p>
      <w:pPr>
        <w:spacing w:after="0" w:line="200" w:lineRule="exact"/>
        <w:rPr>
          <w:sz w:val="20"/>
          <w:szCs w:val="20"/>
          <w:color w:val="auto"/>
        </w:rPr>
      </w:pPr>
    </w:p>
    <w:p>
      <w:pPr>
        <w:spacing w:after="0" w:line="241" w:lineRule="auto"/>
        <w:rPr>
          <w:sz w:val="20"/>
          <w:szCs w:val="20"/>
          <w:color w:val="auto"/>
        </w:rPr>
      </w:pPr>
      <w:r>
        <w:rPr>
          <w:rFonts w:ascii="Arial" w:cs="Arial" w:eastAsia="Arial" w:hAnsi="Arial"/>
          <w:sz w:val="13"/>
          <w:szCs w:val="13"/>
          <w:color w:val="auto"/>
        </w:rPr>
        <w:t>The Audit Committee is solely and directly responsible for the appointment, compensation, retention and oversight of Western Digital’s independent registered public accounting firm and regularly solicits and evaluates feedback from both management and the auditor in carrying out this responsibility. In conjunction with the rotation of the independent registered public accounting firm’s lead engagement partner, which occurs at least every five years, the Audit Committee is involved in the selection of KPMG LLP’s lead engagement partner. The next mandatory rotation for KPMG LLP’s lead engagement partner is scheduled to occur in fiscal year 2025. The members of the Audit Committee are not professionally engaged in the practice of accounting or auditing and thus, its oversight does not provide an independent basis to determine that management has applied U.S. generally accepted accounting principles appropriately or maintained appropriate internal controls and disclosure controls and procedures designed to assure compliance with accounting standards and applicable laws and regulations.</w:t>
      </w:r>
    </w:p>
    <w:p>
      <w:pPr>
        <w:spacing w:after="0" w:line="355" w:lineRule="exact"/>
        <w:rPr>
          <w:sz w:val="20"/>
          <w:szCs w:val="20"/>
          <w:color w:val="auto"/>
        </w:rPr>
      </w:pPr>
    </w:p>
    <w:p>
      <w:pPr>
        <w:ind w:right="120"/>
        <w:spacing w:after="0" w:line="241" w:lineRule="auto"/>
        <w:rPr>
          <w:sz w:val="20"/>
          <w:szCs w:val="20"/>
          <w:color w:val="auto"/>
        </w:rPr>
      </w:pPr>
      <w:r>
        <w:rPr>
          <w:rFonts w:ascii="Arial" w:cs="Arial" w:eastAsia="Arial" w:hAnsi="Arial"/>
          <w:sz w:val="13"/>
          <w:szCs w:val="13"/>
          <w:color w:val="auto"/>
        </w:rPr>
        <w:t>During fiscal 2020, the Audit Committee met a total of 11 times, two in person and nine via telephone conference. During fiscal 2020, the Audit Committee also met and held discussions with management and KPMG LLP. The meetings were conducted so as to encourage communication among the members of the Audit Committee, management and the independent registered public accounting firm. The Audit Committee discussed with KPMG LLP the overall scope and plan for its audit. The Audit Committee met regularly with KPMG LLP, with and without management present, to discuss the results of its audit, its evaluation of Western Digital’s internal control over financial reporting and the overall quality of Western Digital’s accounting practices. As part of these discussions, the Audit Committee reviewed and discussed the audited consolidated financial statements of Western Digital for the fiscal year ended July 3, 2020 with management and KPMG LLP. The Audit Committee also discussed with KPMG LLP the matters required to be discussed by the applicable requirements of the Public Company Accounting Oversight Board and the SEC. Our Board of Directors, including the Audit Committee, received an opinion of KPMG LLP as to the conformity of such audited consolidated financial statements with GAAP and the effectiveness of internal control over financial reporting pursuant to Section 404 of the Sarbanes-Oxley Act.</w:t>
      </w:r>
    </w:p>
    <w:p>
      <w:pPr>
        <w:spacing w:after="0" w:line="199" w:lineRule="exact"/>
        <w:rPr>
          <w:sz w:val="20"/>
          <w:szCs w:val="20"/>
          <w:color w:val="auto"/>
        </w:rPr>
      </w:pPr>
    </w:p>
    <w:p>
      <w:pPr>
        <w:ind w:left="540" w:hanging="532"/>
        <w:spacing w:after="0"/>
        <w:tabs>
          <w:tab w:leader="none" w:pos="540" w:val="left"/>
        </w:tabs>
        <w:numPr>
          <w:ilvl w:val="0"/>
          <w:numId w:val="242"/>
        </w:numPr>
        <w:rPr>
          <w:rFonts w:ascii="Arial" w:cs="Arial" w:eastAsia="Arial" w:hAnsi="Arial"/>
          <w:sz w:val="18"/>
          <w:szCs w:val="18"/>
          <w:b w:val="1"/>
          <w:bCs w:val="1"/>
          <w:color w:val="23628F"/>
        </w:rPr>
      </w:pPr>
      <w:r>
        <w:rPr>
          <w:rFonts w:ascii="Arial" w:cs="Arial" w:eastAsia="Arial" w:hAnsi="Arial"/>
          <w:sz w:val="13"/>
          <w:szCs w:val="13"/>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153275" cy="209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ind w:left="9320"/>
        <w:spacing w:after="0"/>
        <w:rPr>
          <w:sz w:val="20"/>
          <w:szCs w:val="20"/>
          <w:color w:val="auto"/>
        </w:rPr>
      </w:pPr>
      <w:r>
        <w:rPr>
          <w:rFonts w:ascii="Arial" w:cs="Arial" w:eastAsia="Arial" w:hAnsi="Arial"/>
          <w:sz w:val="13"/>
          <w:szCs w:val="13"/>
          <w:color w:val="23628F"/>
        </w:rPr>
        <w:t>AUDIT COMMITTEE MATTERS</w:t>
      </w:r>
    </w:p>
    <w:p>
      <w:pPr>
        <w:spacing w:after="0" w:line="215" w:lineRule="exact"/>
        <w:rPr>
          <w:sz w:val="20"/>
          <w:szCs w:val="20"/>
          <w:color w:val="auto"/>
        </w:rPr>
      </w:pPr>
    </w:p>
    <w:p>
      <w:pPr>
        <w:ind w:right="160"/>
        <w:spacing w:after="0" w:line="241" w:lineRule="auto"/>
        <w:rPr>
          <w:sz w:val="20"/>
          <w:szCs w:val="20"/>
          <w:color w:val="auto"/>
        </w:rPr>
      </w:pPr>
      <w:r>
        <w:rPr>
          <w:rFonts w:ascii="Arial" w:cs="Arial" w:eastAsia="Arial" w:hAnsi="Arial"/>
          <w:sz w:val="13"/>
          <w:szCs w:val="13"/>
          <w:color w:val="auto"/>
        </w:rPr>
        <w:t>The Audit Committee has also received the written disclosures and the letter from KPMG LLP as required by the applicable requirements of the Public Company Accounting Oversight Board regarding KPMG LLP’s communications with the Audit Committee concerning independence and has discussed with KPMG LLP its independence. The Audit Committee reviewed and evaluated KPMG LLP’s lead engagement partner and also reviewed, among other things, the amount of fees paid to KPMG LLP for audit and non-audit services. Based upon such reviews and discussions, the Audit Committee has recommended to the Board of Directors of Western Digital that the audited financial statements be included in Western Digital’s Annual Report on Form 10-K for the fiscal year ended July 3, 2020, for filing with the SEC. The Audit Committee also appointed KPMG LLP to serve as Western Digital’s independent registered public accounting firm for the fiscal year ending July 2, 2021. The members of the Audit Committee believe that the continued retention of KPMG LLP to serve as the independent registered public accounting firm is in the best interests of Western Digital and its stockholders.</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840105" cy="41973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40105" cy="41973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250190</wp:posOffset>
            </wp:positionV>
            <wp:extent cx="1251585" cy="3600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51585" cy="36004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198755</wp:posOffset>
            </wp:positionV>
            <wp:extent cx="942975" cy="41148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942975" cy="41148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147320</wp:posOffset>
            </wp:positionV>
            <wp:extent cx="728980" cy="46291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898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360" w:type="dxa"/>
            <w:vAlign w:val="bottom"/>
          </w:tcPr>
          <w:p>
            <w:pPr>
              <w:spacing w:after="0"/>
              <w:rPr>
                <w:sz w:val="20"/>
                <w:szCs w:val="20"/>
                <w:color w:val="auto"/>
              </w:rPr>
            </w:pPr>
            <w:r>
              <w:rPr>
                <w:rFonts w:ascii="Arial" w:cs="Arial" w:eastAsia="Arial" w:hAnsi="Arial"/>
                <w:sz w:val="13"/>
                <w:szCs w:val="13"/>
                <w:b w:val="1"/>
                <w:bCs w:val="1"/>
                <w:color w:val="23628F"/>
              </w:rPr>
              <w:t>KIMBERLY E. ALEXY</w:t>
            </w:r>
          </w:p>
        </w:tc>
        <w:tc>
          <w:tcPr>
            <w:tcW w:w="3080" w:type="dxa"/>
            <w:vAlign w:val="bottom"/>
          </w:tcPr>
          <w:p>
            <w:pPr>
              <w:ind w:left="1020"/>
              <w:spacing w:after="0"/>
              <w:rPr>
                <w:sz w:val="20"/>
                <w:szCs w:val="20"/>
                <w:color w:val="auto"/>
              </w:rPr>
            </w:pPr>
            <w:r>
              <w:rPr>
                <w:rFonts w:ascii="Arial" w:cs="Arial" w:eastAsia="Arial" w:hAnsi="Arial"/>
                <w:sz w:val="13"/>
                <w:szCs w:val="13"/>
                <w:b w:val="1"/>
                <w:bCs w:val="1"/>
                <w:color w:val="23628F"/>
              </w:rPr>
              <w:t>MARTIN I. COLE</w:t>
            </w:r>
          </w:p>
        </w:tc>
        <w:tc>
          <w:tcPr>
            <w:tcW w:w="2880" w:type="dxa"/>
            <w:vAlign w:val="bottom"/>
          </w:tcPr>
          <w:p>
            <w:pPr>
              <w:ind w:left="1020"/>
              <w:spacing w:after="0"/>
              <w:rPr>
                <w:sz w:val="20"/>
                <w:szCs w:val="20"/>
                <w:color w:val="auto"/>
              </w:rPr>
            </w:pPr>
            <w:r>
              <w:rPr>
                <w:rFonts w:ascii="Arial" w:cs="Arial" w:eastAsia="Arial" w:hAnsi="Arial"/>
                <w:sz w:val="13"/>
                <w:szCs w:val="13"/>
                <w:b w:val="1"/>
                <w:bCs w:val="1"/>
                <w:color w:val="23628F"/>
              </w:rPr>
              <w:t>PAULA A. PRICE</w:t>
            </w:r>
          </w:p>
        </w:tc>
        <w:tc>
          <w:tcPr>
            <w:tcW w:w="2940" w:type="dxa"/>
            <w:vAlign w:val="bottom"/>
          </w:tcPr>
          <w:p>
            <w:pPr>
              <w:jc w:val="right"/>
              <w:spacing w:after="0"/>
              <w:rPr>
                <w:sz w:val="20"/>
                <w:szCs w:val="20"/>
                <w:color w:val="auto"/>
              </w:rPr>
            </w:pPr>
            <w:r>
              <w:rPr>
                <w:rFonts w:ascii="Arial" w:cs="Arial" w:eastAsia="Arial" w:hAnsi="Arial"/>
                <w:sz w:val="13"/>
                <w:szCs w:val="13"/>
                <w:b w:val="1"/>
                <w:bCs w:val="1"/>
                <w:color w:val="23628F"/>
              </w:rPr>
              <w:t>STEPHANIE A. STREETER</w:t>
            </w:r>
          </w:p>
        </w:tc>
      </w:tr>
      <w:tr>
        <w:trPr>
          <w:trHeight w:val="176"/>
        </w:trPr>
        <w:tc>
          <w:tcPr>
            <w:tcW w:w="2360" w:type="dxa"/>
            <w:vAlign w:val="bottom"/>
          </w:tcPr>
          <w:p>
            <w:pPr>
              <w:spacing w:after="0"/>
              <w:rPr>
                <w:sz w:val="20"/>
                <w:szCs w:val="20"/>
                <w:color w:val="auto"/>
              </w:rPr>
            </w:pPr>
            <w:r>
              <w:rPr>
                <w:rFonts w:ascii="Arial" w:cs="Arial" w:eastAsia="Arial" w:hAnsi="Arial"/>
                <w:sz w:val="13"/>
                <w:szCs w:val="13"/>
                <w:i w:val="1"/>
                <w:iCs w:val="1"/>
                <w:color w:val="auto"/>
              </w:rPr>
              <w:t>Chair</w:t>
            </w:r>
          </w:p>
        </w:tc>
        <w:tc>
          <w:tcPr>
            <w:tcW w:w="308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940" w:type="dxa"/>
            <w:vAlign w:val="bottom"/>
          </w:tcPr>
          <w:p>
            <w:pPr>
              <w:spacing w:after="0"/>
              <w:rPr>
                <w:sz w:val="15"/>
                <w:szCs w:val="15"/>
                <w:color w:val="auto"/>
              </w:rPr>
            </w:pPr>
          </w:p>
        </w:tc>
      </w:tr>
      <w:tr>
        <w:trPr>
          <w:trHeight w:val="417"/>
        </w:trPr>
        <w:tc>
          <w:tcPr>
            <w:tcW w:w="23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940" w:type="dxa"/>
            <w:vAlign w:val="bottom"/>
          </w:tcPr>
          <w:p>
            <w:pPr>
              <w:jc w:val="right"/>
              <w:spacing w:after="0"/>
              <w:rPr>
                <w:sz w:val="20"/>
                <w:szCs w:val="20"/>
                <w:color w:val="auto"/>
              </w:rPr>
            </w:pPr>
            <w:r>
              <w:rPr>
                <w:rFonts w:ascii="Arial" w:cs="Arial" w:eastAsia="Arial" w:hAnsi="Arial"/>
                <w:sz w:val="13"/>
                <w:szCs w:val="13"/>
                <w:color w:val="23628F"/>
              </w:rPr>
              <w:t xml:space="preserve">2020 PROXY STATEMENT   </w:t>
            </w:r>
            <w:r>
              <w:rPr>
                <w:rFonts w:ascii="Arial" w:cs="Arial" w:eastAsia="Arial" w:hAnsi="Arial"/>
                <w:sz w:val="17"/>
                <w:szCs w:val="17"/>
                <w:b w:val="1"/>
                <w:bCs w:val="1"/>
                <w:color w:val="23628F"/>
              </w:rPr>
              <w:t>111</w:t>
            </w:r>
          </w:p>
        </w:tc>
      </w:tr>
      <w:tr>
        <w:trPr>
          <w:trHeight w:val="215"/>
        </w:trPr>
        <w:tc>
          <w:tcPr>
            <w:tcW w:w="2360" w:type="dxa"/>
            <w:vAlign w:val="bottom"/>
            <w:tcBorders>
              <w:bottom w:val="single" w:sz="8" w:color="808080"/>
            </w:tcBorders>
          </w:tcPr>
          <w:p>
            <w:pPr>
              <w:spacing w:after="0"/>
              <w:rPr>
                <w:sz w:val="18"/>
                <w:szCs w:val="18"/>
                <w:color w:val="auto"/>
              </w:rPr>
            </w:pPr>
          </w:p>
        </w:tc>
        <w:tc>
          <w:tcPr>
            <w:tcW w:w="3080" w:type="dxa"/>
            <w:vAlign w:val="bottom"/>
            <w:tcBorders>
              <w:bottom w:val="single" w:sz="8" w:color="808080"/>
            </w:tcBorders>
          </w:tcPr>
          <w:p>
            <w:pPr>
              <w:spacing w:after="0"/>
              <w:rPr>
                <w:sz w:val="18"/>
                <w:szCs w:val="18"/>
                <w:color w:val="auto"/>
              </w:rPr>
            </w:pPr>
          </w:p>
        </w:tc>
        <w:tc>
          <w:tcPr>
            <w:tcW w:w="2880" w:type="dxa"/>
            <w:vAlign w:val="bottom"/>
            <w:tcBorders>
              <w:bottom w:val="single" w:sz="8" w:color="808080"/>
            </w:tcBorders>
          </w:tcPr>
          <w:p>
            <w:pPr>
              <w:spacing w:after="0"/>
              <w:rPr>
                <w:sz w:val="18"/>
                <w:szCs w:val="18"/>
                <w:color w:val="auto"/>
              </w:rPr>
            </w:pPr>
          </w:p>
        </w:tc>
        <w:tc>
          <w:tcPr>
            <w:tcW w:w="29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-13970</wp:posOffset>
            </wp:positionV>
            <wp:extent cx="127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Arial" w:cs="Arial" w:eastAsia="Arial" w:hAnsi="Arial"/>
          <w:sz w:val="50"/>
          <w:szCs w:val="50"/>
          <w:b w:val="1"/>
          <w:bCs w:val="1"/>
          <w:color w:val="23628F"/>
        </w:rPr>
        <w:t>Additional Information</w:t>
      </w:r>
    </w:p>
    <w:p>
      <w:pPr>
        <w:spacing w:after="0" w:line="251" w:lineRule="exact"/>
        <w:rPr>
          <w:sz w:val="20"/>
          <w:szCs w:val="20"/>
          <w:color w:val="auto"/>
        </w:rPr>
      </w:pPr>
    </w:p>
    <w:p>
      <w:pPr>
        <w:spacing w:after="0"/>
        <w:rPr>
          <w:sz w:val="20"/>
          <w:szCs w:val="20"/>
          <w:color w:val="auto"/>
        </w:rPr>
      </w:pPr>
      <w:r>
        <w:rPr>
          <w:rFonts w:ascii="Arial" w:cs="Arial" w:eastAsia="Arial" w:hAnsi="Arial"/>
          <w:sz w:val="31"/>
          <w:szCs w:val="31"/>
          <w:b w:val="1"/>
          <w:bCs w:val="1"/>
          <w:color w:val="819DBB"/>
        </w:rPr>
        <w:t>GENERAL INFORMATION ABOUT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1234440" cy="6858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34440" cy="68580"/>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WHO CAN VOTE</w:t>
      </w:r>
    </w:p>
    <w:p>
      <w:pPr>
        <w:spacing w:after="0" w:line="252" w:lineRule="exact"/>
        <w:rPr>
          <w:sz w:val="20"/>
          <w:szCs w:val="20"/>
          <w:color w:val="auto"/>
        </w:rPr>
      </w:pPr>
    </w:p>
    <w:p>
      <w:pPr>
        <w:ind w:right="100"/>
        <w:spacing w:after="0" w:line="258" w:lineRule="auto"/>
        <w:rPr>
          <w:sz w:val="20"/>
          <w:szCs w:val="20"/>
          <w:color w:val="auto"/>
        </w:rPr>
      </w:pPr>
      <w:r>
        <w:rPr>
          <w:rFonts w:ascii="Arial" w:cs="Arial" w:eastAsia="Arial" w:hAnsi="Arial"/>
          <w:sz w:val="13"/>
          <w:szCs w:val="13"/>
          <w:color w:val="auto"/>
        </w:rPr>
        <w:t>Only stockholders of record at the close of business on September 21, 2020, the record date, will be entitled to notice of and to vote at the Annual Meeting. At the close of business on the record date, 304,227,831 shares of our common stock were outstanding and entitled to vote. Each share of common stock is entitled to one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234440" cy="6858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34440" cy="68580"/>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VOTING YOUR PROXY</w:t>
      </w:r>
    </w:p>
    <w:p>
      <w:pPr>
        <w:spacing w:after="0" w:line="219"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At the Annual Meeting</w:t>
      </w:r>
    </w:p>
    <w:p>
      <w:pPr>
        <w:spacing w:after="0" w:line="257" w:lineRule="exact"/>
        <w:rPr>
          <w:sz w:val="20"/>
          <w:szCs w:val="20"/>
          <w:color w:val="auto"/>
        </w:rPr>
      </w:pPr>
    </w:p>
    <w:p>
      <w:pPr>
        <w:spacing w:after="0" w:line="243" w:lineRule="auto"/>
        <w:rPr>
          <w:sz w:val="20"/>
          <w:szCs w:val="20"/>
          <w:color w:val="auto"/>
        </w:rPr>
      </w:pPr>
      <w:r>
        <w:rPr>
          <w:rFonts w:ascii="Arial" w:cs="Arial" w:eastAsia="Arial" w:hAnsi="Arial"/>
          <w:sz w:val="13"/>
          <w:szCs w:val="13"/>
          <w:color w:val="auto"/>
        </w:rPr>
        <w:t xml:space="preserve">If your shares are registered directly in your name with our transfer agent, American Stock Transfer &amp; Trust Company, LLC, you are considered the “stockholder of record” and you have the right to vote your shares electronically at the Annual Meeting. If you hold your shares through a broker, bank, trustee or other nominee (that is, in “street name”) rather than directly in your own name, you are a “beneficial stockholder” and you may also vote your shares electronically at the Annual Meeting. If you choose to do so, you can vote by following the instructions provided when you log in to the online virtual annual meeting platform. </w:t>
      </w:r>
      <w:r>
        <w:rPr>
          <w:rFonts w:ascii="Arial" w:cs="Arial" w:eastAsia="Arial" w:hAnsi="Arial"/>
          <w:sz w:val="13"/>
          <w:szCs w:val="13"/>
          <w:b w:val="1"/>
          <w:bCs w:val="1"/>
          <w:color w:val="auto"/>
        </w:rPr>
        <w:t>Even if you plan to attend the Annual Meeting, we recommend that you submit your proxy or voting</w:t>
      </w:r>
      <w:r>
        <w:rPr>
          <w:rFonts w:ascii="Arial" w:cs="Arial" w:eastAsia="Arial" w:hAnsi="Arial"/>
          <w:sz w:val="13"/>
          <w:szCs w:val="13"/>
          <w:color w:val="auto"/>
        </w:rPr>
        <w:t xml:space="preserve"> </w:t>
      </w:r>
      <w:r>
        <w:rPr>
          <w:rFonts w:ascii="Arial" w:cs="Arial" w:eastAsia="Arial" w:hAnsi="Arial"/>
          <w:sz w:val="13"/>
          <w:szCs w:val="13"/>
          <w:b w:val="1"/>
          <w:bCs w:val="1"/>
          <w:color w:val="auto"/>
        </w:rPr>
        <w:t>instructions in advance of the meeting as described below so that your vote will be counted if you later decide not to attend the Annual Meeting.</w:t>
      </w:r>
    </w:p>
    <w:p>
      <w:pPr>
        <w:spacing w:after="0" w:line="168"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Without Attending the Annual Meeting</w:t>
      </w:r>
    </w:p>
    <w:p>
      <w:pPr>
        <w:spacing w:after="0" w:line="257" w:lineRule="exact"/>
        <w:rPr>
          <w:sz w:val="20"/>
          <w:szCs w:val="20"/>
          <w:color w:val="auto"/>
        </w:rPr>
      </w:pPr>
    </w:p>
    <w:p>
      <w:pPr>
        <w:spacing w:after="0" w:line="242" w:lineRule="auto"/>
        <w:rPr>
          <w:sz w:val="20"/>
          <w:szCs w:val="20"/>
          <w:color w:val="auto"/>
        </w:rPr>
      </w:pPr>
      <w:r>
        <w:rPr>
          <w:rFonts w:ascii="Arial" w:cs="Arial" w:eastAsia="Arial" w:hAnsi="Arial"/>
          <w:sz w:val="13"/>
          <w:szCs w:val="13"/>
          <w:color w:val="auto"/>
        </w:rPr>
        <w:t>Whether you are a stockholder of record or a beneficial stockholder, you may direct how your shares are voted without attending the Annual Meeting. If you are a stockholder of record, you may submit a proxy to authorize how your shares are voted at the Annual Meeting. You can submit a proxy over the Internet by following the instructions provided in the “Notice of Internet Availability of Proxy Materials” (which we also refer to as the “Notice”), or, if you received a printed copy of the proxy materials, you can also submit a proxy by mail or telephone pursuant to the instructions provided in the proxy card enclosed with the proxy materials. If you are a beneficial stockholder, you may submit your voting instructions over the Internet by following the instructions provided in the Notice, or, if you received a printed copy of the proxy materials, you can also submit voting instructions by telephone or mail by following the instructions provided in the voting instruction form sent by your bank, broker, trustee or other nominee.</w:t>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color w:val="auto"/>
        </w:rPr>
        <w:t>Submitting your proxy or voting instructions via the Internet, by telephone or by mail will not affect your right to vote electronically should you decide to attend the Annual Meeting.</w:t>
      </w:r>
    </w:p>
    <w:p>
      <w:pPr>
        <w:spacing w:after="0" w:line="215" w:lineRule="exact"/>
        <w:rPr>
          <w:sz w:val="20"/>
          <w:szCs w:val="20"/>
          <w:color w:val="auto"/>
        </w:rPr>
      </w:pPr>
    </w:p>
    <w:p>
      <w:pPr>
        <w:ind w:right="100"/>
        <w:spacing w:after="0" w:line="248" w:lineRule="auto"/>
        <w:rPr>
          <w:sz w:val="20"/>
          <w:szCs w:val="20"/>
          <w:color w:val="auto"/>
        </w:rPr>
      </w:pPr>
      <w:r>
        <w:rPr>
          <w:rFonts w:ascii="Arial" w:cs="Arial" w:eastAsia="Arial" w:hAnsi="Arial"/>
          <w:sz w:val="13"/>
          <w:szCs w:val="13"/>
          <w:color w:val="auto"/>
        </w:rPr>
        <w:t>If you submit a signed proxy or voting instruction form but do not indicate your specific voting instructions on one or more of the proposals listed in the Notice of Annual Meeting of Stockholders, your shares will be voted as recommended by our Board of Directors on those proposals and as the proxyholders may determine in their discretion with respect to any other matters properly presented for a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1234440" cy="6858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34440" cy="68580"/>
                    </a:xfrm>
                    <a:prstGeom prst="rect">
                      <a:avLst/>
                    </a:prstGeom>
                    <a:noFill/>
                  </pic:spPr>
                </pic:pic>
              </a:graphicData>
            </a:graphic>
          </wp:anchor>
        </w:drawing>
      </w:r>
    </w:p>
    <w:p>
      <w:pPr>
        <w:spacing w:after="0" w:line="302"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SPECIAL VOTING INSTRUCTIONS FOR 401(K) PLAN SHARES</w:t>
      </w:r>
    </w:p>
    <w:p>
      <w:pPr>
        <w:spacing w:after="0" w:line="252" w:lineRule="exact"/>
        <w:rPr>
          <w:sz w:val="20"/>
          <w:szCs w:val="20"/>
          <w:color w:val="auto"/>
        </w:rPr>
      </w:pPr>
    </w:p>
    <w:p>
      <w:pPr>
        <w:jc w:val="both"/>
        <w:ind w:right="140"/>
        <w:spacing w:after="0" w:line="245" w:lineRule="auto"/>
        <w:rPr>
          <w:sz w:val="20"/>
          <w:szCs w:val="20"/>
          <w:color w:val="auto"/>
        </w:rPr>
      </w:pPr>
      <w:r>
        <w:rPr>
          <w:rFonts w:ascii="Arial" w:cs="Arial" w:eastAsia="Arial" w:hAnsi="Arial"/>
          <w:sz w:val="13"/>
          <w:szCs w:val="13"/>
          <w:color w:val="auto"/>
        </w:rPr>
        <w:t>If you are one of our employees or former employees who participates in the Western Digital Common Stock Fund under the 401(k) Plan, you will receive a request for voting instructions with respect to all of the shares allocated to your plan account. You are entitled to direct T. Rowe Price Company, the plan trustee, how to vote your plan shares. If T. Rowe Price does not receive voting instructions for shares in your plan account, your shares will be voted by T. Rowe Price in the same proportion as other shares in the Western Digital Common Stock Fund are affirmatively voted by plan participants.</w:t>
      </w:r>
    </w:p>
    <w:p>
      <w:pPr>
        <w:spacing w:after="0" w:line="195" w:lineRule="exact"/>
        <w:rPr>
          <w:sz w:val="20"/>
          <w:szCs w:val="20"/>
          <w:color w:val="auto"/>
        </w:rPr>
      </w:pPr>
    </w:p>
    <w:p>
      <w:pPr>
        <w:ind w:left="540" w:hanging="532"/>
        <w:spacing w:after="0"/>
        <w:tabs>
          <w:tab w:leader="none" w:pos="540" w:val="left"/>
        </w:tabs>
        <w:numPr>
          <w:ilvl w:val="0"/>
          <w:numId w:val="243"/>
        </w:numPr>
        <w:rPr>
          <w:rFonts w:ascii="Arial" w:cs="Arial" w:eastAsia="Arial" w:hAnsi="Arial"/>
          <w:sz w:val="18"/>
          <w:szCs w:val="18"/>
          <w:b w:val="1"/>
          <w:bCs w:val="1"/>
          <w:color w:val="23628F"/>
        </w:rPr>
      </w:pPr>
      <w:r>
        <w:rPr>
          <w:rFonts w:ascii="Arial" w:cs="Arial" w:eastAsia="Arial" w:hAnsi="Arial"/>
          <w:sz w:val="13"/>
          <w:szCs w:val="13"/>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153275" cy="209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right"/>
        <w:spacing w:after="0"/>
        <w:rPr>
          <w:sz w:val="20"/>
          <w:szCs w:val="20"/>
          <w:color w:val="auto"/>
        </w:rPr>
      </w:pPr>
      <w:r>
        <w:rPr>
          <w:rFonts w:ascii="Arial" w:cs="Arial" w:eastAsia="Arial" w:hAnsi="Arial"/>
          <w:sz w:val="13"/>
          <w:szCs w:val="13"/>
          <w:color w:val="23628F"/>
        </w:rPr>
        <w:t>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234440" cy="6858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34440" cy="68580"/>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MATTERS TO BE PRESENTED</w:t>
      </w:r>
    </w:p>
    <w:p>
      <w:pPr>
        <w:spacing w:after="0" w:line="252" w:lineRule="exact"/>
        <w:rPr>
          <w:sz w:val="20"/>
          <w:szCs w:val="20"/>
          <w:color w:val="auto"/>
        </w:rPr>
      </w:pPr>
    </w:p>
    <w:p>
      <w:pPr>
        <w:spacing w:after="0"/>
        <w:rPr>
          <w:sz w:val="20"/>
          <w:szCs w:val="20"/>
          <w:color w:val="auto"/>
        </w:rPr>
      </w:pPr>
      <w:r>
        <w:rPr>
          <w:rFonts w:ascii="Arial" w:cs="Arial" w:eastAsia="Arial" w:hAnsi="Arial"/>
          <w:sz w:val="13"/>
          <w:szCs w:val="13"/>
          <w:color w:val="auto"/>
        </w:rPr>
        <w:t>The items of business scheduled to be voted on at the Annual Meeting are:</w:t>
      </w:r>
    </w:p>
    <w:p>
      <w:pPr>
        <w:spacing w:after="0" w:line="199" w:lineRule="exact"/>
        <w:rPr>
          <w:sz w:val="20"/>
          <w:szCs w:val="20"/>
          <w:color w:val="auto"/>
        </w:rPr>
      </w:pPr>
    </w:p>
    <w:p>
      <w:pPr>
        <w:ind w:left="240" w:right="120" w:hanging="232"/>
        <w:spacing w:after="0" w:line="284" w:lineRule="auto"/>
        <w:tabs>
          <w:tab w:leader="none" w:pos="240" w:val="left"/>
        </w:tabs>
        <w:numPr>
          <w:ilvl w:val="0"/>
          <w:numId w:val="244"/>
        </w:numPr>
        <w:rPr>
          <w:rFonts w:ascii="Arial" w:cs="Arial" w:eastAsia="Arial" w:hAnsi="Arial"/>
          <w:sz w:val="13"/>
          <w:szCs w:val="13"/>
          <w:color w:val="61C1AF"/>
        </w:rPr>
      </w:pPr>
      <w:r>
        <w:rPr>
          <w:rFonts w:ascii="Arial" w:cs="Arial" w:eastAsia="Arial" w:hAnsi="Arial"/>
          <w:sz w:val="13"/>
          <w:szCs w:val="13"/>
          <w:b w:val="1"/>
          <w:bCs w:val="1"/>
          <w:color w:val="61C1AF"/>
        </w:rPr>
        <w:t xml:space="preserve">Proposal 1: </w:t>
      </w:r>
      <w:r>
        <w:rPr>
          <w:rFonts w:ascii="Arial" w:cs="Arial" w:eastAsia="Arial" w:hAnsi="Arial"/>
          <w:sz w:val="13"/>
          <w:szCs w:val="13"/>
          <w:color w:val="000000"/>
        </w:rPr>
        <w:t>The election of the eight director nominees named in this Proxy Statement to serve until our next annual meeting of stockholders and until their respective successors are</w:t>
      </w:r>
      <w:r>
        <w:rPr>
          <w:rFonts w:ascii="Arial" w:cs="Arial" w:eastAsia="Arial" w:hAnsi="Arial"/>
          <w:sz w:val="13"/>
          <w:szCs w:val="13"/>
          <w:b w:val="1"/>
          <w:bCs w:val="1"/>
          <w:color w:val="61C1AF"/>
        </w:rPr>
        <w:t xml:space="preserve"> </w:t>
      </w:r>
      <w:r>
        <w:rPr>
          <w:rFonts w:ascii="Arial" w:cs="Arial" w:eastAsia="Arial" w:hAnsi="Arial"/>
          <w:sz w:val="13"/>
          <w:szCs w:val="13"/>
          <w:color w:val="000000"/>
        </w:rPr>
        <w:t>duly elected and qualified;</w:t>
      </w:r>
    </w:p>
    <w:p>
      <w:pPr>
        <w:spacing w:after="0" w:line="51" w:lineRule="exact"/>
        <w:rPr>
          <w:rFonts w:ascii="Arial" w:cs="Arial" w:eastAsia="Arial" w:hAnsi="Arial"/>
          <w:sz w:val="13"/>
          <w:szCs w:val="13"/>
          <w:color w:val="61C1AF"/>
        </w:rPr>
      </w:pPr>
    </w:p>
    <w:p>
      <w:pPr>
        <w:ind w:left="240" w:hanging="232"/>
        <w:spacing w:after="0"/>
        <w:tabs>
          <w:tab w:leader="none" w:pos="240" w:val="left"/>
        </w:tabs>
        <w:numPr>
          <w:ilvl w:val="0"/>
          <w:numId w:val="244"/>
        </w:numPr>
        <w:rPr>
          <w:rFonts w:ascii="Arial" w:cs="Arial" w:eastAsia="Arial" w:hAnsi="Arial"/>
          <w:sz w:val="13"/>
          <w:szCs w:val="13"/>
          <w:color w:val="61C1AF"/>
        </w:rPr>
      </w:pPr>
      <w:r>
        <w:rPr>
          <w:rFonts w:ascii="Arial" w:cs="Arial" w:eastAsia="Arial" w:hAnsi="Arial"/>
          <w:sz w:val="13"/>
          <w:szCs w:val="13"/>
          <w:b w:val="1"/>
          <w:bCs w:val="1"/>
          <w:color w:val="61C1AF"/>
        </w:rPr>
        <w:t xml:space="preserve">Proposal 2: </w:t>
      </w:r>
      <w:r>
        <w:rPr>
          <w:rFonts w:ascii="Arial" w:cs="Arial" w:eastAsia="Arial" w:hAnsi="Arial"/>
          <w:sz w:val="13"/>
          <w:szCs w:val="13"/>
          <w:color w:val="000000"/>
        </w:rPr>
        <w:t>The approval on an advisory basis of the named executive officer compensation disclosed in this Proxy Statement;</w:t>
      </w:r>
    </w:p>
    <w:p>
      <w:pPr>
        <w:spacing w:after="0" w:line="107" w:lineRule="exact"/>
        <w:rPr>
          <w:rFonts w:ascii="Arial" w:cs="Arial" w:eastAsia="Arial" w:hAnsi="Arial"/>
          <w:sz w:val="13"/>
          <w:szCs w:val="13"/>
          <w:color w:val="61C1AF"/>
        </w:rPr>
      </w:pPr>
    </w:p>
    <w:p>
      <w:pPr>
        <w:ind w:left="240" w:right="200" w:hanging="232"/>
        <w:spacing w:after="0" w:line="284" w:lineRule="auto"/>
        <w:tabs>
          <w:tab w:leader="none" w:pos="240" w:val="left"/>
        </w:tabs>
        <w:numPr>
          <w:ilvl w:val="0"/>
          <w:numId w:val="244"/>
        </w:numPr>
        <w:rPr>
          <w:rFonts w:ascii="Arial" w:cs="Arial" w:eastAsia="Arial" w:hAnsi="Arial"/>
          <w:sz w:val="13"/>
          <w:szCs w:val="13"/>
          <w:color w:val="61C1AF"/>
        </w:rPr>
      </w:pPr>
      <w:r>
        <w:rPr>
          <w:rFonts w:ascii="Arial" w:cs="Arial" w:eastAsia="Arial" w:hAnsi="Arial"/>
          <w:sz w:val="13"/>
          <w:szCs w:val="13"/>
          <w:b w:val="1"/>
          <w:bCs w:val="1"/>
          <w:color w:val="61C1AF"/>
        </w:rPr>
        <w:t xml:space="preserve">Proposal 3: </w:t>
      </w:r>
      <w:r>
        <w:rPr>
          <w:rFonts w:ascii="Arial" w:cs="Arial" w:eastAsia="Arial" w:hAnsi="Arial"/>
          <w:sz w:val="13"/>
          <w:szCs w:val="13"/>
          <w:color w:val="000000"/>
        </w:rPr>
        <w:t>The approval of the amendment and restatement of our 2017 Performance Incentive Plan to increase by 9.8 million the number of shares of our common stock available</w:t>
      </w:r>
      <w:r>
        <w:rPr>
          <w:rFonts w:ascii="Arial" w:cs="Arial" w:eastAsia="Arial" w:hAnsi="Arial"/>
          <w:sz w:val="13"/>
          <w:szCs w:val="13"/>
          <w:b w:val="1"/>
          <w:bCs w:val="1"/>
          <w:color w:val="61C1AF"/>
        </w:rPr>
        <w:t xml:space="preserve"> </w:t>
      </w:r>
      <w:r>
        <w:rPr>
          <w:rFonts w:ascii="Arial" w:cs="Arial" w:eastAsia="Arial" w:hAnsi="Arial"/>
          <w:sz w:val="13"/>
          <w:szCs w:val="13"/>
          <w:color w:val="000000"/>
        </w:rPr>
        <w:t>for issuance under that plan; and</w:t>
      </w:r>
    </w:p>
    <w:p>
      <w:pPr>
        <w:spacing w:after="0" w:line="51" w:lineRule="exact"/>
        <w:rPr>
          <w:rFonts w:ascii="Arial" w:cs="Arial" w:eastAsia="Arial" w:hAnsi="Arial"/>
          <w:sz w:val="13"/>
          <w:szCs w:val="13"/>
          <w:color w:val="61C1AF"/>
        </w:rPr>
      </w:pPr>
    </w:p>
    <w:p>
      <w:pPr>
        <w:ind w:left="240" w:hanging="232"/>
        <w:spacing w:after="0"/>
        <w:tabs>
          <w:tab w:leader="none" w:pos="240" w:val="left"/>
        </w:tabs>
        <w:numPr>
          <w:ilvl w:val="0"/>
          <w:numId w:val="244"/>
        </w:numPr>
        <w:rPr>
          <w:rFonts w:ascii="Arial" w:cs="Arial" w:eastAsia="Arial" w:hAnsi="Arial"/>
          <w:sz w:val="13"/>
          <w:szCs w:val="13"/>
          <w:color w:val="61C1AF"/>
        </w:rPr>
      </w:pPr>
      <w:r>
        <w:rPr>
          <w:rFonts w:ascii="Arial" w:cs="Arial" w:eastAsia="Arial" w:hAnsi="Arial"/>
          <w:sz w:val="13"/>
          <w:szCs w:val="13"/>
          <w:b w:val="1"/>
          <w:bCs w:val="1"/>
          <w:color w:val="61C1AF"/>
        </w:rPr>
        <w:t xml:space="preserve">Proposal 4: </w:t>
      </w:r>
      <w:r>
        <w:rPr>
          <w:rFonts w:ascii="Arial" w:cs="Arial" w:eastAsia="Arial" w:hAnsi="Arial"/>
          <w:sz w:val="13"/>
          <w:szCs w:val="13"/>
          <w:color w:val="000000"/>
        </w:rPr>
        <w:t>The ratification of the appointment of KPMG LLP as our independent registered public accounting firm for fiscal 2021.</w:t>
      </w:r>
    </w:p>
    <w:p>
      <w:pPr>
        <w:spacing w:after="0" w:line="231" w:lineRule="exact"/>
        <w:rPr>
          <w:sz w:val="20"/>
          <w:szCs w:val="20"/>
          <w:color w:val="auto"/>
        </w:rPr>
      </w:pPr>
    </w:p>
    <w:p>
      <w:pPr>
        <w:ind w:right="80"/>
        <w:spacing w:after="0" w:line="245" w:lineRule="auto"/>
        <w:rPr>
          <w:sz w:val="20"/>
          <w:szCs w:val="20"/>
          <w:color w:val="auto"/>
        </w:rPr>
      </w:pPr>
      <w:r>
        <w:rPr>
          <w:rFonts w:ascii="Arial" w:cs="Arial" w:eastAsia="Arial" w:hAnsi="Arial"/>
          <w:sz w:val="13"/>
          <w:szCs w:val="13"/>
          <w:color w:val="auto"/>
        </w:rPr>
        <w:t>Stockholders will also be asked to consider and transact such other business as may properly come before the Annual Meeting or any postponement or adjournment of the meeting. The deadline under our By-laws for stockholders to notify us of any proposals or director nominations to be presented at the Annual Meeting has passed. Our Board of Directors does not know of any other matters to be presented for action at the Annual Meeting. Should any other matters come before the Annual Meeting or any adjournments or postponements thereof, the proxyholders will have discretionary authority to vote all proxies received with respect to such matters in accordance with their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1234440" cy="6858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34440" cy="68580"/>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BOARD RECOMMENDATIONS</w:t>
      </w:r>
    </w:p>
    <w:p>
      <w:pPr>
        <w:spacing w:after="0" w:line="252" w:lineRule="exact"/>
        <w:rPr>
          <w:sz w:val="20"/>
          <w:szCs w:val="20"/>
          <w:color w:val="auto"/>
        </w:rPr>
      </w:pPr>
    </w:p>
    <w:p>
      <w:pPr>
        <w:spacing w:after="0"/>
        <w:rPr>
          <w:sz w:val="20"/>
          <w:szCs w:val="20"/>
          <w:color w:val="auto"/>
        </w:rPr>
      </w:pPr>
      <w:r>
        <w:rPr>
          <w:rFonts w:ascii="Arial" w:cs="Arial" w:eastAsia="Arial" w:hAnsi="Arial"/>
          <w:sz w:val="13"/>
          <w:szCs w:val="13"/>
          <w:color w:val="auto"/>
        </w:rPr>
        <w:t>Our Board of Directors recommends that you vote your shares:</w:t>
      </w:r>
    </w:p>
    <w:p>
      <w:pPr>
        <w:spacing w:after="0" w:line="199" w:lineRule="exact"/>
        <w:rPr>
          <w:sz w:val="20"/>
          <w:szCs w:val="20"/>
          <w:color w:val="auto"/>
        </w:rPr>
      </w:pPr>
    </w:p>
    <w:p>
      <w:pPr>
        <w:ind w:left="240" w:hanging="232"/>
        <w:spacing w:after="0"/>
        <w:tabs>
          <w:tab w:leader="none" w:pos="240" w:val="left"/>
        </w:tabs>
        <w:numPr>
          <w:ilvl w:val="0"/>
          <w:numId w:val="245"/>
        </w:numPr>
        <w:rPr>
          <w:rFonts w:ascii="Arial" w:cs="Arial" w:eastAsia="Arial" w:hAnsi="Arial"/>
          <w:sz w:val="13"/>
          <w:szCs w:val="13"/>
          <w:color w:val="61C1AF"/>
        </w:rPr>
      </w:pPr>
      <w:r>
        <w:rPr>
          <w:rFonts w:ascii="Arial" w:cs="Arial" w:eastAsia="Arial" w:hAnsi="Arial"/>
          <w:sz w:val="13"/>
          <w:szCs w:val="13"/>
          <w:b w:val="1"/>
          <w:bCs w:val="1"/>
          <w:color w:val="61C1AF"/>
        </w:rPr>
        <w:t xml:space="preserve">Proposal 1: </w:t>
      </w:r>
      <w:r>
        <w:rPr>
          <w:rFonts w:ascii="Arial" w:cs="Arial" w:eastAsia="Arial" w:hAnsi="Arial"/>
          <w:sz w:val="13"/>
          <w:szCs w:val="13"/>
          <w:b w:val="1"/>
          <w:bCs w:val="1"/>
          <w:color w:val="000000"/>
        </w:rPr>
        <w:t>“FOR”</w:t>
      </w:r>
      <w:r>
        <w:rPr>
          <w:rFonts w:ascii="Arial" w:cs="Arial" w:eastAsia="Arial" w:hAnsi="Arial"/>
          <w:sz w:val="13"/>
          <w:szCs w:val="13"/>
          <w:b w:val="1"/>
          <w:bCs w:val="1"/>
          <w:color w:val="61C1AF"/>
        </w:rPr>
        <w:t xml:space="preserve"> </w:t>
      </w:r>
      <w:r>
        <w:rPr>
          <w:rFonts w:ascii="Arial" w:cs="Arial" w:eastAsia="Arial" w:hAnsi="Arial"/>
          <w:sz w:val="13"/>
          <w:szCs w:val="13"/>
          <w:color w:val="000000"/>
        </w:rPr>
        <w:t>each of the eight director nominees named in this Proxy Statement to be elected to our Board of Directors;</w:t>
      </w:r>
    </w:p>
    <w:p>
      <w:pPr>
        <w:spacing w:after="0" w:line="107" w:lineRule="exact"/>
        <w:rPr>
          <w:rFonts w:ascii="Arial" w:cs="Arial" w:eastAsia="Arial" w:hAnsi="Arial"/>
          <w:sz w:val="13"/>
          <w:szCs w:val="13"/>
          <w:color w:val="61C1AF"/>
        </w:rPr>
      </w:pPr>
    </w:p>
    <w:p>
      <w:pPr>
        <w:ind w:left="240" w:hanging="232"/>
        <w:spacing w:after="0"/>
        <w:tabs>
          <w:tab w:leader="none" w:pos="240" w:val="left"/>
        </w:tabs>
        <w:numPr>
          <w:ilvl w:val="0"/>
          <w:numId w:val="245"/>
        </w:numPr>
        <w:rPr>
          <w:rFonts w:ascii="Arial" w:cs="Arial" w:eastAsia="Arial" w:hAnsi="Arial"/>
          <w:sz w:val="13"/>
          <w:szCs w:val="13"/>
          <w:color w:val="61C1AF"/>
        </w:rPr>
      </w:pPr>
      <w:r>
        <w:rPr>
          <w:rFonts w:ascii="Arial" w:cs="Arial" w:eastAsia="Arial" w:hAnsi="Arial"/>
          <w:sz w:val="13"/>
          <w:szCs w:val="13"/>
          <w:b w:val="1"/>
          <w:bCs w:val="1"/>
          <w:color w:val="61C1AF"/>
        </w:rPr>
        <w:t xml:space="preserve">Proposal 2: </w:t>
      </w:r>
      <w:r>
        <w:rPr>
          <w:rFonts w:ascii="Arial" w:cs="Arial" w:eastAsia="Arial" w:hAnsi="Arial"/>
          <w:sz w:val="13"/>
          <w:szCs w:val="13"/>
          <w:b w:val="1"/>
          <w:bCs w:val="1"/>
          <w:color w:val="000000"/>
        </w:rPr>
        <w:t>“FOR”</w:t>
      </w:r>
      <w:r>
        <w:rPr>
          <w:rFonts w:ascii="Arial" w:cs="Arial" w:eastAsia="Arial" w:hAnsi="Arial"/>
          <w:sz w:val="13"/>
          <w:szCs w:val="13"/>
          <w:b w:val="1"/>
          <w:bCs w:val="1"/>
          <w:color w:val="61C1AF"/>
        </w:rPr>
        <w:t xml:space="preserve"> </w:t>
      </w:r>
      <w:r>
        <w:rPr>
          <w:rFonts w:ascii="Arial" w:cs="Arial" w:eastAsia="Arial" w:hAnsi="Arial"/>
          <w:sz w:val="13"/>
          <w:szCs w:val="13"/>
          <w:color w:val="000000"/>
        </w:rPr>
        <w:t>the approval on an advisory basis of the named executive officer compensation disclosed in this Proxy Statement;</w:t>
      </w:r>
    </w:p>
    <w:p>
      <w:pPr>
        <w:spacing w:after="0" w:line="107" w:lineRule="exact"/>
        <w:rPr>
          <w:rFonts w:ascii="Arial" w:cs="Arial" w:eastAsia="Arial" w:hAnsi="Arial"/>
          <w:sz w:val="13"/>
          <w:szCs w:val="13"/>
          <w:color w:val="61C1AF"/>
        </w:rPr>
      </w:pPr>
    </w:p>
    <w:p>
      <w:pPr>
        <w:ind w:left="240" w:right="340" w:hanging="232"/>
        <w:spacing w:after="0" w:line="284" w:lineRule="auto"/>
        <w:tabs>
          <w:tab w:leader="none" w:pos="240" w:val="left"/>
        </w:tabs>
        <w:numPr>
          <w:ilvl w:val="0"/>
          <w:numId w:val="245"/>
        </w:numPr>
        <w:rPr>
          <w:rFonts w:ascii="Arial" w:cs="Arial" w:eastAsia="Arial" w:hAnsi="Arial"/>
          <w:sz w:val="13"/>
          <w:szCs w:val="13"/>
          <w:color w:val="61C1AF"/>
        </w:rPr>
      </w:pPr>
      <w:r>
        <w:rPr>
          <w:rFonts w:ascii="Arial" w:cs="Arial" w:eastAsia="Arial" w:hAnsi="Arial"/>
          <w:sz w:val="13"/>
          <w:szCs w:val="13"/>
          <w:b w:val="1"/>
          <w:bCs w:val="1"/>
          <w:color w:val="61C1AF"/>
        </w:rPr>
        <w:t xml:space="preserve">Proposal 3: </w:t>
      </w:r>
      <w:r>
        <w:rPr>
          <w:rFonts w:ascii="Arial" w:cs="Arial" w:eastAsia="Arial" w:hAnsi="Arial"/>
          <w:sz w:val="13"/>
          <w:szCs w:val="13"/>
          <w:b w:val="1"/>
          <w:bCs w:val="1"/>
          <w:color w:val="000000"/>
        </w:rPr>
        <w:t>“FOR”</w:t>
      </w:r>
      <w:r>
        <w:rPr>
          <w:rFonts w:ascii="Arial" w:cs="Arial" w:eastAsia="Arial" w:hAnsi="Arial"/>
          <w:sz w:val="13"/>
          <w:szCs w:val="13"/>
          <w:b w:val="1"/>
          <w:bCs w:val="1"/>
          <w:color w:val="61C1AF"/>
        </w:rPr>
        <w:t xml:space="preserve"> </w:t>
      </w:r>
      <w:r>
        <w:rPr>
          <w:rFonts w:ascii="Arial" w:cs="Arial" w:eastAsia="Arial" w:hAnsi="Arial"/>
          <w:sz w:val="13"/>
          <w:szCs w:val="13"/>
          <w:color w:val="000000"/>
        </w:rPr>
        <w:t>the approval of the amendment and restatement of our 2017 Performance Incentive Plan to increase by 9.8 million the number of shares of our common stock</w:t>
      </w:r>
      <w:r>
        <w:rPr>
          <w:rFonts w:ascii="Arial" w:cs="Arial" w:eastAsia="Arial" w:hAnsi="Arial"/>
          <w:sz w:val="13"/>
          <w:szCs w:val="13"/>
          <w:b w:val="1"/>
          <w:bCs w:val="1"/>
          <w:color w:val="61C1AF"/>
        </w:rPr>
        <w:t xml:space="preserve"> </w:t>
      </w:r>
      <w:r>
        <w:rPr>
          <w:rFonts w:ascii="Arial" w:cs="Arial" w:eastAsia="Arial" w:hAnsi="Arial"/>
          <w:sz w:val="13"/>
          <w:szCs w:val="13"/>
          <w:color w:val="000000"/>
        </w:rPr>
        <w:t>available for issuance under that plan; and</w:t>
      </w:r>
    </w:p>
    <w:p>
      <w:pPr>
        <w:spacing w:after="0" w:line="51" w:lineRule="exact"/>
        <w:rPr>
          <w:rFonts w:ascii="Arial" w:cs="Arial" w:eastAsia="Arial" w:hAnsi="Arial"/>
          <w:sz w:val="13"/>
          <w:szCs w:val="13"/>
          <w:color w:val="61C1AF"/>
        </w:rPr>
      </w:pPr>
    </w:p>
    <w:p>
      <w:pPr>
        <w:ind w:left="240" w:hanging="232"/>
        <w:spacing w:after="0"/>
        <w:tabs>
          <w:tab w:leader="none" w:pos="240" w:val="left"/>
        </w:tabs>
        <w:numPr>
          <w:ilvl w:val="0"/>
          <w:numId w:val="245"/>
        </w:numPr>
        <w:rPr>
          <w:rFonts w:ascii="Arial" w:cs="Arial" w:eastAsia="Arial" w:hAnsi="Arial"/>
          <w:sz w:val="13"/>
          <w:szCs w:val="13"/>
          <w:color w:val="61C1AF"/>
        </w:rPr>
      </w:pPr>
      <w:r>
        <w:rPr>
          <w:rFonts w:ascii="Arial" w:cs="Arial" w:eastAsia="Arial" w:hAnsi="Arial"/>
          <w:sz w:val="13"/>
          <w:szCs w:val="13"/>
          <w:b w:val="1"/>
          <w:bCs w:val="1"/>
          <w:color w:val="61C1AF"/>
        </w:rPr>
        <w:t xml:space="preserve">Proposal 4: </w:t>
      </w:r>
      <w:r>
        <w:rPr>
          <w:rFonts w:ascii="Arial" w:cs="Arial" w:eastAsia="Arial" w:hAnsi="Arial"/>
          <w:sz w:val="13"/>
          <w:szCs w:val="13"/>
          <w:b w:val="1"/>
          <w:bCs w:val="1"/>
          <w:color w:val="000000"/>
        </w:rPr>
        <w:t>“FOR”</w:t>
      </w:r>
      <w:r>
        <w:rPr>
          <w:rFonts w:ascii="Arial" w:cs="Arial" w:eastAsia="Arial" w:hAnsi="Arial"/>
          <w:sz w:val="13"/>
          <w:szCs w:val="13"/>
          <w:b w:val="1"/>
          <w:bCs w:val="1"/>
          <w:color w:val="61C1AF"/>
        </w:rPr>
        <w:t xml:space="preserve"> </w:t>
      </w:r>
      <w:r>
        <w:rPr>
          <w:rFonts w:ascii="Arial" w:cs="Arial" w:eastAsia="Arial" w:hAnsi="Arial"/>
          <w:sz w:val="13"/>
          <w:szCs w:val="13"/>
          <w:color w:val="000000"/>
        </w:rPr>
        <w:t>the ratification of the appointment of KPMG LLP as our independent registered public accounting firm for fiscal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1234440" cy="6858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34440" cy="68580"/>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VOTING DEADLINE</w:t>
      </w:r>
    </w:p>
    <w:p>
      <w:pPr>
        <w:spacing w:after="0" w:line="252" w:lineRule="exact"/>
        <w:rPr>
          <w:sz w:val="20"/>
          <w:szCs w:val="20"/>
          <w:color w:val="auto"/>
        </w:rPr>
      </w:pPr>
    </w:p>
    <w:p>
      <w:pPr>
        <w:ind w:right="60"/>
        <w:spacing w:after="0" w:line="245" w:lineRule="auto"/>
        <w:rPr>
          <w:sz w:val="20"/>
          <w:szCs w:val="20"/>
          <w:color w:val="auto"/>
        </w:rPr>
      </w:pPr>
      <w:r>
        <w:rPr>
          <w:rFonts w:ascii="Arial" w:cs="Arial" w:eastAsia="Arial" w:hAnsi="Arial"/>
          <w:sz w:val="13"/>
          <w:szCs w:val="13"/>
          <w:color w:val="auto"/>
        </w:rPr>
        <w:t xml:space="preserve">If you are a stockholder of record, please submit your proxy by telephone, the Internet or mail by 11:59 p.m. Eastern time on November 17, 2020 in order for your shares to be voted at the Annual Meeting. If you are a beneficial stockholder, please follow the voting instructions provided by the bank, broker, trustee or nominee who holds your shares. </w:t>
      </w:r>
      <w:r>
        <w:rPr>
          <w:rFonts w:ascii="Arial" w:cs="Arial" w:eastAsia="Arial" w:hAnsi="Arial"/>
          <w:sz w:val="13"/>
          <w:szCs w:val="13"/>
          <w:b w:val="1"/>
          <w:bCs w:val="1"/>
          <w:color w:val="auto"/>
        </w:rPr>
        <w:t>If you hold shares in the</w:t>
      </w:r>
      <w:r>
        <w:rPr>
          <w:rFonts w:ascii="Arial" w:cs="Arial" w:eastAsia="Arial" w:hAnsi="Arial"/>
          <w:sz w:val="13"/>
          <w:szCs w:val="13"/>
          <w:color w:val="auto"/>
        </w:rPr>
        <w:t xml:space="preserve"> </w:t>
      </w:r>
      <w:r>
        <w:rPr>
          <w:rFonts w:ascii="Arial" w:cs="Arial" w:eastAsia="Arial" w:hAnsi="Arial"/>
          <w:sz w:val="13"/>
          <w:szCs w:val="13"/>
          <w:b w:val="1"/>
          <w:bCs w:val="1"/>
          <w:color w:val="auto"/>
        </w:rPr>
        <w:t>401(k) Plan, to allow sufficient time for voting by the plan trustee, please submit your voting instructions by telephone, the Internet or mail by 11:59 p.m. Eastern time on November 15,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1234440" cy="6858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34440" cy="6858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REVOKING YOUR PROXY</w:t>
      </w:r>
    </w:p>
    <w:p>
      <w:pPr>
        <w:spacing w:after="0" w:line="252" w:lineRule="exact"/>
        <w:rPr>
          <w:sz w:val="20"/>
          <w:szCs w:val="20"/>
          <w:color w:val="auto"/>
        </w:rPr>
      </w:pPr>
    </w:p>
    <w:p>
      <w:pPr>
        <w:ind w:right="20"/>
        <w:spacing w:after="0" w:line="245" w:lineRule="auto"/>
        <w:rPr>
          <w:sz w:val="20"/>
          <w:szCs w:val="20"/>
          <w:color w:val="auto"/>
        </w:rPr>
      </w:pPr>
      <w:r>
        <w:rPr>
          <w:rFonts w:ascii="Arial" w:cs="Arial" w:eastAsia="Arial" w:hAnsi="Arial"/>
          <w:sz w:val="13"/>
          <w:szCs w:val="13"/>
          <w:color w:val="auto"/>
        </w:rPr>
        <w:t>You have the power to revoke your proxy or voting instructions before your shares are voted at the Annual Meeting. If you are a stockholder of record, you may revoke your proxy by submitting a written notice of revocation to our Secretary at Western Digital Corporation, 5601 Great Oaks Parkway, San Jose, California 95119, or, to change how your shares will be voted at the Annual Meeting, by mailing a duly executed written proxy bearing a date that is later than the date of your original proxy or by submitting a later dated proxy via the Internet or by telephone.</w:t>
      </w:r>
    </w:p>
    <w:p>
      <w:pPr>
        <w:spacing w:after="0" w:line="352" w:lineRule="exact"/>
        <w:rPr>
          <w:sz w:val="20"/>
          <w:szCs w:val="20"/>
          <w:color w:val="auto"/>
        </w:rPr>
      </w:pPr>
    </w:p>
    <w:p>
      <w:pPr>
        <w:ind w:right="40"/>
        <w:spacing w:after="0" w:line="243" w:lineRule="auto"/>
        <w:rPr>
          <w:sz w:val="20"/>
          <w:szCs w:val="20"/>
          <w:color w:val="auto"/>
        </w:rPr>
      </w:pPr>
      <w:r>
        <w:rPr>
          <w:rFonts w:ascii="Arial" w:cs="Arial" w:eastAsia="Arial" w:hAnsi="Arial"/>
          <w:sz w:val="13"/>
          <w:szCs w:val="13"/>
          <w:color w:val="auto"/>
        </w:rPr>
        <w:t>A previously submitted proxy will not be voted if the stockholder of record who executed it attends the Annual Meeting and votes the shares represented by the proxy electronically at the Annual Meeting. For shares you hold beneficially in street name, you may change your vote by submitting new voting instructions to your bank, broker, trustee or nominee or by attending the Annual Meeting and voting electronically. Please note that attending the Annual Meeting will not by itself constitute revocation of a proxy. Any change to your proxy or voting instructions should be submitted by telephone, the Internet or mail by 11:59 p.m. Eastern time on November 17, 2020, unless you are voting shares held in our 401(k) Plan, in which case you should submit your voting instructions by 11:59 p.m. Eastern time on November 15, 2020.</w:t>
      </w:r>
    </w:p>
    <w:p>
      <w:pPr>
        <w:spacing w:after="0" w:line="184"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3"/>
          <w:szCs w:val="13"/>
          <w:color w:val="23628F"/>
        </w:rPr>
        <w:t>2020 PROXY STATEMENT</w:t>
      </w:r>
      <w:r>
        <w:rPr>
          <w:sz w:val="20"/>
          <w:szCs w:val="20"/>
          <w:color w:val="auto"/>
        </w:rPr>
        <w:tab/>
      </w:r>
      <w:r>
        <w:rPr>
          <w:rFonts w:ascii="Arial" w:cs="Arial" w:eastAsia="Arial" w:hAnsi="Arial"/>
          <w:sz w:val="16"/>
          <w:szCs w:val="16"/>
          <w:b w:val="1"/>
          <w:bCs w:val="1"/>
          <w:color w:val="23628F"/>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153275" cy="209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23628F"/>
        </w:rPr>
        <w:t>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234440" cy="6858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34440" cy="68580"/>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QUORUM</w:t>
      </w:r>
    </w:p>
    <w:p>
      <w:pPr>
        <w:spacing w:after="0" w:line="252" w:lineRule="exact"/>
        <w:rPr>
          <w:sz w:val="20"/>
          <w:szCs w:val="20"/>
          <w:color w:val="auto"/>
        </w:rPr>
      </w:pPr>
    </w:p>
    <w:p>
      <w:pPr>
        <w:spacing w:after="0" w:line="243" w:lineRule="auto"/>
        <w:rPr>
          <w:sz w:val="20"/>
          <w:szCs w:val="20"/>
          <w:color w:val="auto"/>
        </w:rPr>
      </w:pPr>
      <w:r>
        <w:rPr>
          <w:rFonts w:ascii="Arial" w:cs="Arial" w:eastAsia="Arial" w:hAnsi="Arial"/>
          <w:sz w:val="13"/>
          <w:szCs w:val="13"/>
          <w:color w:val="auto"/>
        </w:rPr>
        <w:t>The holders of a majority of our shares of common stock outstanding on the record date and entitled to vote at the Annual Meeting, present or represented by proxy, will constitute a quorum for the transaction of business at the Annual Meeting and any adjournments or postponements thereof. If you submit a proxy or voting instructions, your shares will be counted for purposes of determining the presence or absence of a quorum, even if you abstain from voting your shares. If a broker indicates on a proxy that it lacks discretionary authority to vote your shares on a particular matter, commonly referred to as “broker non-votes,” those shares will also be counted for purposes of determining the presence of a quorum at the Annual Meeting. If a quorum is not present, the Annual Meeting will be adjourned until a quorum is obtained.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234440" cy="6858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34440" cy="68580"/>
                    </a:xfrm>
                    <a:prstGeom prst="rect">
                      <a:avLst/>
                    </a:prstGeom>
                    <a:noFill/>
                  </pic:spPr>
                </pic:pic>
              </a:graphicData>
            </a:graphic>
          </wp:anchor>
        </w:drawing>
      </w:r>
    </w:p>
    <w:p>
      <w:pPr>
        <w:spacing w:after="0" w:line="306"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VOTING REQUIREMENTS</w:t>
      </w:r>
    </w:p>
    <w:p>
      <w:pPr>
        <w:spacing w:after="0" w:line="252" w:lineRule="exact"/>
        <w:rPr>
          <w:sz w:val="20"/>
          <w:szCs w:val="20"/>
          <w:color w:val="auto"/>
        </w:rPr>
      </w:pPr>
    </w:p>
    <w:p>
      <w:pPr>
        <w:ind w:right="200"/>
        <w:spacing w:after="0" w:line="258" w:lineRule="auto"/>
        <w:rPr>
          <w:sz w:val="20"/>
          <w:szCs w:val="20"/>
          <w:color w:val="auto"/>
        </w:rPr>
      </w:pPr>
      <w:r>
        <w:rPr>
          <w:rFonts w:ascii="Arial" w:cs="Arial" w:eastAsia="Arial" w:hAnsi="Arial"/>
          <w:sz w:val="13"/>
          <w:szCs w:val="13"/>
          <w:color w:val="auto"/>
        </w:rPr>
        <w:t>Each share of our common stock outstanding at the close of business on the record date is entitled to one vote on each of the eight director nominees and one vote on each other matter that may be presented for consideration and action by the stockholders at the Annual Meeting.</w:t>
      </w:r>
    </w:p>
    <w:p>
      <w:pPr>
        <w:spacing w:after="0" w:line="176" w:lineRule="exact"/>
        <w:rPr>
          <w:sz w:val="20"/>
          <w:szCs w:val="20"/>
          <w:color w:val="auto"/>
        </w:rPr>
      </w:pPr>
    </w:p>
    <w:p>
      <w:pPr>
        <w:ind w:left="240" w:right="140" w:hanging="232"/>
        <w:spacing w:after="0" w:line="284" w:lineRule="auto"/>
        <w:tabs>
          <w:tab w:leader="none" w:pos="240" w:val="left"/>
        </w:tabs>
        <w:numPr>
          <w:ilvl w:val="0"/>
          <w:numId w:val="246"/>
        </w:numPr>
        <w:rPr>
          <w:rFonts w:ascii="Arial" w:cs="Arial" w:eastAsia="Arial" w:hAnsi="Arial"/>
          <w:sz w:val="13"/>
          <w:szCs w:val="13"/>
          <w:color w:val="61C1AF"/>
        </w:rPr>
      </w:pPr>
      <w:r>
        <w:rPr>
          <w:rFonts w:ascii="Arial" w:cs="Arial" w:eastAsia="Arial" w:hAnsi="Arial"/>
          <w:sz w:val="13"/>
          <w:szCs w:val="13"/>
          <w:b w:val="1"/>
          <w:bCs w:val="1"/>
          <w:color w:val="61C1AF"/>
        </w:rPr>
        <w:t xml:space="preserve">Proposal 1: </w:t>
      </w:r>
      <w:r>
        <w:rPr>
          <w:rFonts w:ascii="Arial" w:cs="Arial" w:eastAsia="Arial" w:hAnsi="Arial"/>
          <w:sz w:val="13"/>
          <w:szCs w:val="13"/>
          <w:color w:val="000000"/>
        </w:rPr>
        <w:t>You may vote FOR, AGAINST or ABSTAIN with respect to each director nominee. Each director nominee receiving the affirmative approval of a majority of the votes cast</w:t>
      </w:r>
      <w:r>
        <w:rPr>
          <w:rFonts w:ascii="Arial" w:cs="Arial" w:eastAsia="Arial" w:hAnsi="Arial"/>
          <w:sz w:val="13"/>
          <w:szCs w:val="13"/>
          <w:b w:val="1"/>
          <w:bCs w:val="1"/>
          <w:color w:val="61C1AF"/>
        </w:rPr>
        <w:t xml:space="preserve"> </w:t>
      </w:r>
      <w:r>
        <w:rPr>
          <w:rFonts w:ascii="Arial" w:cs="Arial" w:eastAsia="Arial" w:hAnsi="Arial"/>
          <w:sz w:val="13"/>
          <w:szCs w:val="13"/>
          <w:color w:val="000000"/>
        </w:rPr>
        <w:t>with respect to his or her election (that is, the number of shares voted “for” the nominee exceeds the number of votes cast “against” that nominee) will be elected as a director.</w:t>
      </w:r>
    </w:p>
    <w:p>
      <w:pPr>
        <w:spacing w:after="0" w:line="51" w:lineRule="exact"/>
        <w:rPr>
          <w:rFonts w:ascii="Arial" w:cs="Arial" w:eastAsia="Arial" w:hAnsi="Arial"/>
          <w:sz w:val="13"/>
          <w:szCs w:val="13"/>
          <w:color w:val="61C1AF"/>
        </w:rPr>
      </w:pPr>
    </w:p>
    <w:p>
      <w:pPr>
        <w:ind w:left="240" w:right="740" w:hanging="232"/>
        <w:spacing w:after="0" w:line="284" w:lineRule="auto"/>
        <w:tabs>
          <w:tab w:leader="none" w:pos="240" w:val="left"/>
        </w:tabs>
        <w:numPr>
          <w:ilvl w:val="0"/>
          <w:numId w:val="246"/>
        </w:numPr>
        <w:rPr>
          <w:rFonts w:ascii="Arial" w:cs="Arial" w:eastAsia="Arial" w:hAnsi="Arial"/>
          <w:sz w:val="13"/>
          <w:szCs w:val="13"/>
          <w:color w:val="61C1AF"/>
        </w:rPr>
      </w:pPr>
      <w:r>
        <w:rPr>
          <w:rFonts w:ascii="Arial" w:cs="Arial" w:eastAsia="Arial" w:hAnsi="Arial"/>
          <w:sz w:val="13"/>
          <w:szCs w:val="13"/>
          <w:b w:val="1"/>
          <w:bCs w:val="1"/>
          <w:color w:val="61C1AF"/>
        </w:rPr>
        <w:t xml:space="preserve">Proposals 2, 3 and 4: </w:t>
      </w:r>
      <w:r>
        <w:rPr>
          <w:rFonts w:ascii="Arial" w:cs="Arial" w:eastAsia="Arial" w:hAnsi="Arial"/>
          <w:sz w:val="13"/>
          <w:szCs w:val="13"/>
          <w:color w:val="000000"/>
        </w:rPr>
        <w:t>You may vote FOR, AGAINST or ABSTAIN. Each of these proposals requires the affirmative approval of a majority of the shares present in person or</w:t>
      </w:r>
      <w:r>
        <w:rPr>
          <w:rFonts w:ascii="Arial" w:cs="Arial" w:eastAsia="Arial" w:hAnsi="Arial"/>
          <w:sz w:val="13"/>
          <w:szCs w:val="13"/>
          <w:b w:val="1"/>
          <w:bCs w:val="1"/>
          <w:color w:val="61C1AF"/>
        </w:rPr>
        <w:t xml:space="preserve"> </w:t>
      </w:r>
      <w:r>
        <w:rPr>
          <w:rFonts w:ascii="Arial" w:cs="Arial" w:eastAsia="Arial" w:hAnsi="Arial"/>
          <w:sz w:val="13"/>
          <w:szCs w:val="13"/>
          <w:color w:val="000000"/>
        </w:rPr>
        <w:t>represented by proxy and entitled to vote on the proposal at the Annual Meeting.</w:t>
      </w:r>
    </w:p>
    <w:p>
      <w:pPr>
        <w:spacing w:after="0" w:line="175" w:lineRule="exact"/>
        <w:rPr>
          <w:sz w:val="20"/>
          <w:szCs w:val="20"/>
          <w:color w:val="auto"/>
        </w:rPr>
      </w:pPr>
    </w:p>
    <w:p>
      <w:pPr>
        <w:ind w:right="140"/>
        <w:spacing w:after="0" w:line="258" w:lineRule="auto"/>
        <w:rPr>
          <w:sz w:val="20"/>
          <w:szCs w:val="20"/>
          <w:color w:val="auto"/>
        </w:rPr>
      </w:pPr>
      <w:r>
        <w:rPr>
          <w:rFonts w:ascii="Arial" w:cs="Arial" w:eastAsia="Arial" w:hAnsi="Arial"/>
          <w:sz w:val="13"/>
          <w:szCs w:val="13"/>
          <w:color w:val="auto"/>
        </w:rPr>
        <w:t>Please be aware that Proposals 2 and 4 are advisory only and are not binding on our company. Our Board of Directors will consider the outcome of the vote on each of these proposals in considering what action, if any, should be taken in response to the advisory vote by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234440" cy="6858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34440" cy="68580"/>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ABSTENTIONS AND BROKER NON-VOTES</w:t>
      </w:r>
    </w:p>
    <w:p>
      <w:pPr>
        <w:spacing w:after="0" w:line="219"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Abstentions</w:t>
      </w:r>
    </w:p>
    <w:p>
      <w:pPr>
        <w:spacing w:after="0" w:line="241" w:lineRule="exact"/>
        <w:rPr>
          <w:sz w:val="20"/>
          <w:szCs w:val="20"/>
          <w:color w:val="auto"/>
        </w:rPr>
      </w:pPr>
    </w:p>
    <w:p>
      <w:pPr>
        <w:ind w:left="240" w:hanging="232"/>
        <w:spacing w:after="0"/>
        <w:tabs>
          <w:tab w:leader="none" w:pos="240" w:val="left"/>
        </w:tabs>
        <w:numPr>
          <w:ilvl w:val="0"/>
          <w:numId w:val="247"/>
        </w:numPr>
        <w:rPr>
          <w:rFonts w:ascii="Arial" w:cs="Arial" w:eastAsia="Arial" w:hAnsi="Arial"/>
          <w:sz w:val="13"/>
          <w:szCs w:val="13"/>
          <w:color w:val="61C1AF"/>
        </w:rPr>
      </w:pPr>
      <w:r>
        <w:rPr>
          <w:rFonts w:ascii="Arial" w:cs="Arial" w:eastAsia="Arial" w:hAnsi="Arial"/>
          <w:sz w:val="13"/>
          <w:szCs w:val="13"/>
          <w:b w:val="1"/>
          <w:bCs w:val="1"/>
          <w:color w:val="61C1AF"/>
        </w:rPr>
        <w:t xml:space="preserve">Proposal 1: </w:t>
      </w:r>
      <w:r>
        <w:rPr>
          <w:rFonts w:ascii="Arial" w:cs="Arial" w:eastAsia="Arial" w:hAnsi="Arial"/>
          <w:sz w:val="13"/>
          <w:szCs w:val="13"/>
          <w:color w:val="000000"/>
        </w:rPr>
        <w:t>Shares voting “abstain” will be entirely excluded from the vote and will not be counted in determining the outcome of a director nominee’s election.</w:t>
      </w:r>
    </w:p>
    <w:p>
      <w:pPr>
        <w:spacing w:after="0" w:line="107" w:lineRule="exact"/>
        <w:rPr>
          <w:rFonts w:ascii="Arial" w:cs="Arial" w:eastAsia="Arial" w:hAnsi="Arial"/>
          <w:sz w:val="13"/>
          <w:szCs w:val="13"/>
          <w:color w:val="61C1AF"/>
        </w:rPr>
      </w:pPr>
    </w:p>
    <w:p>
      <w:pPr>
        <w:ind w:left="240" w:right="400" w:hanging="232"/>
        <w:spacing w:after="0" w:line="284" w:lineRule="auto"/>
        <w:tabs>
          <w:tab w:leader="none" w:pos="240" w:val="left"/>
        </w:tabs>
        <w:numPr>
          <w:ilvl w:val="0"/>
          <w:numId w:val="247"/>
        </w:numPr>
        <w:rPr>
          <w:rFonts w:ascii="Arial" w:cs="Arial" w:eastAsia="Arial" w:hAnsi="Arial"/>
          <w:sz w:val="13"/>
          <w:szCs w:val="13"/>
          <w:color w:val="61C1AF"/>
        </w:rPr>
      </w:pPr>
      <w:r>
        <w:rPr>
          <w:rFonts w:ascii="Arial" w:cs="Arial" w:eastAsia="Arial" w:hAnsi="Arial"/>
          <w:sz w:val="13"/>
          <w:szCs w:val="13"/>
          <w:b w:val="1"/>
          <w:bCs w:val="1"/>
          <w:color w:val="61C1AF"/>
        </w:rPr>
        <w:t xml:space="preserve">Proposals 2, 3 and 4: </w:t>
      </w:r>
      <w:r>
        <w:rPr>
          <w:rFonts w:ascii="Arial" w:cs="Arial" w:eastAsia="Arial" w:hAnsi="Arial"/>
          <w:sz w:val="13"/>
          <w:szCs w:val="13"/>
          <w:color w:val="000000"/>
        </w:rPr>
        <w:t>We treat abstentions as shares present or represented and entitled to vote on these proposals, so abstaining has the same effect as a vote “against” these</w:t>
      </w:r>
      <w:r>
        <w:rPr>
          <w:rFonts w:ascii="Arial" w:cs="Arial" w:eastAsia="Arial" w:hAnsi="Arial"/>
          <w:sz w:val="13"/>
          <w:szCs w:val="13"/>
          <w:b w:val="1"/>
          <w:bCs w:val="1"/>
          <w:color w:val="61C1AF"/>
        </w:rPr>
        <w:t xml:space="preserve"> </w:t>
      </w:r>
      <w:r>
        <w:rPr>
          <w:rFonts w:ascii="Arial" w:cs="Arial" w:eastAsia="Arial" w:hAnsi="Arial"/>
          <w:sz w:val="13"/>
          <w:szCs w:val="13"/>
          <w:color w:val="000000"/>
        </w:rPr>
        <w:t>proposals.</w:t>
      </w:r>
    </w:p>
    <w:p>
      <w:pPr>
        <w:spacing w:after="0" w:line="142"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Broker Non-Votes</w:t>
      </w:r>
    </w:p>
    <w:p>
      <w:pPr>
        <w:spacing w:after="0" w:line="257" w:lineRule="exact"/>
        <w:rPr>
          <w:sz w:val="20"/>
          <w:szCs w:val="20"/>
          <w:color w:val="auto"/>
        </w:rPr>
      </w:pPr>
    </w:p>
    <w:p>
      <w:pPr>
        <w:ind w:right="40"/>
        <w:spacing w:after="0" w:line="241" w:lineRule="auto"/>
        <w:rPr>
          <w:sz w:val="20"/>
          <w:szCs w:val="20"/>
          <w:color w:val="auto"/>
        </w:rPr>
      </w:pPr>
      <w:r>
        <w:rPr>
          <w:rFonts w:ascii="Arial" w:cs="Arial" w:eastAsia="Arial" w:hAnsi="Arial"/>
          <w:sz w:val="13"/>
          <w:szCs w:val="13"/>
          <w:color w:val="auto"/>
        </w:rPr>
        <w:t>If you are a beneficial stockholder that holds your shares through a brokerage account and you do not submit voting instructions to your broker, your broker may generally vote your shares in its discretion on routine matters. However, a broker cannot vote shares held for a beneficial stockholder on non-routine matters, unless the broker receives voting instructions from the beneficial stockholder. Proposal 4 (ratification of KPMG LLP as our independent registered public accounting firm) is considered routine and may be voted upon by your broker if you do not submit voting instructions. However, all other proposals to be voted on at the Annual Meeting are considered non-routine matters. Consequently, if you hold your shares through a brokerage account and do not submit voting instructions to your broker, your broker may exercise its discretion to vote your shares on Proposal 4, but will not be permitted to vote your shares on any of the other proposals at the Annual Meeting. If your broker exercises this discretion, your shares will be counted as present for determining the presence of a quorum at the Annual Meeting and will be voted on Proposal 4 in the manner directed by your broker, but your shares will constitute broker non-votes on each of the other proposals at the Annual Meeting and will not be counted for purposes of determining the outcome of each such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1234440" cy="6858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34440" cy="68580"/>
                    </a:xfrm>
                    <a:prstGeom prst="rect">
                      <a:avLst/>
                    </a:prstGeom>
                    <a:noFill/>
                  </pic:spPr>
                </pic:pic>
              </a:graphicData>
            </a:graphic>
          </wp:anchor>
        </w:drawing>
      </w:r>
    </w:p>
    <w:p>
      <w:pPr>
        <w:spacing w:after="0" w:line="307"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VOTING RESULTS</w:t>
      </w:r>
    </w:p>
    <w:p>
      <w:pPr>
        <w:spacing w:after="0" w:line="252" w:lineRule="exact"/>
        <w:rPr>
          <w:sz w:val="20"/>
          <w:szCs w:val="20"/>
          <w:color w:val="auto"/>
        </w:rPr>
      </w:pPr>
    </w:p>
    <w:p>
      <w:pPr>
        <w:ind w:right="420"/>
        <w:spacing w:after="0" w:line="258" w:lineRule="auto"/>
        <w:rPr>
          <w:sz w:val="20"/>
          <w:szCs w:val="20"/>
          <w:color w:val="auto"/>
        </w:rPr>
      </w:pPr>
      <w:r>
        <w:rPr>
          <w:rFonts w:ascii="Arial" w:cs="Arial" w:eastAsia="Arial" w:hAnsi="Arial"/>
          <w:sz w:val="13"/>
          <w:szCs w:val="13"/>
          <w:color w:val="auto"/>
        </w:rPr>
        <w:t>We intend to announce preliminary voting results at the Annual Meeting and disclose final results in a Current Report on Form 8-K filed with the SEC no later than four business days following the date of the Annual Meeting.</w:t>
      </w:r>
    </w:p>
    <w:p>
      <w:pPr>
        <w:spacing w:after="0" w:line="187" w:lineRule="exact"/>
        <w:rPr>
          <w:sz w:val="20"/>
          <w:szCs w:val="20"/>
          <w:color w:val="auto"/>
        </w:rPr>
      </w:pPr>
    </w:p>
    <w:p>
      <w:pPr>
        <w:ind w:left="540" w:hanging="532"/>
        <w:spacing w:after="0"/>
        <w:tabs>
          <w:tab w:leader="none" w:pos="540" w:val="left"/>
        </w:tabs>
        <w:numPr>
          <w:ilvl w:val="0"/>
          <w:numId w:val="248"/>
        </w:numPr>
        <w:rPr>
          <w:rFonts w:ascii="Arial" w:cs="Arial" w:eastAsia="Arial" w:hAnsi="Arial"/>
          <w:sz w:val="18"/>
          <w:szCs w:val="18"/>
          <w:b w:val="1"/>
          <w:bCs w:val="1"/>
          <w:color w:val="23628F"/>
        </w:rPr>
      </w:pPr>
      <w:r>
        <w:rPr>
          <w:rFonts w:ascii="Arial" w:cs="Arial" w:eastAsia="Arial" w:hAnsi="Arial"/>
          <w:sz w:val="13"/>
          <w:szCs w:val="13"/>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153275" cy="209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right"/>
        <w:spacing w:after="0"/>
        <w:rPr>
          <w:sz w:val="20"/>
          <w:szCs w:val="20"/>
          <w:color w:val="auto"/>
        </w:rPr>
      </w:pPr>
      <w:r>
        <w:rPr>
          <w:rFonts w:ascii="Arial" w:cs="Arial" w:eastAsia="Arial" w:hAnsi="Arial"/>
          <w:sz w:val="13"/>
          <w:szCs w:val="13"/>
          <w:color w:val="23628F"/>
        </w:rPr>
        <w:t>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234440" cy="6858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34440" cy="68580"/>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COSTS OF PROXY SOLICITATION</w:t>
      </w:r>
    </w:p>
    <w:p>
      <w:pPr>
        <w:spacing w:after="0" w:line="252" w:lineRule="exact"/>
        <w:rPr>
          <w:sz w:val="20"/>
          <w:szCs w:val="20"/>
          <w:color w:val="auto"/>
        </w:rPr>
      </w:pPr>
    </w:p>
    <w:p>
      <w:pPr>
        <w:spacing w:after="0" w:line="241" w:lineRule="auto"/>
        <w:rPr>
          <w:sz w:val="20"/>
          <w:szCs w:val="20"/>
          <w:color w:val="auto"/>
        </w:rPr>
      </w:pPr>
      <w:r>
        <w:rPr>
          <w:rFonts w:ascii="Arial" w:cs="Arial" w:eastAsia="Arial" w:hAnsi="Arial"/>
          <w:sz w:val="13"/>
          <w:szCs w:val="13"/>
          <w:color w:val="auto"/>
        </w:rPr>
        <w:t>The accompanying proxy is being solicited on behalf of our Board of Directors. The cost of preparing, assembling and mailing the Notice of Annual Meeting of Stockholders, the Notice of Internet Availability of Proxy Materials, this Proxy Statement and form of proxy and our 2020 Annual Report, the cost of making such materials available on the Internet and the cost of soliciting proxies will be paid by us. In addition to use of the mails, we may solicit proxies in person or by telephone, facsimile or other means of communication by certain of our directors, officers and regular employees who will not receive any additional compensation for such solicitation. We have also engaged Morrow Sodali LLC to assist us in connection with the solicitation of proxies for the Annual Meeting for a fee that we do not expect to exceed $15,000 plus a reasonable amount to cover expenses. We have agreed to indemnify Morrow Sodali LLC against certain liabilities arising out of or in connection with this engagement. We will also reimburse brokers or other persons holding our common stock in their names or the names of their nominees for the expenses of forwarding soliciting material to their principals.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234440" cy="6858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34440" cy="6858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ATTENDING THE ANNUAL MEETING</w:t>
      </w:r>
    </w:p>
    <w:p>
      <w:pPr>
        <w:spacing w:after="0" w:line="252" w:lineRule="exact"/>
        <w:rPr>
          <w:sz w:val="20"/>
          <w:szCs w:val="20"/>
          <w:color w:val="auto"/>
        </w:rPr>
      </w:pPr>
    </w:p>
    <w:p>
      <w:pPr>
        <w:ind w:right="60"/>
        <w:spacing w:after="0" w:line="245" w:lineRule="auto"/>
        <w:rPr>
          <w:sz w:val="20"/>
          <w:szCs w:val="20"/>
          <w:color w:val="auto"/>
        </w:rPr>
      </w:pPr>
      <w:r>
        <w:rPr>
          <w:rFonts w:ascii="Arial" w:cs="Arial" w:eastAsia="Arial" w:hAnsi="Arial"/>
          <w:sz w:val="13"/>
          <w:szCs w:val="13"/>
          <w:color w:val="auto"/>
        </w:rPr>
        <w:t>Anyone may attend the Annual Meeting online at www.virtualshareholdermeeting.com/WDC2020, but you are only entitled to participate in the Annual Meeting, including asking questions and voting at the meeting, if you were a stockholder of record or a beneficial stockholder as of the close of business on September 21, 2020, the record date, or you hold a valid legal proxy for the Annual Meeting. To participate in the Annual Meeting, you will need the 16-digit control number included on your Notice of Internet Availability of Proxy Materials, on your proxy card or on the instructions that accompanied your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1234440" cy="6858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34440" cy="68580"/>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SUBMISSION OF STOCKHOLDER PROPOSALS AND DIRECTOR NOMINATIONS</w:t>
      </w:r>
    </w:p>
    <w:p>
      <w:pPr>
        <w:spacing w:after="0" w:line="219"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Proposals for Inclusion in Proxy Materials</w:t>
      </w:r>
    </w:p>
    <w:p>
      <w:pPr>
        <w:spacing w:after="0" w:line="257" w:lineRule="exact"/>
        <w:rPr>
          <w:sz w:val="20"/>
          <w:szCs w:val="20"/>
          <w:color w:val="auto"/>
        </w:rPr>
      </w:pPr>
    </w:p>
    <w:p>
      <w:pPr>
        <w:ind w:right="60"/>
        <w:spacing w:after="0" w:line="245" w:lineRule="auto"/>
        <w:rPr>
          <w:sz w:val="20"/>
          <w:szCs w:val="20"/>
          <w:color w:val="auto"/>
        </w:rPr>
      </w:pPr>
      <w:r>
        <w:rPr>
          <w:rFonts w:ascii="Arial" w:cs="Arial" w:eastAsia="Arial" w:hAnsi="Arial"/>
          <w:sz w:val="13"/>
          <w:szCs w:val="13"/>
          <w:color w:val="auto"/>
        </w:rPr>
        <w:t>For your proposal to be considered for inclusion in the proxy statement and form of proxy for our 2021 annual meeting of stockholders, your written proposal must be received by our Secretary at our principal executive offices no later than June 7, 2021 and must comply with Rule 14a-8 of the Exchange Act regarding the inclusion of stockholder proposals in company-sponsored proxy materials. If we change the date of the 2021 annual meeting of stockholders by more than 30 days from the date of this year’s Annual Meeting, your written proposal must be received by our Secretary at our principal executive offices a reasonable time before we begin to print and mail our proxy materials for our 2021 annual meeting of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Nomination of Director Candidates and Proposals Not Intended for Inclusion in Proxy Materials</w:t>
      </w:r>
    </w:p>
    <w:p>
      <w:pPr>
        <w:spacing w:after="0" w:line="257" w:lineRule="exact"/>
        <w:rPr>
          <w:sz w:val="20"/>
          <w:szCs w:val="20"/>
          <w:color w:val="auto"/>
        </w:rPr>
      </w:pPr>
    </w:p>
    <w:p>
      <w:pPr>
        <w:ind w:right="20"/>
        <w:spacing w:after="0" w:line="245" w:lineRule="auto"/>
        <w:rPr>
          <w:sz w:val="20"/>
          <w:szCs w:val="20"/>
          <w:color w:val="auto"/>
        </w:rPr>
      </w:pPr>
      <w:r>
        <w:rPr>
          <w:rFonts w:ascii="Arial" w:cs="Arial" w:eastAsia="Arial" w:hAnsi="Arial"/>
          <w:sz w:val="13"/>
          <w:szCs w:val="13"/>
          <w:color w:val="auto"/>
        </w:rPr>
        <w:t>If you intend to nominate an individual for election to our Board of Directors at our 2021 annual meeting of stockholders or wish to present a proposal at the 2021 annual meeting of stockholders but do not intend for such proposal to be included in the proxy statement for such meeting, our By-laws require that, among other things, stockholders give written notice of the nomination or proposal to our Secretary at our principal executive offices no earlier than the close of business on July 21, 2021 (the 120th day prior to the first anniversary of the Annual Meeting) and no later than the close of business on August 20, 2021 (the 90th day prior to the first anniversary of the Annual Meeting).</w:t>
      </w:r>
    </w:p>
    <w:p>
      <w:pPr>
        <w:spacing w:after="0" w:line="200" w:lineRule="exact"/>
        <w:rPr>
          <w:sz w:val="20"/>
          <w:szCs w:val="20"/>
          <w:color w:val="auto"/>
        </w:rPr>
      </w:pPr>
    </w:p>
    <w:p>
      <w:pPr>
        <w:ind w:right="20"/>
        <w:spacing w:after="0" w:line="243" w:lineRule="auto"/>
        <w:rPr>
          <w:sz w:val="20"/>
          <w:szCs w:val="20"/>
          <w:color w:val="auto"/>
        </w:rPr>
      </w:pPr>
      <w:r>
        <w:rPr>
          <w:rFonts w:ascii="Arial" w:cs="Arial" w:eastAsia="Arial" w:hAnsi="Arial"/>
          <w:sz w:val="13"/>
          <w:szCs w:val="13"/>
          <w:color w:val="auto"/>
        </w:rPr>
        <w:t>Notwithstanding the foregoing, in the event that we change the date of the 2021 annual meeting of stockholders to a date that is more than 30 days before or more than 70 days after the anniversary of the Annual Meeting, written notice by a stockholder must be given no earlier than the close of business 120 days prior to the date of the 2021 annual meeting of stockholders</w:t>
      </w:r>
    </w:p>
    <w:p>
      <w:pPr>
        <w:spacing w:after="0" w:line="1" w:lineRule="exact"/>
        <w:rPr>
          <w:sz w:val="20"/>
          <w:szCs w:val="20"/>
          <w:color w:val="auto"/>
        </w:rPr>
      </w:pPr>
    </w:p>
    <w:p>
      <w:pPr>
        <w:jc w:val="both"/>
        <w:ind w:right="60"/>
        <w:spacing w:after="0" w:line="214" w:lineRule="auto"/>
        <w:rPr>
          <w:sz w:val="20"/>
          <w:szCs w:val="20"/>
          <w:color w:val="auto"/>
        </w:rPr>
      </w:pPr>
      <w:r>
        <w:rPr>
          <w:rFonts w:ascii="Arial" w:cs="Arial" w:eastAsia="Arial" w:hAnsi="Arial"/>
          <w:sz w:val="13"/>
          <w:szCs w:val="13"/>
          <w:color w:val="auto"/>
        </w:rPr>
        <w:t>and no later than the close of business on the later of 90 days prior to the date of the 2021 annual meeting of stockholders or the 10</w:t>
      </w:r>
      <w:r>
        <w:rPr>
          <w:rFonts w:ascii="Arial" w:cs="Arial" w:eastAsia="Arial" w:hAnsi="Arial"/>
          <w:sz w:val="22"/>
          <w:szCs w:val="22"/>
          <w:color w:val="auto"/>
          <w:vertAlign w:val="superscript"/>
        </w:rPr>
        <w:t>th</w:t>
      </w:r>
      <w:r>
        <w:rPr>
          <w:rFonts w:ascii="Arial" w:cs="Arial" w:eastAsia="Arial" w:hAnsi="Arial"/>
          <w:sz w:val="13"/>
          <w:szCs w:val="13"/>
          <w:color w:val="auto"/>
        </w:rPr>
        <w:t xml:space="preserve"> day following the day on which public announcement of the date of the 2021 annual meeting of stockholders is made. Stockholder proposals not intended to be included in the proxy statement or nominations for director candidates that do not meet the notice requirements set forth above and further described in Section 2.11 of our By-laws will not be acted upon at the 2021 annual meeting of stockholders.</w:t>
      </w:r>
    </w:p>
    <w:p>
      <w:pPr>
        <w:spacing w:after="0" w:line="185"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3"/>
          <w:szCs w:val="13"/>
          <w:color w:val="23628F"/>
        </w:rPr>
        <w:t>2020 PROXY STATEMENT</w:t>
      </w:r>
      <w:r>
        <w:rPr>
          <w:sz w:val="20"/>
          <w:szCs w:val="20"/>
          <w:color w:val="auto"/>
        </w:rPr>
        <w:tab/>
      </w:r>
      <w:r>
        <w:rPr>
          <w:rFonts w:ascii="Arial" w:cs="Arial" w:eastAsia="Arial" w:hAnsi="Arial"/>
          <w:sz w:val="16"/>
          <w:szCs w:val="16"/>
          <w:b w:val="1"/>
          <w:bCs w:val="1"/>
          <w:color w:val="23628F"/>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153275" cy="215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23628F"/>
        </w:rPr>
        <w:t>ADDITIONAL INFORMATION</w:t>
      </w:r>
    </w:p>
    <w:p>
      <w:pPr>
        <w:spacing w:after="0" w:line="182" w:lineRule="exact"/>
        <w:rPr>
          <w:sz w:val="20"/>
          <w:szCs w:val="20"/>
          <w:color w:val="auto"/>
        </w:rPr>
      </w:pPr>
    </w:p>
    <w:p>
      <w:pPr>
        <w:spacing w:after="0"/>
        <w:rPr>
          <w:sz w:val="20"/>
          <w:szCs w:val="20"/>
          <w:color w:val="auto"/>
        </w:rPr>
      </w:pPr>
      <w:r>
        <w:rPr>
          <w:rFonts w:ascii="Arial" w:cs="Arial" w:eastAsia="Arial" w:hAnsi="Arial"/>
          <w:sz w:val="24"/>
          <w:szCs w:val="24"/>
          <w:b w:val="1"/>
          <w:bCs w:val="1"/>
          <w:color w:val="D49312"/>
        </w:rPr>
        <w:t>Nomination of Director Candidates for Inclusion in Proxy Materials (Proxy Access)</w:t>
      </w:r>
    </w:p>
    <w:p>
      <w:pPr>
        <w:spacing w:after="0" w:line="257" w:lineRule="exact"/>
        <w:rPr>
          <w:sz w:val="20"/>
          <w:szCs w:val="20"/>
          <w:color w:val="auto"/>
        </w:rPr>
      </w:pPr>
    </w:p>
    <w:p>
      <w:pPr>
        <w:ind w:right="40"/>
        <w:spacing w:after="0" w:line="243" w:lineRule="auto"/>
        <w:rPr>
          <w:sz w:val="20"/>
          <w:szCs w:val="20"/>
          <w:color w:val="auto"/>
        </w:rPr>
      </w:pPr>
      <w:r>
        <w:rPr>
          <w:rFonts w:ascii="Arial" w:cs="Arial" w:eastAsia="Arial" w:hAnsi="Arial"/>
          <w:sz w:val="13"/>
          <w:szCs w:val="13"/>
          <w:color w:val="auto"/>
        </w:rPr>
        <w:t>If you intend to nominate a director candidate pursuant to the proxy access process set forth in Section 2.14 of our By-laws, you, or a group of not more than 20 stockholders, must, among other requirements, have owned 3% or more of our outstanding common stock continuously for at least three years and give written notice of the nomination to our Secretary at our principal executive offices no earlier than the close of business on May 8, 2021 (the 150th day prior to the first anniversary of the date that proxy materials for the Annual Meeting were first released to stockholders) and no later than the close of business on June 7, 2021 (the 120th day prior to the first anniversary of the date that proxy materials for the Annual Meeting were first released to stockholders).</w:t>
      </w:r>
    </w:p>
    <w:p>
      <w:pPr>
        <w:spacing w:after="0" w:line="353" w:lineRule="exact"/>
        <w:rPr>
          <w:sz w:val="20"/>
          <w:szCs w:val="20"/>
          <w:color w:val="auto"/>
        </w:rPr>
      </w:pPr>
    </w:p>
    <w:p>
      <w:pPr>
        <w:spacing w:after="0" w:line="243" w:lineRule="auto"/>
        <w:rPr>
          <w:sz w:val="20"/>
          <w:szCs w:val="20"/>
          <w:color w:val="auto"/>
        </w:rPr>
      </w:pPr>
      <w:r>
        <w:rPr>
          <w:rFonts w:ascii="Arial" w:cs="Arial" w:eastAsia="Arial" w:hAnsi="Arial"/>
          <w:sz w:val="13"/>
          <w:szCs w:val="13"/>
          <w:color w:val="auto"/>
        </w:rPr>
        <w:t>Notwithstanding the foregoing, in the event that we change the date of the 2021 annual meeting of stockholders to a date that is more than 30 days before or more than 70 days after the anniversary of the Annual Meeting, written notice by a stockholder must be given no earlier than the close of business 150 days prior to the date of the 2021 annual meeting of stockholders</w:t>
      </w:r>
    </w:p>
    <w:p>
      <w:pPr>
        <w:spacing w:after="0" w:line="1" w:lineRule="exact"/>
        <w:rPr>
          <w:sz w:val="20"/>
          <w:szCs w:val="20"/>
          <w:color w:val="auto"/>
        </w:rPr>
      </w:pPr>
    </w:p>
    <w:p>
      <w:pPr>
        <w:spacing w:after="0" w:line="205" w:lineRule="auto"/>
        <w:rPr>
          <w:sz w:val="20"/>
          <w:szCs w:val="20"/>
          <w:color w:val="auto"/>
        </w:rPr>
      </w:pPr>
      <w:r>
        <w:rPr>
          <w:rFonts w:ascii="Arial" w:cs="Arial" w:eastAsia="Arial" w:hAnsi="Arial"/>
          <w:sz w:val="13"/>
          <w:szCs w:val="13"/>
          <w:color w:val="auto"/>
        </w:rPr>
        <w:t>and no later than the close of business on the later of 120 days prior to the date of the 2021 annual meeting of stockholders or the 10</w:t>
      </w:r>
      <w:r>
        <w:rPr>
          <w:rFonts w:ascii="Arial" w:cs="Arial" w:eastAsia="Arial" w:hAnsi="Arial"/>
          <w:sz w:val="22"/>
          <w:szCs w:val="22"/>
          <w:color w:val="auto"/>
          <w:vertAlign w:val="superscript"/>
        </w:rPr>
        <w:t>th</w:t>
      </w:r>
      <w:r>
        <w:rPr>
          <w:rFonts w:ascii="Arial" w:cs="Arial" w:eastAsia="Arial" w:hAnsi="Arial"/>
          <w:sz w:val="13"/>
          <w:szCs w:val="13"/>
          <w:color w:val="auto"/>
        </w:rPr>
        <w:t xml:space="preserve"> day following the day on which public announcement of the date of the 2021 annual meeting of stockholders is made.</w:t>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color w:val="auto"/>
        </w:rPr>
        <w:t>Use of the proxy access process is subject to all eligibility, procedural and disclosure requirements set forth in Section 2.14 of our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234440" cy="6858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34440" cy="68580"/>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ELIMINATING DUPLICATIVE PROXY MATERIALS</w:t>
      </w:r>
    </w:p>
    <w:p>
      <w:pPr>
        <w:spacing w:after="0" w:line="252" w:lineRule="exact"/>
        <w:rPr>
          <w:sz w:val="20"/>
          <w:szCs w:val="20"/>
          <w:color w:val="auto"/>
        </w:rPr>
      </w:pPr>
    </w:p>
    <w:p>
      <w:pPr>
        <w:ind w:right="80"/>
        <w:spacing w:after="0" w:line="241" w:lineRule="auto"/>
        <w:rPr>
          <w:sz w:val="20"/>
          <w:szCs w:val="20"/>
          <w:color w:val="auto"/>
        </w:rPr>
      </w:pPr>
      <w:r>
        <w:rPr>
          <w:rFonts w:ascii="Arial" w:cs="Arial" w:eastAsia="Arial" w:hAnsi="Arial"/>
          <w:sz w:val="13"/>
          <w:szCs w:val="13"/>
          <w:color w:val="auto"/>
        </w:rPr>
        <w:t>We have adopted a procedure called “householding,” which the SEC has approved. Under this procedure, stockholders of record who have the same address and last name and did not receive a Notice or otherwise receive their proxy materials electronically will receive only one copy of our proxy materials unless we receive contrary instructions from one or more of such stockholders. Upon oral or written request, we will deliver promptly a separate copy of the proxy materials to a stockholder at a shared address to which a single copy of proxy materials was delivered. If you are a stockholder of record at a shared address to which we delivered a single copy of the proxy materials and you desire to receive a separate copy of the proxy materials for the Annual Meeting or for our future meetings, or if you are a stockholder at a shared address to which we delivered multiple copies of the proxy materials and you desire to receive one copy in the future, please submit your request to the Householding Department of Broadridge Financial Solutions, Inc. at 51 Mercedes Way, Edgewood, New York 11717, or at 1-866-540-7095. If you are a beneficial stockholder, please contact your bank, broker, trustee or other nominee directly if you have questions, require additional copies of the proxy materials, wish to receive multiple reports by revoking your consent to householding or wish to request single copies of the proxy materials in the future.</w:t>
      </w:r>
    </w:p>
    <w:p>
      <w:pPr>
        <w:spacing w:after="0" w:line="199" w:lineRule="exact"/>
        <w:rPr>
          <w:sz w:val="20"/>
          <w:szCs w:val="20"/>
          <w:color w:val="auto"/>
        </w:rPr>
      </w:pPr>
    </w:p>
    <w:p>
      <w:pPr>
        <w:ind w:left="540" w:hanging="532"/>
        <w:spacing w:after="0"/>
        <w:tabs>
          <w:tab w:leader="none" w:pos="540" w:val="left"/>
        </w:tabs>
        <w:numPr>
          <w:ilvl w:val="0"/>
          <w:numId w:val="249"/>
        </w:numPr>
        <w:rPr>
          <w:rFonts w:ascii="Arial" w:cs="Arial" w:eastAsia="Arial" w:hAnsi="Arial"/>
          <w:sz w:val="18"/>
          <w:szCs w:val="18"/>
          <w:b w:val="1"/>
          <w:bCs w:val="1"/>
          <w:color w:val="23628F"/>
        </w:rPr>
      </w:pPr>
      <w:r>
        <w:rPr>
          <w:rFonts w:ascii="Arial" w:cs="Arial" w:eastAsia="Arial" w:hAnsi="Arial"/>
          <w:sz w:val="13"/>
          <w:szCs w:val="13"/>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153275" cy="209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right"/>
        <w:spacing w:after="0"/>
        <w:rPr>
          <w:sz w:val="20"/>
          <w:szCs w:val="20"/>
          <w:color w:val="auto"/>
        </w:rPr>
      </w:pPr>
      <w:r>
        <w:rPr>
          <w:rFonts w:ascii="Arial" w:cs="Arial" w:eastAsia="Arial" w:hAnsi="Arial"/>
          <w:sz w:val="13"/>
          <w:szCs w:val="13"/>
          <w:color w:val="23628F"/>
        </w:rPr>
        <w:t>ADDITIONAL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31"/>
          <w:szCs w:val="31"/>
          <w:b w:val="1"/>
          <w:bCs w:val="1"/>
          <w:color w:val="567EA5"/>
        </w:rPr>
        <w:t>AVAILABILITY OF ANNUAL REPORT</w:t>
      </w:r>
    </w:p>
    <w:p>
      <w:pPr>
        <w:spacing w:after="0" w:line="255" w:lineRule="exact"/>
        <w:rPr>
          <w:sz w:val="20"/>
          <w:szCs w:val="20"/>
          <w:color w:val="auto"/>
        </w:rPr>
      </w:pPr>
    </w:p>
    <w:p>
      <w:pPr>
        <w:ind w:right="300"/>
        <w:spacing w:after="0" w:line="245" w:lineRule="auto"/>
        <w:rPr>
          <w:sz w:val="20"/>
          <w:szCs w:val="20"/>
          <w:color w:val="auto"/>
        </w:rPr>
      </w:pPr>
      <w:r>
        <w:rPr>
          <w:rFonts w:ascii="Arial" w:cs="Arial" w:eastAsia="Arial" w:hAnsi="Arial"/>
          <w:sz w:val="13"/>
          <w:szCs w:val="13"/>
          <w:color w:val="auto"/>
        </w:rPr>
        <w:t>Our 2020 Annual Report has been posted on our corporate website at investor.wdc.com and on the Internet at www.proxyvote.com. For stockholders receiving a Notice of Internet Availability of Proxy Materials, the Notice will contain instructions on how to request a printed copy of our 2020 Annual Report. For stockholders receiving a printed copy of this Proxy Statement, a copy of our 2020 Annual Report also will be included. In addition, we will provide, without charge, a copy of our 2020 Annual Report (including the financial statements but excluding the exhibits thereto) upon the written request of any stockholder or beneficial owner of our common stock. Requests should be directed to the following address:</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3"/>
          <w:szCs w:val="13"/>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282575" cy="26543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282575" cy="265430"/>
                    </a:xfrm>
                    <a:prstGeom prst="rect">
                      <a:avLst/>
                    </a:prstGeom>
                    <a:noFill/>
                  </pic:spPr>
                </pic:pic>
              </a:graphicData>
            </a:graphic>
          </wp:anchor>
        </w:drawing>
      </w:r>
    </w:p>
    <w:p>
      <w:pPr>
        <w:ind w:left="600"/>
        <w:spacing w:after="0"/>
        <w:rPr>
          <w:sz w:val="20"/>
          <w:szCs w:val="20"/>
          <w:color w:val="auto"/>
        </w:rPr>
      </w:pPr>
      <w:r>
        <w:rPr>
          <w:rFonts w:ascii="Arial" w:cs="Arial" w:eastAsia="Arial" w:hAnsi="Arial"/>
          <w:sz w:val="13"/>
          <w:szCs w:val="13"/>
          <w:color w:val="auto"/>
        </w:rPr>
        <w:t>Western Digital Corporation</w:t>
      </w:r>
    </w:p>
    <w:p>
      <w:pPr>
        <w:ind w:left="600"/>
        <w:spacing w:after="0"/>
        <w:rPr>
          <w:sz w:val="20"/>
          <w:szCs w:val="20"/>
          <w:color w:val="auto"/>
        </w:rPr>
      </w:pPr>
      <w:r>
        <w:rPr>
          <w:rFonts w:ascii="Arial" w:cs="Arial" w:eastAsia="Arial" w:hAnsi="Arial"/>
          <w:sz w:val="13"/>
          <w:szCs w:val="13"/>
          <w:color w:val="auto"/>
        </w:rPr>
        <w:t>5601 Great Oaks Parkway</w:t>
      </w:r>
    </w:p>
    <w:p>
      <w:pPr>
        <w:ind w:left="600"/>
        <w:spacing w:after="0"/>
        <w:rPr>
          <w:sz w:val="20"/>
          <w:szCs w:val="20"/>
          <w:color w:val="auto"/>
        </w:rPr>
      </w:pPr>
      <w:r>
        <w:rPr>
          <w:rFonts w:ascii="Arial" w:cs="Arial" w:eastAsia="Arial" w:hAnsi="Arial"/>
          <w:sz w:val="13"/>
          <w:szCs w:val="13"/>
          <w:color w:val="auto"/>
        </w:rPr>
        <w:t>San Jose, California 95119</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31"/>
          <w:szCs w:val="31"/>
          <w:b w:val="1"/>
          <w:bCs w:val="1"/>
          <w:color w:val="567EA5"/>
        </w:rPr>
        <w:t>COMMUNICATION WITH THE COMPANY</w:t>
      </w:r>
    </w:p>
    <w:p>
      <w:pPr>
        <w:spacing w:after="0" w:line="255" w:lineRule="exact"/>
        <w:rPr>
          <w:sz w:val="20"/>
          <w:szCs w:val="20"/>
          <w:color w:val="auto"/>
        </w:rPr>
      </w:pPr>
    </w:p>
    <w:p>
      <w:pPr>
        <w:ind w:right="20"/>
        <w:spacing w:after="0" w:line="248" w:lineRule="auto"/>
        <w:rPr>
          <w:sz w:val="20"/>
          <w:szCs w:val="20"/>
          <w:color w:val="auto"/>
        </w:rPr>
      </w:pPr>
      <w:r>
        <w:rPr>
          <w:rFonts w:ascii="Arial" w:cs="Arial" w:eastAsia="Arial" w:hAnsi="Arial"/>
          <w:sz w:val="13"/>
          <w:szCs w:val="13"/>
          <w:color w:val="auto"/>
        </w:rPr>
        <w:t>Stockholders or other interested parties who wish to communicate with us may do so by mail as follows. The name of any specific intended management or Board recipient(s) should be noted in the communication, including whether the communication is intended only for our non-executive Chairman of the Board, Lead Independent Director or non-employee directors. See also the section entitled “Corporate Governance Matters—Board Processes and Policies—Communicating with Directors.”</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3"/>
          <w:szCs w:val="13"/>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291465" cy="27432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291465" cy="274320"/>
                    </a:xfrm>
                    <a:prstGeom prst="rect">
                      <a:avLst/>
                    </a:prstGeom>
                    <a:noFill/>
                  </pic:spPr>
                </pic:pic>
              </a:graphicData>
            </a:graphic>
          </wp:anchor>
        </w:drawing>
      </w:r>
    </w:p>
    <w:p>
      <w:pPr>
        <w:ind w:left="620"/>
        <w:spacing w:after="0"/>
        <w:rPr>
          <w:sz w:val="20"/>
          <w:szCs w:val="20"/>
          <w:color w:val="auto"/>
        </w:rPr>
      </w:pPr>
      <w:r>
        <w:rPr>
          <w:rFonts w:ascii="Arial" w:cs="Arial" w:eastAsia="Arial" w:hAnsi="Arial"/>
          <w:sz w:val="13"/>
          <w:szCs w:val="13"/>
          <w:color w:val="auto"/>
        </w:rPr>
        <w:t>Western Digital Corporation</w:t>
      </w:r>
    </w:p>
    <w:p>
      <w:pPr>
        <w:ind w:left="620"/>
        <w:spacing w:after="0"/>
        <w:rPr>
          <w:sz w:val="20"/>
          <w:szCs w:val="20"/>
          <w:color w:val="auto"/>
        </w:rPr>
      </w:pPr>
      <w:r>
        <w:rPr>
          <w:rFonts w:ascii="Arial" w:cs="Arial" w:eastAsia="Arial" w:hAnsi="Arial"/>
          <w:sz w:val="13"/>
          <w:szCs w:val="13"/>
          <w:color w:val="auto"/>
        </w:rPr>
        <w:t>5601 Great Oaks Parkway</w:t>
      </w:r>
    </w:p>
    <w:p>
      <w:pPr>
        <w:ind w:left="620"/>
        <w:spacing w:after="0"/>
        <w:rPr>
          <w:sz w:val="20"/>
          <w:szCs w:val="20"/>
          <w:color w:val="auto"/>
        </w:rPr>
      </w:pPr>
      <w:r>
        <w:rPr>
          <w:rFonts w:ascii="Arial" w:cs="Arial" w:eastAsia="Arial" w:hAnsi="Arial"/>
          <w:sz w:val="13"/>
          <w:szCs w:val="13"/>
          <w:color w:val="auto"/>
        </w:rPr>
        <w:t>San Jose, California 95119</w:t>
      </w:r>
    </w:p>
    <w:p>
      <w:pPr>
        <w:spacing w:after="0" w:line="197"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3"/>
          <w:szCs w:val="13"/>
          <w:color w:val="23628F"/>
        </w:rPr>
        <w:t>2020 PROXY STATEMENT</w:t>
      </w:r>
      <w:r>
        <w:rPr>
          <w:sz w:val="20"/>
          <w:szCs w:val="20"/>
          <w:color w:val="auto"/>
        </w:rPr>
        <w:tab/>
      </w:r>
      <w:r>
        <w:rPr>
          <w:rFonts w:ascii="Arial" w:cs="Arial" w:eastAsia="Arial" w:hAnsi="Arial"/>
          <w:sz w:val="16"/>
          <w:szCs w:val="16"/>
          <w:b w:val="1"/>
          <w:bCs w:val="1"/>
          <w:color w:val="23628F"/>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153275" cy="209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spacing w:after="0"/>
        <w:rPr>
          <w:sz w:val="20"/>
          <w:szCs w:val="20"/>
          <w:color w:val="auto"/>
        </w:rPr>
      </w:pPr>
      <w:r>
        <w:rPr>
          <w:rFonts w:ascii="Arial" w:cs="Arial" w:eastAsia="Arial" w:hAnsi="Arial"/>
          <w:sz w:val="50"/>
          <w:szCs w:val="50"/>
          <w:b w:val="1"/>
          <w:bCs w:val="1"/>
          <w:color w:val="23628F"/>
        </w:rPr>
        <w:t>Appendix A—Non-GAAP Financial Measures</w:t>
      </w:r>
    </w:p>
    <w:p>
      <w:pPr>
        <w:spacing w:after="0" w:line="282" w:lineRule="exact"/>
        <w:rPr>
          <w:sz w:val="20"/>
          <w:szCs w:val="20"/>
          <w:color w:val="auto"/>
        </w:rPr>
      </w:pPr>
    </w:p>
    <w:p>
      <w:pPr>
        <w:ind w:right="60"/>
        <w:spacing w:after="0" w:line="245" w:lineRule="auto"/>
        <w:rPr>
          <w:sz w:val="20"/>
          <w:szCs w:val="20"/>
          <w:color w:val="auto"/>
        </w:rPr>
      </w:pPr>
      <w:r>
        <w:rPr>
          <w:rFonts w:ascii="Arial" w:cs="Arial" w:eastAsia="Arial" w:hAnsi="Arial"/>
          <w:sz w:val="13"/>
          <w:szCs w:val="13"/>
          <w:color w:val="auto"/>
        </w:rPr>
        <w:t>We have disclosed in this Proxy Statement financial measures that are not in accordance with U.S. generally accepted accounting principles (“GAAP”). These non-GAAP measures are not an alternative for measures prepared in accordance with GAAP and may be different from non-GAAP measures used by other companies. These measures should be considered in addition to financial measures prepared in accordance with GAAP, but should not be considered a substitute for, or superior to, GAAP results. These non-GAAP measures are used by management for assessing our financial performance and as a measurement of our performance for incentive compensation purposes.</w:t>
      </w:r>
    </w:p>
    <w:p>
      <w:pPr>
        <w:spacing w:after="0" w:line="200" w:lineRule="exact"/>
        <w:rPr>
          <w:sz w:val="20"/>
          <w:szCs w:val="20"/>
          <w:color w:val="auto"/>
        </w:rPr>
      </w:pPr>
    </w:p>
    <w:p>
      <w:pPr>
        <w:ind w:right="20"/>
        <w:spacing w:after="0" w:line="248" w:lineRule="auto"/>
        <w:rPr>
          <w:sz w:val="20"/>
          <w:szCs w:val="20"/>
          <w:color w:val="auto"/>
        </w:rPr>
      </w:pPr>
      <w:r>
        <w:rPr>
          <w:rFonts w:ascii="Arial" w:cs="Arial" w:eastAsia="Arial" w:hAnsi="Arial"/>
          <w:sz w:val="13"/>
          <w:szCs w:val="13"/>
          <w:color w:val="auto"/>
        </w:rPr>
        <w:t>The Compensation and Talent Committee used non-GAAP net income as a pre-established performance goal under our STI plan for fiscal 2020 and non-GAAP diluted income per common share as a pre-established performance goal under our fiscal 2019-2020 PSU awards. In accordance with the pre-established terms of the STI and PSU awards, these non-GAAP performance measures excluded certain material or unusual items that we believe are not indicative of the underlying performance of our business as detailed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1234440" cy="6858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34440" cy="68580"/>
                    </a:xfrm>
                    <a:prstGeom prst="rect">
                      <a:avLst/>
                    </a:prstGeom>
                    <a:noFill/>
                  </pic:spPr>
                </pic:pic>
              </a:graphicData>
            </a:graphic>
          </wp:anchor>
        </w:drawing>
      </w:r>
    </w:p>
    <w:p>
      <w:pPr>
        <w:spacing w:after="0" w:line="302"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RECONCILIATIONS OF NON-GAAP FINANCIAL MEASURES</w:t>
      </w:r>
    </w:p>
    <w:p>
      <w:pPr>
        <w:spacing w:after="0" w:line="252" w:lineRule="exact"/>
        <w:rPr>
          <w:sz w:val="20"/>
          <w:szCs w:val="20"/>
          <w:color w:val="auto"/>
        </w:rPr>
      </w:pPr>
    </w:p>
    <w:p>
      <w:pPr>
        <w:ind w:right="120"/>
        <w:spacing w:after="0" w:line="243" w:lineRule="auto"/>
        <w:rPr>
          <w:sz w:val="20"/>
          <w:szCs w:val="20"/>
          <w:color w:val="auto"/>
        </w:rPr>
      </w:pPr>
      <w:r>
        <w:rPr>
          <w:rFonts w:ascii="Arial" w:cs="Arial" w:eastAsia="Arial" w:hAnsi="Arial"/>
          <w:sz w:val="13"/>
          <w:szCs w:val="13"/>
          <w:color w:val="auto"/>
        </w:rPr>
        <w:t>The following non-GAAP measures (namely, non-GAAP gross margin and non-GAAP net income and diluted income per common share) exclude certain expenses, gains and losses that we believe are not indicative of our core operating results or because they are consistent with the financial models and estimates published by many analysts who follow our company and our peers. As further detailed below, the expenses, gains and losses excluded from the following non-GAAP measures include the amortization of acquired intangible assets; stock-based compensation expense; employee termination, asset impairment and other charges; charges related to acquisitions and dispositions; charges related to cost saving initiatives; manufacturing underutilization charges; power outage charges; convertible debt activity; debt extinguishment costs; other charges; and income tax adjustments.</w:t>
      </w:r>
    </w:p>
    <w:p>
      <w:pPr>
        <w:spacing w:after="0" w:line="202" w:lineRule="exact"/>
        <w:rPr>
          <w:sz w:val="20"/>
          <w:szCs w:val="20"/>
          <w:color w:val="auto"/>
        </w:rPr>
      </w:pPr>
    </w:p>
    <w:p>
      <w:pPr>
        <w:ind w:right="160"/>
        <w:spacing w:after="0" w:line="258" w:lineRule="auto"/>
        <w:rPr>
          <w:sz w:val="20"/>
          <w:szCs w:val="20"/>
          <w:color w:val="auto"/>
        </w:rPr>
      </w:pPr>
      <w:r>
        <w:rPr>
          <w:rFonts w:ascii="Arial" w:cs="Arial" w:eastAsia="Arial" w:hAnsi="Arial"/>
          <w:sz w:val="13"/>
          <w:szCs w:val="13"/>
          <w:color w:val="auto"/>
        </w:rPr>
        <w:t>The following tables present reconciliations of our GAAP gross margin to our non-GAAP gross margin and our GAAP net income and diluted income per common share to our non-GAAP net income and diluted income per common share: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380" w:type="dxa"/>
            <w:vAlign w:val="bottom"/>
          </w:tcPr>
          <w:p>
            <w:pPr>
              <w:spacing w:after="0"/>
              <w:rPr>
                <w:sz w:val="15"/>
                <w:szCs w:val="15"/>
                <w:color w:val="auto"/>
              </w:rPr>
            </w:pPr>
          </w:p>
        </w:tc>
        <w:tc>
          <w:tcPr>
            <w:tcW w:w="7860" w:type="dxa"/>
            <w:vAlign w:val="bottom"/>
            <w:gridSpan w:val="2"/>
          </w:tcPr>
          <w:p>
            <w:pPr>
              <w:jc w:val="right"/>
              <w:ind w:right="3853"/>
              <w:spacing w:after="0"/>
              <w:rPr>
                <w:sz w:val="20"/>
                <w:szCs w:val="20"/>
                <w:color w:val="auto"/>
              </w:rPr>
            </w:pPr>
            <w:r>
              <w:rPr>
                <w:rFonts w:ascii="Arial" w:cs="Arial" w:eastAsia="Arial" w:hAnsi="Arial"/>
                <w:sz w:val="13"/>
                <w:szCs w:val="13"/>
                <w:b w:val="1"/>
                <w:bCs w:val="1"/>
                <w:color w:val="auto"/>
              </w:rPr>
              <w:t>(in millions, except per share information, unaudited)</w:t>
            </w:r>
          </w:p>
        </w:tc>
        <w:tc>
          <w:tcPr>
            <w:tcW w:w="0" w:type="dxa"/>
            <w:vAlign w:val="bottom"/>
          </w:tcPr>
          <w:p>
            <w:pPr>
              <w:spacing w:after="0"/>
              <w:rPr>
                <w:sz w:val="1"/>
                <w:szCs w:val="1"/>
                <w:color w:val="auto"/>
              </w:rPr>
            </w:pPr>
          </w:p>
        </w:tc>
      </w:tr>
      <w:tr>
        <w:trPr>
          <w:trHeight w:val="203"/>
        </w:trPr>
        <w:tc>
          <w:tcPr>
            <w:tcW w:w="3380" w:type="dxa"/>
            <w:vAlign w:val="bottom"/>
          </w:tcPr>
          <w:p>
            <w:pPr>
              <w:spacing w:after="0"/>
              <w:rPr>
                <w:sz w:val="17"/>
                <w:szCs w:val="17"/>
                <w:color w:val="auto"/>
              </w:rPr>
            </w:pPr>
          </w:p>
        </w:tc>
        <w:tc>
          <w:tcPr>
            <w:tcW w:w="6900" w:type="dxa"/>
            <w:vAlign w:val="bottom"/>
          </w:tcPr>
          <w:p>
            <w:pPr>
              <w:spacing w:after="0"/>
              <w:rPr>
                <w:sz w:val="17"/>
                <w:szCs w:val="17"/>
                <w:color w:val="auto"/>
              </w:rPr>
            </w:pPr>
          </w:p>
        </w:tc>
        <w:tc>
          <w:tcPr>
            <w:tcW w:w="960" w:type="dxa"/>
            <w:vAlign w:val="bottom"/>
            <w:vMerge w:val="restart"/>
          </w:tcPr>
          <w:p>
            <w:pPr>
              <w:jc w:val="right"/>
              <w:ind w:right="73"/>
              <w:spacing w:after="0"/>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59"/>
        </w:trPr>
        <w:tc>
          <w:tcPr>
            <w:tcW w:w="3380" w:type="dxa"/>
            <w:vAlign w:val="bottom"/>
          </w:tcPr>
          <w:p>
            <w:pPr>
              <w:spacing w:after="0"/>
              <w:rPr>
                <w:sz w:val="13"/>
                <w:szCs w:val="13"/>
                <w:color w:val="auto"/>
              </w:rPr>
            </w:pPr>
          </w:p>
        </w:tc>
        <w:tc>
          <w:tcPr>
            <w:tcW w:w="6900" w:type="dxa"/>
            <w:vAlign w:val="bottom"/>
            <w:tcBorders>
              <w:right w:val="single" w:sz="8" w:color="auto"/>
            </w:tcBorders>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380" w:type="dxa"/>
            <w:vAlign w:val="bottom"/>
            <w:tcBorders>
              <w:bottom w:val="single" w:sz="8" w:color="auto"/>
            </w:tcBorders>
          </w:tcPr>
          <w:p>
            <w:pPr>
              <w:spacing w:after="0"/>
              <w:rPr>
                <w:sz w:val="16"/>
                <w:szCs w:val="16"/>
                <w:color w:val="auto"/>
              </w:rPr>
            </w:pPr>
          </w:p>
        </w:tc>
        <w:tc>
          <w:tcPr>
            <w:tcW w:w="69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July 3, 2020</w:t>
            </w:r>
          </w:p>
        </w:tc>
        <w:tc>
          <w:tcPr>
            <w:tcW w:w="0" w:type="dxa"/>
            <w:vAlign w:val="bottom"/>
          </w:tcPr>
          <w:p>
            <w:pPr>
              <w:spacing w:after="0"/>
              <w:rPr>
                <w:sz w:val="1"/>
                <w:szCs w:val="1"/>
                <w:color w:val="auto"/>
              </w:rPr>
            </w:pPr>
          </w:p>
        </w:tc>
      </w:tr>
      <w:tr>
        <w:trPr>
          <w:trHeight w:val="202"/>
        </w:trPr>
        <w:tc>
          <w:tcPr>
            <w:tcW w:w="3380" w:type="dxa"/>
            <w:vAlign w:val="bottom"/>
          </w:tcPr>
          <w:p>
            <w:pPr>
              <w:ind w:left="80"/>
              <w:spacing w:after="0"/>
              <w:rPr>
                <w:sz w:val="20"/>
                <w:szCs w:val="20"/>
                <w:color w:val="auto"/>
              </w:rPr>
            </w:pPr>
            <w:r>
              <w:rPr>
                <w:rFonts w:ascii="Arial" w:cs="Arial" w:eastAsia="Arial" w:hAnsi="Arial"/>
                <w:sz w:val="13"/>
                <w:szCs w:val="13"/>
                <w:b w:val="1"/>
                <w:bCs w:val="1"/>
                <w:color w:val="auto"/>
              </w:rPr>
              <w:t>Revenue</w:t>
            </w:r>
          </w:p>
        </w:tc>
        <w:tc>
          <w:tcPr>
            <w:tcW w:w="7860" w:type="dxa"/>
            <w:vAlign w:val="bottom"/>
            <w:gridSpan w:val="2"/>
          </w:tcPr>
          <w:p>
            <w:pPr>
              <w:jc w:val="right"/>
              <w:ind w:right="73"/>
              <w:spacing w:after="0"/>
              <w:rPr>
                <w:sz w:val="20"/>
                <w:szCs w:val="20"/>
                <w:color w:val="auto"/>
              </w:rPr>
            </w:pPr>
            <w:r>
              <w:rPr>
                <w:rFonts w:ascii="Arial" w:cs="Arial" w:eastAsia="Arial" w:hAnsi="Arial"/>
                <w:sz w:val="13"/>
                <w:szCs w:val="13"/>
                <w:b w:val="1"/>
                <w:bCs w:val="1"/>
                <w:color w:val="auto"/>
              </w:rPr>
              <w:t>$16,736</w:t>
            </w:r>
          </w:p>
        </w:tc>
        <w:tc>
          <w:tcPr>
            <w:tcW w:w="0" w:type="dxa"/>
            <w:vAlign w:val="bottom"/>
          </w:tcPr>
          <w:p>
            <w:pPr>
              <w:spacing w:after="0"/>
              <w:rPr>
                <w:sz w:val="1"/>
                <w:szCs w:val="1"/>
                <w:color w:val="auto"/>
              </w:rPr>
            </w:pPr>
          </w:p>
        </w:tc>
      </w:tr>
      <w:tr>
        <w:trPr>
          <w:trHeight w:val="243"/>
        </w:trPr>
        <w:tc>
          <w:tcPr>
            <w:tcW w:w="3380" w:type="dxa"/>
            <w:vAlign w:val="bottom"/>
          </w:tcPr>
          <w:p>
            <w:pPr>
              <w:ind w:left="80"/>
              <w:spacing w:after="0"/>
              <w:rPr>
                <w:sz w:val="20"/>
                <w:szCs w:val="20"/>
                <w:color w:val="auto"/>
              </w:rPr>
            </w:pPr>
            <w:r>
              <w:rPr>
                <w:rFonts w:ascii="Arial" w:cs="Arial" w:eastAsia="Arial" w:hAnsi="Arial"/>
                <w:sz w:val="13"/>
                <w:szCs w:val="13"/>
                <w:b w:val="1"/>
                <w:bCs w:val="1"/>
                <w:color w:val="auto"/>
              </w:rPr>
              <w:t>Reconciliation of non-GAAP gross margin</w:t>
            </w:r>
          </w:p>
        </w:tc>
        <w:tc>
          <w:tcPr>
            <w:tcW w:w="69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80"/>
              <w:spacing w:after="0"/>
              <w:rPr>
                <w:sz w:val="20"/>
                <w:szCs w:val="20"/>
                <w:color w:val="auto"/>
              </w:rPr>
            </w:pPr>
            <w:r>
              <w:rPr>
                <w:rFonts w:ascii="Arial" w:cs="Arial" w:eastAsia="Arial" w:hAnsi="Arial"/>
                <w:sz w:val="13"/>
                <w:szCs w:val="13"/>
                <w:color w:val="auto"/>
              </w:rPr>
              <w:t>GAAP gross profit</w:t>
            </w:r>
          </w:p>
        </w:tc>
        <w:tc>
          <w:tcPr>
            <w:tcW w:w="7860" w:type="dxa"/>
            <w:vAlign w:val="bottom"/>
            <w:gridSpan w:val="2"/>
          </w:tcPr>
          <w:p>
            <w:pPr>
              <w:jc w:val="right"/>
              <w:ind w:right="73"/>
              <w:spacing w:after="0"/>
              <w:rPr>
                <w:sz w:val="20"/>
                <w:szCs w:val="20"/>
                <w:color w:val="auto"/>
              </w:rPr>
            </w:pPr>
            <w:r>
              <w:rPr>
                <w:rFonts w:ascii="Arial" w:cs="Arial" w:eastAsia="Arial" w:hAnsi="Arial"/>
                <w:sz w:val="13"/>
                <w:szCs w:val="13"/>
                <w:color w:val="auto"/>
              </w:rPr>
              <w:t>$3,781</w:t>
            </w:r>
          </w:p>
        </w:tc>
        <w:tc>
          <w:tcPr>
            <w:tcW w:w="0" w:type="dxa"/>
            <w:vAlign w:val="bottom"/>
          </w:tcPr>
          <w:p>
            <w:pPr>
              <w:spacing w:after="0"/>
              <w:rPr>
                <w:sz w:val="1"/>
                <w:szCs w:val="1"/>
                <w:color w:val="auto"/>
              </w:rPr>
            </w:pPr>
          </w:p>
        </w:tc>
      </w:tr>
      <w:tr>
        <w:trPr>
          <w:trHeight w:val="243"/>
        </w:trPr>
        <w:tc>
          <w:tcPr>
            <w:tcW w:w="3380" w:type="dxa"/>
            <w:vAlign w:val="bottom"/>
          </w:tcPr>
          <w:p>
            <w:pPr>
              <w:ind w:left="360"/>
              <w:spacing w:after="0"/>
              <w:rPr>
                <w:sz w:val="20"/>
                <w:szCs w:val="20"/>
                <w:color w:val="auto"/>
              </w:rPr>
            </w:pPr>
            <w:r>
              <w:rPr>
                <w:rFonts w:ascii="Arial" w:cs="Arial" w:eastAsia="Arial" w:hAnsi="Arial"/>
                <w:sz w:val="13"/>
                <w:szCs w:val="13"/>
                <w:color w:val="auto"/>
              </w:rPr>
              <w:t>Amortization of acquired intangible assets</w:t>
            </w:r>
          </w:p>
        </w:tc>
        <w:tc>
          <w:tcPr>
            <w:tcW w:w="7860" w:type="dxa"/>
            <w:vAlign w:val="bottom"/>
            <w:gridSpan w:val="2"/>
          </w:tcPr>
          <w:p>
            <w:pPr>
              <w:jc w:val="right"/>
              <w:ind w:right="73"/>
              <w:spacing w:after="0"/>
              <w:rPr>
                <w:sz w:val="20"/>
                <w:szCs w:val="20"/>
                <w:color w:val="auto"/>
              </w:rPr>
            </w:pPr>
            <w:r>
              <w:rPr>
                <w:rFonts w:ascii="Arial" w:cs="Arial" w:eastAsia="Arial" w:hAnsi="Arial"/>
                <w:sz w:val="13"/>
                <w:szCs w:val="13"/>
                <w:color w:val="auto"/>
              </w:rPr>
              <w:t>610</w:t>
            </w:r>
          </w:p>
        </w:tc>
        <w:tc>
          <w:tcPr>
            <w:tcW w:w="0" w:type="dxa"/>
            <w:vAlign w:val="bottom"/>
          </w:tcPr>
          <w:p>
            <w:pPr>
              <w:spacing w:after="0"/>
              <w:rPr>
                <w:sz w:val="1"/>
                <w:szCs w:val="1"/>
                <w:color w:val="auto"/>
              </w:rPr>
            </w:pPr>
          </w:p>
        </w:tc>
      </w:tr>
      <w:tr>
        <w:trPr>
          <w:trHeight w:val="243"/>
        </w:trPr>
        <w:tc>
          <w:tcPr>
            <w:tcW w:w="3380" w:type="dxa"/>
            <w:vAlign w:val="bottom"/>
          </w:tcPr>
          <w:p>
            <w:pPr>
              <w:ind w:left="360"/>
              <w:spacing w:after="0"/>
              <w:rPr>
                <w:sz w:val="20"/>
                <w:szCs w:val="20"/>
                <w:color w:val="auto"/>
              </w:rPr>
            </w:pPr>
            <w:r>
              <w:rPr>
                <w:rFonts w:ascii="Arial" w:cs="Arial" w:eastAsia="Arial" w:hAnsi="Arial"/>
                <w:sz w:val="13"/>
                <w:szCs w:val="13"/>
                <w:color w:val="auto"/>
              </w:rPr>
              <w:t>Stock-based compensation expense</w:t>
            </w:r>
          </w:p>
        </w:tc>
        <w:tc>
          <w:tcPr>
            <w:tcW w:w="7860" w:type="dxa"/>
            <w:vAlign w:val="bottom"/>
            <w:gridSpan w:val="2"/>
          </w:tcPr>
          <w:p>
            <w:pPr>
              <w:jc w:val="right"/>
              <w:ind w:right="73"/>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243"/>
        </w:trPr>
        <w:tc>
          <w:tcPr>
            <w:tcW w:w="3380" w:type="dxa"/>
            <w:vAlign w:val="bottom"/>
          </w:tcPr>
          <w:p>
            <w:pPr>
              <w:ind w:left="360"/>
              <w:spacing w:after="0"/>
              <w:rPr>
                <w:sz w:val="20"/>
                <w:szCs w:val="20"/>
                <w:color w:val="auto"/>
              </w:rPr>
            </w:pPr>
            <w:r>
              <w:rPr>
                <w:rFonts w:ascii="Arial" w:cs="Arial" w:eastAsia="Arial" w:hAnsi="Arial"/>
                <w:sz w:val="13"/>
                <w:szCs w:val="13"/>
                <w:color w:val="auto"/>
              </w:rPr>
              <w:t>Charges related to cost saving initiatives</w:t>
            </w:r>
          </w:p>
        </w:tc>
        <w:tc>
          <w:tcPr>
            <w:tcW w:w="7860" w:type="dxa"/>
            <w:vAlign w:val="bottom"/>
            <w:gridSpan w:val="2"/>
          </w:tcPr>
          <w:p>
            <w:pPr>
              <w:jc w:val="right"/>
              <w:ind w:right="73"/>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43"/>
        </w:trPr>
        <w:tc>
          <w:tcPr>
            <w:tcW w:w="3380" w:type="dxa"/>
            <w:vAlign w:val="bottom"/>
          </w:tcPr>
          <w:p>
            <w:pPr>
              <w:ind w:left="360"/>
              <w:spacing w:after="0"/>
              <w:rPr>
                <w:sz w:val="20"/>
                <w:szCs w:val="20"/>
                <w:color w:val="auto"/>
              </w:rPr>
            </w:pPr>
            <w:r>
              <w:rPr>
                <w:rFonts w:ascii="Arial" w:cs="Arial" w:eastAsia="Arial" w:hAnsi="Arial"/>
                <w:sz w:val="13"/>
                <w:szCs w:val="13"/>
                <w:color w:val="auto"/>
              </w:rPr>
              <w:t>Manufacturing underutilization charges</w:t>
            </w:r>
          </w:p>
        </w:tc>
        <w:tc>
          <w:tcPr>
            <w:tcW w:w="6900" w:type="dxa"/>
            <w:vAlign w:val="bottom"/>
          </w:tcPr>
          <w:p>
            <w:pPr>
              <w:spacing w:after="0"/>
              <w:rPr>
                <w:sz w:val="21"/>
                <w:szCs w:val="21"/>
                <w:color w:val="auto"/>
              </w:rPr>
            </w:pP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3"/>
        </w:trPr>
        <w:tc>
          <w:tcPr>
            <w:tcW w:w="3380" w:type="dxa"/>
            <w:vAlign w:val="bottom"/>
          </w:tcPr>
          <w:p>
            <w:pPr>
              <w:ind w:left="360"/>
              <w:spacing w:after="0"/>
              <w:rPr>
                <w:sz w:val="20"/>
                <w:szCs w:val="20"/>
                <w:color w:val="auto"/>
              </w:rPr>
            </w:pPr>
            <w:r>
              <w:rPr>
                <w:rFonts w:ascii="Arial" w:cs="Arial" w:eastAsia="Arial" w:hAnsi="Arial"/>
                <w:sz w:val="13"/>
                <w:szCs w:val="13"/>
                <w:color w:val="auto"/>
              </w:rPr>
              <w:t>Power outage charges</w:t>
            </w:r>
          </w:p>
        </w:tc>
        <w:tc>
          <w:tcPr>
            <w:tcW w:w="7860" w:type="dxa"/>
            <w:vAlign w:val="bottom"/>
            <w:gridSpan w:val="2"/>
          </w:tcPr>
          <w:p>
            <w:pPr>
              <w:jc w:val="right"/>
              <w:ind w:right="73"/>
              <w:spacing w:after="0"/>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243"/>
        </w:trPr>
        <w:tc>
          <w:tcPr>
            <w:tcW w:w="3380" w:type="dxa"/>
            <w:vAlign w:val="bottom"/>
          </w:tcPr>
          <w:p>
            <w:pPr>
              <w:ind w:left="360"/>
              <w:spacing w:after="0"/>
              <w:rPr>
                <w:sz w:val="20"/>
                <w:szCs w:val="20"/>
                <w:color w:val="auto"/>
              </w:rPr>
            </w:pPr>
            <w:r>
              <w:rPr>
                <w:rFonts w:ascii="Arial" w:cs="Arial" w:eastAsia="Arial" w:hAnsi="Arial"/>
                <w:sz w:val="13"/>
                <w:szCs w:val="13"/>
                <w:color w:val="auto"/>
              </w:rPr>
              <w:t>Other</w:t>
            </w:r>
          </w:p>
        </w:tc>
        <w:tc>
          <w:tcPr>
            <w:tcW w:w="7860" w:type="dxa"/>
            <w:vAlign w:val="bottom"/>
            <w:gridSpan w:val="2"/>
          </w:tcPr>
          <w:p>
            <w:pPr>
              <w:jc w:val="right"/>
              <w:ind w:right="13"/>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41"/>
        </w:trPr>
        <w:tc>
          <w:tcPr>
            <w:tcW w:w="3380" w:type="dxa"/>
            <w:vAlign w:val="bottom"/>
          </w:tcPr>
          <w:p>
            <w:pPr>
              <w:spacing w:after="0"/>
              <w:rPr>
                <w:sz w:val="3"/>
                <w:szCs w:val="3"/>
                <w:color w:val="auto"/>
              </w:rPr>
            </w:pPr>
          </w:p>
        </w:tc>
        <w:tc>
          <w:tcPr>
            <w:tcW w:w="690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3380" w:type="dxa"/>
            <w:vAlign w:val="bottom"/>
          </w:tcPr>
          <w:p>
            <w:pPr>
              <w:ind w:left="80"/>
              <w:spacing w:after="0"/>
              <w:rPr>
                <w:sz w:val="20"/>
                <w:szCs w:val="20"/>
                <w:color w:val="auto"/>
              </w:rPr>
            </w:pPr>
            <w:r>
              <w:rPr>
                <w:rFonts w:ascii="Arial" w:cs="Arial" w:eastAsia="Arial" w:hAnsi="Arial"/>
                <w:sz w:val="13"/>
                <w:szCs w:val="13"/>
                <w:color w:val="auto"/>
              </w:rPr>
              <w:t>Non-GAAP gross profit</w:t>
            </w:r>
          </w:p>
        </w:tc>
        <w:tc>
          <w:tcPr>
            <w:tcW w:w="7860" w:type="dxa"/>
            <w:vAlign w:val="bottom"/>
            <w:gridSpan w:val="2"/>
          </w:tcPr>
          <w:p>
            <w:pPr>
              <w:jc w:val="right"/>
              <w:ind w:right="73"/>
              <w:spacing w:after="0"/>
              <w:rPr>
                <w:sz w:val="20"/>
                <w:szCs w:val="20"/>
                <w:color w:val="auto"/>
              </w:rPr>
            </w:pPr>
            <w:r>
              <w:rPr>
                <w:rFonts w:ascii="Arial" w:cs="Arial" w:eastAsia="Arial" w:hAnsi="Arial"/>
                <w:sz w:val="13"/>
                <w:szCs w:val="13"/>
                <w:color w:val="auto"/>
              </w:rPr>
              <w:t>$4,505</w:t>
            </w:r>
          </w:p>
        </w:tc>
        <w:tc>
          <w:tcPr>
            <w:tcW w:w="0" w:type="dxa"/>
            <w:vAlign w:val="bottom"/>
          </w:tcPr>
          <w:p>
            <w:pPr>
              <w:spacing w:after="0"/>
              <w:rPr>
                <w:sz w:val="1"/>
                <w:szCs w:val="1"/>
                <w:color w:val="auto"/>
              </w:rPr>
            </w:pPr>
          </w:p>
        </w:tc>
      </w:tr>
      <w:tr>
        <w:trPr>
          <w:trHeight w:val="34"/>
        </w:trPr>
        <w:tc>
          <w:tcPr>
            <w:tcW w:w="3380" w:type="dxa"/>
            <w:vAlign w:val="bottom"/>
          </w:tcPr>
          <w:p>
            <w:pPr>
              <w:spacing w:after="0"/>
              <w:rPr>
                <w:sz w:val="3"/>
                <w:szCs w:val="3"/>
                <w:color w:val="auto"/>
              </w:rPr>
            </w:pPr>
          </w:p>
        </w:tc>
        <w:tc>
          <w:tcPr>
            <w:tcW w:w="690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3380" w:type="dxa"/>
            <w:vAlign w:val="bottom"/>
          </w:tcPr>
          <w:p>
            <w:pPr>
              <w:ind w:left="80"/>
              <w:spacing w:after="0"/>
              <w:rPr>
                <w:sz w:val="20"/>
                <w:szCs w:val="20"/>
                <w:color w:val="auto"/>
              </w:rPr>
            </w:pPr>
            <w:r>
              <w:rPr>
                <w:rFonts w:ascii="Arial" w:cs="Arial" w:eastAsia="Arial" w:hAnsi="Arial"/>
                <w:sz w:val="13"/>
                <w:szCs w:val="13"/>
                <w:color w:val="auto"/>
              </w:rPr>
              <w:t>GAAP gross margin</w:t>
            </w:r>
          </w:p>
        </w:tc>
        <w:tc>
          <w:tcPr>
            <w:tcW w:w="7860" w:type="dxa"/>
            <w:vAlign w:val="bottom"/>
            <w:gridSpan w:val="2"/>
          </w:tcPr>
          <w:p>
            <w:pPr>
              <w:jc w:val="right"/>
              <w:ind w:right="73"/>
              <w:spacing w:after="0"/>
              <w:rPr>
                <w:sz w:val="20"/>
                <w:szCs w:val="20"/>
                <w:color w:val="auto"/>
              </w:rPr>
            </w:pPr>
            <w:r>
              <w:rPr>
                <w:rFonts w:ascii="Arial" w:cs="Arial" w:eastAsia="Arial" w:hAnsi="Arial"/>
                <w:sz w:val="13"/>
                <w:szCs w:val="13"/>
                <w:color w:val="auto"/>
              </w:rPr>
              <w:t>22.6%</w:t>
            </w:r>
          </w:p>
        </w:tc>
        <w:tc>
          <w:tcPr>
            <w:tcW w:w="0" w:type="dxa"/>
            <w:vAlign w:val="bottom"/>
          </w:tcPr>
          <w:p>
            <w:pPr>
              <w:spacing w:after="0"/>
              <w:rPr>
                <w:sz w:val="1"/>
                <w:szCs w:val="1"/>
                <w:color w:val="auto"/>
              </w:rPr>
            </w:pPr>
          </w:p>
        </w:tc>
      </w:tr>
      <w:tr>
        <w:trPr>
          <w:trHeight w:val="243"/>
        </w:trPr>
        <w:tc>
          <w:tcPr>
            <w:tcW w:w="3380" w:type="dxa"/>
            <w:vAlign w:val="bottom"/>
          </w:tcPr>
          <w:p>
            <w:pPr>
              <w:ind w:left="80"/>
              <w:spacing w:after="0"/>
              <w:rPr>
                <w:sz w:val="20"/>
                <w:szCs w:val="20"/>
                <w:color w:val="auto"/>
              </w:rPr>
            </w:pPr>
            <w:r>
              <w:rPr>
                <w:rFonts w:ascii="Arial" w:cs="Arial" w:eastAsia="Arial" w:hAnsi="Arial"/>
                <w:sz w:val="13"/>
                <w:szCs w:val="13"/>
                <w:color w:val="auto"/>
              </w:rPr>
              <w:t>Non-GAAP gross margin</w:t>
            </w:r>
          </w:p>
        </w:tc>
        <w:tc>
          <w:tcPr>
            <w:tcW w:w="7860" w:type="dxa"/>
            <w:vAlign w:val="bottom"/>
            <w:gridSpan w:val="2"/>
          </w:tcPr>
          <w:p>
            <w:pPr>
              <w:jc w:val="right"/>
              <w:ind w:right="73"/>
              <w:spacing w:after="0"/>
              <w:rPr>
                <w:sz w:val="20"/>
                <w:szCs w:val="20"/>
                <w:color w:val="auto"/>
              </w:rPr>
            </w:pPr>
            <w:r>
              <w:rPr>
                <w:rFonts w:ascii="Arial" w:cs="Arial" w:eastAsia="Arial" w:hAnsi="Arial"/>
                <w:sz w:val="13"/>
                <w:szCs w:val="13"/>
                <w:color w:val="auto"/>
              </w:rPr>
              <w:t>26.9%</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right"/>
        <w:spacing w:after="0"/>
        <w:tabs>
          <w:tab w:leader="none" w:pos="260" w:val="left"/>
        </w:tabs>
        <w:rPr>
          <w:sz w:val="20"/>
          <w:szCs w:val="20"/>
          <w:color w:val="auto"/>
        </w:rPr>
      </w:pPr>
      <w:r>
        <w:rPr>
          <w:rFonts w:ascii="Arial" w:cs="Arial" w:eastAsia="Arial" w:hAnsi="Arial"/>
          <w:sz w:val="13"/>
          <w:szCs w:val="13"/>
          <w:color w:val="23628F"/>
        </w:rPr>
        <w:t>2020 PROXY STATEMENT</w:t>
      </w:r>
      <w:r>
        <w:rPr>
          <w:sz w:val="20"/>
          <w:szCs w:val="20"/>
          <w:color w:val="auto"/>
        </w:rPr>
        <w:tab/>
      </w:r>
      <w:r>
        <w:rPr>
          <w:rFonts w:ascii="Arial" w:cs="Arial" w:eastAsia="Arial" w:hAnsi="Arial"/>
          <w:sz w:val="16"/>
          <w:szCs w:val="16"/>
          <w:b w:val="1"/>
          <w:bCs w:val="1"/>
          <w:color w:val="23628F"/>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153275" cy="209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3"/>
          <w:szCs w:val="13"/>
          <w:color w:val="23628F"/>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23114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32320" cy="2311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16" w:lineRule="exact"/>
        <w:rPr>
          <w:sz w:val="20"/>
          <w:szCs w:val="20"/>
          <w:color w:val="auto"/>
        </w:rPr>
      </w:pPr>
    </w:p>
    <w:tbl>
      <w:tblPr>
        <w:tblLayout w:type="fixed"/>
        <w:tblInd w:w="3820" w:type="dxa"/>
        <w:tblCellMar>
          <w:top w:w="0" w:type="dxa"/>
          <w:left w:w="0" w:type="dxa"/>
          <w:bottom w:w="0" w:type="dxa"/>
          <w:right w:w="0" w:type="dxa"/>
        </w:tblCellMar>
      </w:tblPr>
      <w:tr>
        <w:trPr>
          <w:trHeight w:val="159"/>
        </w:trPr>
        <w:tc>
          <w:tcPr>
            <w:tcW w:w="86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Year Ended</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Year Ended</w:t>
            </w:r>
          </w:p>
        </w:tc>
      </w:tr>
      <w:tr>
        <w:trPr>
          <w:trHeight w:val="178"/>
        </w:trPr>
        <w:tc>
          <w:tcPr>
            <w:tcW w:w="860" w:type="dxa"/>
            <w:vAlign w:val="bottom"/>
            <w:tcBorders>
              <w:right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July 3, 2020</w:t>
            </w: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June 28, 2019</w:t>
            </w:r>
          </w:p>
        </w:tc>
      </w:tr>
      <w:tr>
        <w:trPr>
          <w:trHeight w:val="28"/>
        </w:trPr>
        <w:tc>
          <w:tcPr>
            <w:tcW w:w="860" w:type="dxa"/>
            <w:vAlign w:val="bottom"/>
            <w:tcBorders>
              <w:right w:val="single" w:sz="8" w:color="auto"/>
            </w:tcBorders>
          </w:tcPr>
          <w:p>
            <w:pPr>
              <w:spacing w:after="0"/>
              <w:rPr>
                <w:sz w:val="2"/>
                <w:szCs w:val="2"/>
                <w:color w:val="auto"/>
              </w:rPr>
            </w:pPr>
          </w:p>
        </w:tc>
        <w:tc>
          <w:tcPr>
            <w:tcW w:w="9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right"/>
        <w:spacing w:after="0" w:line="284" w:lineRule="auto"/>
        <w:rPr>
          <w:sz w:val="20"/>
          <w:szCs w:val="20"/>
          <w:color w:val="auto"/>
        </w:rPr>
      </w:pPr>
      <w:r>
        <w:rPr>
          <w:rFonts w:ascii="Arial" w:cs="Arial" w:eastAsia="Arial" w:hAnsi="Arial"/>
          <w:sz w:val="13"/>
          <w:szCs w:val="13"/>
          <w:b w:val="1"/>
          <w:bCs w:val="1"/>
          <w:color w:val="auto"/>
        </w:rPr>
        <w:t>Fourth Quarter Fiscal 2019</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Third Quarter</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Fiscal 2019</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right"/>
        <w:spacing w:after="0" w:line="284" w:lineRule="auto"/>
        <w:rPr>
          <w:sz w:val="20"/>
          <w:szCs w:val="20"/>
          <w:color w:val="auto"/>
        </w:rPr>
      </w:pPr>
      <w:r>
        <w:rPr>
          <w:rFonts w:ascii="Arial" w:cs="Arial" w:eastAsia="Arial" w:hAnsi="Arial"/>
          <w:sz w:val="13"/>
          <w:szCs w:val="13"/>
          <w:b w:val="1"/>
          <w:bCs w:val="1"/>
          <w:color w:val="auto"/>
        </w:rPr>
        <w:t>Second Quarter Fiscal 2019</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right"/>
        <w:ind w:right="80"/>
        <w:spacing w:after="0" w:line="284" w:lineRule="auto"/>
        <w:rPr>
          <w:sz w:val="20"/>
          <w:szCs w:val="20"/>
          <w:color w:val="auto"/>
        </w:rPr>
      </w:pPr>
      <w:r>
        <w:rPr>
          <w:rFonts w:ascii="Arial" w:cs="Arial" w:eastAsia="Arial" w:hAnsi="Arial"/>
          <w:sz w:val="13"/>
          <w:szCs w:val="13"/>
          <w:b w:val="1"/>
          <w:bCs w:val="1"/>
          <w:color w:val="auto"/>
        </w:rPr>
        <w:t>First Quarter Fiscal 2019</w:t>
      </w:r>
    </w:p>
    <w:p>
      <w:pPr>
        <w:spacing w:after="0" w:line="10" w:lineRule="exact"/>
        <w:rPr>
          <w:sz w:val="20"/>
          <w:szCs w:val="20"/>
          <w:color w:val="auto"/>
        </w:rPr>
      </w:pPr>
    </w:p>
    <w:p>
      <w:pPr>
        <w:sectPr>
          <w:pgSz w:w="11900" w:h="16838" w:orient="portrait"/>
          <w:cols w:equalWidth="0" w:num="5">
            <w:col w:w="5640" w:space="500"/>
            <w:col w:w="960" w:space="440"/>
            <w:col w:w="860" w:space="520"/>
            <w:col w:w="1020" w:space="420"/>
            <w:col w:w="880"/>
          </w:cols>
          <w:pgMar w:left="320" w:top="121" w:right="339" w:bottom="1440" w:gutter="0" w:footer="0" w:header="0"/>
          <w:type w:val="continuous"/>
        </w:sectPr>
      </w:pPr>
    </w:p>
    <w:p>
      <w:pPr>
        <w:ind w:left="80"/>
        <w:spacing w:after="0"/>
        <w:rPr>
          <w:sz w:val="20"/>
          <w:szCs w:val="20"/>
          <w:color w:val="auto"/>
        </w:rPr>
      </w:pPr>
      <w:r>
        <w:rPr>
          <w:rFonts w:ascii="Arial" w:cs="Arial" w:eastAsia="Arial" w:hAnsi="Arial"/>
          <w:sz w:val="13"/>
          <w:szCs w:val="13"/>
          <w:b w:val="1"/>
          <w:bCs w:val="1"/>
          <w:color w:val="auto"/>
        </w:rPr>
        <w:t>Reconciliation of non-GAAP net</w:t>
      </w:r>
    </w:p>
    <w:p>
      <w:pPr>
        <w:spacing w:after="0" w:line="15"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income (loss) and earnings per share:</w:t>
      </w:r>
    </w:p>
    <w:p>
      <w:pPr>
        <w:spacing w:after="0" w:line="94"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3640" w:type="dxa"/>
            <w:vAlign w:val="bottom"/>
          </w:tcPr>
          <w:p>
            <w:pPr>
              <w:spacing w:after="0"/>
              <w:rPr>
                <w:sz w:val="20"/>
                <w:szCs w:val="20"/>
                <w:color w:val="auto"/>
              </w:rPr>
            </w:pPr>
            <w:r>
              <w:rPr>
                <w:rFonts w:ascii="Arial" w:cs="Arial" w:eastAsia="Arial" w:hAnsi="Arial"/>
                <w:sz w:val="13"/>
                <w:szCs w:val="13"/>
                <w:color w:val="auto"/>
              </w:rPr>
              <w:t>GAAP net income (loss)</w:t>
            </w:r>
          </w:p>
        </w:tc>
        <w:tc>
          <w:tcPr>
            <w:tcW w:w="860" w:type="dxa"/>
            <w:vAlign w:val="bottom"/>
          </w:tcPr>
          <w:p>
            <w:pPr>
              <w:jc w:val="right"/>
              <w:spacing w:after="0"/>
              <w:rPr>
                <w:sz w:val="20"/>
                <w:szCs w:val="20"/>
                <w:color w:val="auto"/>
              </w:rPr>
            </w:pPr>
            <w:r>
              <w:rPr>
                <w:rFonts w:ascii="Arial" w:cs="Arial" w:eastAsia="Arial" w:hAnsi="Arial"/>
                <w:sz w:val="13"/>
                <w:szCs w:val="13"/>
                <w:color w:val="auto"/>
              </w:rPr>
              <w:t>($250)</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($754)</w:t>
            </w:r>
          </w:p>
        </w:tc>
        <w:tc>
          <w:tcPr>
            <w:tcW w:w="60" w:type="dxa"/>
            <w:vAlign w:val="bottom"/>
          </w:tcPr>
          <w:p>
            <w:pPr>
              <w:spacing w:after="0"/>
              <w:rPr>
                <w:sz w:val="14"/>
                <w:szCs w:val="14"/>
                <w:color w:val="auto"/>
              </w:rPr>
            </w:pPr>
          </w:p>
        </w:tc>
        <w:tc>
          <w:tcPr>
            <w:tcW w:w="1400" w:type="dxa"/>
            <w:vAlign w:val="bottom"/>
          </w:tcPr>
          <w:p>
            <w:pPr>
              <w:jc w:val="right"/>
              <w:ind w:right="413"/>
              <w:spacing w:after="0"/>
              <w:rPr>
                <w:sz w:val="20"/>
                <w:szCs w:val="20"/>
                <w:color w:val="auto"/>
              </w:rPr>
            </w:pPr>
            <w:r>
              <w:rPr>
                <w:rFonts w:ascii="Arial" w:cs="Arial" w:eastAsia="Arial" w:hAnsi="Arial"/>
                <w:sz w:val="13"/>
                <w:szCs w:val="13"/>
                <w:color w:val="auto"/>
              </w:rPr>
              <w:t>($197)</w:t>
            </w:r>
          </w:p>
        </w:tc>
        <w:tc>
          <w:tcPr>
            <w:tcW w:w="60" w:type="dxa"/>
            <w:vAlign w:val="bottom"/>
          </w:tcPr>
          <w:p>
            <w:pPr>
              <w:spacing w:after="0"/>
              <w:rPr>
                <w:sz w:val="14"/>
                <w:szCs w:val="14"/>
                <w:color w:val="auto"/>
              </w:rPr>
            </w:pPr>
          </w:p>
        </w:tc>
        <w:tc>
          <w:tcPr>
            <w:tcW w:w="1240" w:type="dxa"/>
            <w:vAlign w:val="bottom"/>
          </w:tcPr>
          <w:p>
            <w:pPr>
              <w:jc w:val="right"/>
              <w:ind w:right="353"/>
              <w:spacing w:after="0"/>
              <w:rPr>
                <w:sz w:val="20"/>
                <w:szCs w:val="20"/>
                <w:color w:val="auto"/>
              </w:rPr>
            </w:pPr>
            <w:r>
              <w:rPr>
                <w:rFonts w:ascii="Arial" w:cs="Arial" w:eastAsia="Arial" w:hAnsi="Arial"/>
                <w:sz w:val="13"/>
                <w:szCs w:val="13"/>
                <w:color w:val="auto"/>
              </w:rPr>
              <w:t>($581)</w:t>
            </w:r>
          </w:p>
        </w:tc>
        <w:tc>
          <w:tcPr>
            <w:tcW w:w="80" w:type="dxa"/>
            <w:vAlign w:val="bottom"/>
          </w:tcPr>
          <w:p>
            <w:pPr>
              <w:spacing w:after="0"/>
              <w:rPr>
                <w:sz w:val="14"/>
                <w:szCs w:val="14"/>
                <w:color w:val="auto"/>
              </w:rPr>
            </w:pPr>
          </w:p>
        </w:tc>
        <w:tc>
          <w:tcPr>
            <w:tcW w:w="1460" w:type="dxa"/>
            <w:vAlign w:val="bottom"/>
          </w:tcPr>
          <w:p>
            <w:pPr>
              <w:jc w:val="right"/>
              <w:ind w:right="453"/>
              <w:spacing w:after="0"/>
              <w:rPr>
                <w:sz w:val="20"/>
                <w:szCs w:val="20"/>
                <w:color w:val="auto"/>
              </w:rPr>
            </w:pPr>
            <w:r>
              <w:rPr>
                <w:rFonts w:ascii="Arial" w:cs="Arial" w:eastAsia="Arial" w:hAnsi="Arial"/>
                <w:sz w:val="13"/>
                <w:szCs w:val="13"/>
                <w:color w:val="auto"/>
              </w:rPr>
              <w:t>($487)</w:t>
            </w:r>
          </w:p>
        </w:tc>
        <w:tc>
          <w:tcPr>
            <w:tcW w:w="60" w:type="dxa"/>
            <w:vAlign w:val="bottom"/>
          </w:tcPr>
          <w:p>
            <w:pPr>
              <w:spacing w:after="0"/>
              <w:rPr>
                <w:sz w:val="14"/>
                <w:szCs w:val="14"/>
                <w:color w:val="auto"/>
              </w:rPr>
            </w:pPr>
          </w:p>
        </w:tc>
        <w:tc>
          <w:tcPr>
            <w:tcW w:w="1240" w:type="dxa"/>
            <w:vAlign w:val="bottom"/>
          </w:tcPr>
          <w:p>
            <w:pPr>
              <w:jc w:val="right"/>
              <w:ind w:right="413"/>
              <w:spacing w:after="0"/>
              <w:rPr>
                <w:sz w:val="20"/>
                <w:szCs w:val="20"/>
                <w:color w:val="auto"/>
              </w:rPr>
            </w:pPr>
            <w:r>
              <w:rPr>
                <w:rFonts w:ascii="Arial" w:cs="Arial" w:eastAsia="Arial" w:hAnsi="Arial"/>
                <w:sz w:val="13"/>
                <w:szCs w:val="13"/>
                <w:color w:val="auto"/>
              </w:rPr>
              <w:t>511</w:t>
            </w:r>
          </w:p>
        </w:tc>
        <w:tc>
          <w:tcPr>
            <w:tcW w:w="0" w:type="dxa"/>
            <w:vAlign w:val="bottom"/>
          </w:tcPr>
          <w:p>
            <w:pPr>
              <w:spacing w:after="0"/>
              <w:rPr>
                <w:sz w:val="1"/>
                <w:szCs w:val="1"/>
                <w:color w:val="auto"/>
              </w:rPr>
            </w:pPr>
          </w:p>
        </w:tc>
      </w:tr>
      <w:tr>
        <w:trPr>
          <w:trHeight w:val="189"/>
        </w:trPr>
        <w:tc>
          <w:tcPr>
            <w:tcW w:w="3640" w:type="dxa"/>
            <w:vAlign w:val="bottom"/>
          </w:tcPr>
          <w:p>
            <w:pPr>
              <w:ind w:left="280"/>
              <w:spacing w:after="0"/>
              <w:rPr>
                <w:sz w:val="20"/>
                <w:szCs w:val="20"/>
                <w:color w:val="auto"/>
              </w:rPr>
            </w:pPr>
            <w:r>
              <w:rPr>
                <w:rFonts w:ascii="Arial" w:cs="Arial" w:eastAsia="Arial" w:hAnsi="Arial"/>
                <w:sz w:val="13"/>
                <w:szCs w:val="13"/>
                <w:color w:val="auto"/>
              </w:rPr>
              <w:t>Amortization of acquired</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640" w:type="dxa"/>
            <w:vAlign w:val="bottom"/>
          </w:tcPr>
          <w:p>
            <w:pPr>
              <w:ind w:left="280"/>
              <w:spacing w:after="0"/>
              <w:rPr>
                <w:sz w:val="20"/>
                <w:szCs w:val="20"/>
                <w:color w:val="auto"/>
              </w:rPr>
            </w:pPr>
            <w:r>
              <w:rPr>
                <w:rFonts w:ascii="Arial" w:cs="Arial" w:eastAsia="Arial" w:hAnsi="Arial"/>
                <w:sz w:val="13"/>
                <w:szCs w:val="13"/>
                <w:color w:val="auto"/>
              </w:rPr>
              <w:t>intangible assets</w:t>
            </w:r>
          </w:p>
        </w:tc>
        <w:tc>
          <w:tcPr>
            <w:tcW w:w="860" w:type="dxa"/>
            <w:vAlign w:val="bottom"/>
          </w:tcPr>
          <w:p>
            <w:pPr>
              <w:jc w:val="right"/>
              <w:spacing w:after="0"/>
              <w:rPr>
                <w:sz w:val="20"/>
                <w:szCs w:val="20"/>
                <w:color w:val="auto"/>
              </w:rPr>
            </w:pPr>
            <w:r>
              <w:rPr>
                <w:rFonts w:ascii="Arial" w:cs="Arial" w:eastAsia="Arial" w:hAnsi="Arial"/>
                <w:sz w:val="13"/>
                <w:szCs w:val="13"/>
                <w:color w:val="auto"/>
              </w:rPr>
              <w:t>769</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968</w:t>
            </w:r>
          </w:p>
        </w:tc>
        <w:tc>
          <w:tcPr>
            <w:tcW w:w="60" w:type="dxa"/>
            <w:vAlign w:val="bottom"/>
          </w:tcPr>
          <w:p>
            <w:pPr>
              <w:spacing w:after="0"/>
              <w:rPr>
                <w:sz w:val="14"/>
                <w:szCs w:val="14"/>
                <w:color w:val="auto"/>
              </w:rPr>
            </w:pPr>
          </w:p>
        </w:tc>
        <w:tc>
          <w:tcPr>
            <w:tcW w:w="1400" w:type="dxa"/>
            <w:vAlign w:val="bottom"/>
          </w:tcPr>
          <w:p>
            <w:pPr>
              <w:jc w:val="right"/>
              <w:ind w:right="453"/>
              <w:spacing w:after="0"/>
              <w:rPr>
                <w:sz w:val="20"/>
                <w:szCs w:val="20"/>
                <w:color w:val="auto"/>
              </w:rPr>
            </w:pPr>
            <w:r>
              <w:rPr>
                <w:rFonts w:ascii="Arial" w:cs="Arial" w:eastAsia="Arial" w:hAnsi="Arial"/>
                <w:sz w:val="13"/>
                <w:szCs w:val="13"/>
                <w:color w:val="auto"/>
              </w:rPr>
              <w:t>207</w:t>
            </w:r>
          </w:p>
        </w:tc>
        <w:tc>
          <w:tcPr>
            <w:tcW w:w="60" w:type="dxa"/>
            <w:vAlign w:val="bottom"/>
          </w:tcPr>
          <w:p>
            <w:pPr>
              <w:spacing w:after="0"/>
              <w:rPr>
                <w:sz w:val="14"/>
                <w:szCs w:val="14"/>
                <w:color w:val="auto"/>
              </w:rPr>
            </w:pPr>
          </w:p>
        </w:tc>
        <w:tc>
          <w:tcPr>
            <w:tcW w:w="1240" w:type="dxa"/>
            <w:vAlign w:val="bottom"/>
          </w:tcPr>
          <w:p>
            <w:pPr>
              <w:jc w:val="right"/>
              <w:ind w:right="393"/>
              <w:spacing w:after="0"/>
              <w:rPr>
                <w:sz w:val="20"/>
                <w:szCs w:val="20"/>
                <w:color w:val="auto"/>
              </w:rPr>
            </w:pPr>
            <w:r>
              <w:rPr>
                <w:rFonts w:ascii="Arial" w:cs="Arial" w:eastAsia="Arial" w:hAnsi="Arial"/>
                <w:sz w:val="13"/>
                <w:szCs w:val="13"/>
                <w:color w:val="auto"/>
              </w:rPr>
              <w:t>229</w:t>
            </w:r>
          </w:p>
        </w:tc>
        <w:tc>
          <w:tcPr>
            <w:tcW w:w="80" w:type="dxa"/>
            <w:vAlign w:val="bottom"/>
          </w:tcPr>
          <w:p>
            <w:pPr>
              <w:spacing w:after="0"/>
              <w:rPr>
                <w:sz w:val="14"/>
                <w:szCs w:val="14"/>
                <w:color w:val="auto"/>
              </w:rPr>
            </w:pPr>
          </w:p>
        </w:tc>
        <w:tc>
          <w:tcPr>
            <w:tcW w:w="1460" w:type="dxa"/>
            <w:vAlign w:val="bottom"/>
          </w:tcPr>
          <w:p>
            <w:pPr>
              <w:jc w:val="right"/>
              <w:ind w:right="493"/>
              <w:spacing w:after="0"/>
              <w:rPr>
                <w:sz w:val="20"/>
                <w:szCs w:val="20"/>
                <w:color w:val="auto"/>
              </w:rPr>
            </w:pPr>
            <w:r>
              <w:rPr>
                <w:rFonts w:ascii="Arial" w:cs="Arial" w:eastAsia="Arial" w:hAnsi="Arial"/>
                <w:sz w:val="13"/>
                <w:szCs w:val="13"/>
                <w:color w:val="auto"/>
              </w:rPr>
              <w:t>256</w:t>
            </w:r>
          </w:p>
        </w:tc>
        <w:tc>
          <w:tcPr>
            <w:tcW w:w="60" w:type="dxa"/>
            <w:vAlign w:val="bottom"/>
          </w:tcPr>
          <w:p>
            <w:pPr>
              <w:spacing w:after="0"/>
              <w:rPr>
                <w:sz w:val="14"/>
                <w:szCs w:val="14"/>
                <w:color w:val="auto"/>
              </w:rPr>
            </w:pPr>
          </w:p>
        </w:tc>
        <w:tc>
          <w:tcPr>
            <w:tcW w:w="1240" w:type="dxa"/>
            <w:vAlign w:val="bottom"/>
          </w:tcPr>
          <w:p>
            <w:pPr>
              <w:jc w:val="right"/>
              <w:ind w:right="413"/>
              <w:spacing w:after="0"/>
              <w:rPr>
                <w:sz w:val="20"/>
                <w:szCs w:val="20"/>
                <w:color w:val="auto"/>
              </w:rPr>
            </w:pPr>
            <w:r>
              <w:rPr>
                <w:rFonts w:ascii="Arial" w:cs="Arial" w:eastAsia="Arial" w:hAnsi="Arial"/>
                <w:sz w:val="13"/>
                <w:szCs w:val="13"/>
                <w:color w:val="auto"/>
              </w:rPr>
              <w:t>276</w:t>
            </w:r>
          </w:p>
        </w:tc>
        <w:tc>
          <w:tcPr>
            <w:tcW w:w="0" w:type="dxa"/>
            <w:vAlign w:val="bottom"/>
          </w:tcPr>
          <w:p>
            <w:pPr>
              <w:spacing w:after="0"/>
              <w:rPr>
                <w:sz w:val="1"/>
                <w:szCs w:val="1"/>
                <w:color w:val="auto"/>
              </w:rPr>
            </w:pPr>
          </w:p>
        </w:tc>
      </w:tr>
      <w:tr>
        <w:trPr>
          <w:trHeight w:val="189"/>
        </w:trPr>
        <w:tc>
          <w:tcPr>
            <w:tcW w:w="3640" w:type="dxa"/>
            <w:vAlign w:val="bottom"/>
          </w:tcPr>
          <w:p>
            <w:pPr>
              <w:ind w:left="280"/>
              <w:spacing w:after="0"/>
              <w:rPr>
                <w:sz w:val="20"/>
                <w:szCs w:val="20"/>
                <w:color w:val="auto"/>
              </w:rPr>
            </w:pPr>
            <w:r>
              <w:rPr>
                <w:rFonts w:ascii="Arial" w:cs="Arial" w:eastAsia="Arial" w:hAnsi="Arial"/>
                <w:sz w:val="13"/>
                <w:szCs w:val="13"/>
                <w:color w:val="auto"/>
              </w:rPr>
              <w:t>Stock-based</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640" w:type="dxa"/>
            <w:vAlign w:val="bottom"/>
          </w:tcPr>
          <w:p>
            <w:pPr>
              <w:ind w:left="280"/>
              <w:spacing w:after="0"/>
              <w:rPr>
                <w:sz w:val="20"/>
                <w:szCs w:val="20"/>
                <w:color w:val="auto"/>
              </w:rPr>
            </w:pPr>
            <w:r>
              <w:rPr>
                <w:rFonts w:ascii="Arial" w:cs="Arial" w:eastAsia="Arial" w:hAnsi="Arial"/>
                <w:sz w:val="13"/>
                <w:szCs w:val="13"/>
                <w:color w:val="auto"/>
              </w:rPr>
              <w:t>compensation expense</w:t>
            </w:r>
          </w:p>
        </w:tc>
        <w:tc>
          <w:tcPr>
            <w:tcW w:w="860" w:type="dxa"/>
            <w:vAlign w:val="bottom"/>
          </w:tcPr>
          <w:p>
            <w:pPr>
              <w:jc w:val="right"/>
              <w:spacing w:after="0"/>
              <w:rPr>
                <w:sz w:val="20"/>
                <w:szCs w:val="20"/>
                <w:color w:val="auto"/>
              </w:rPr>
            </w:pPr>
            <w:r>
              <w:rPr>
                <w:rFonts w:ascii="Arial" w:cs="Arial" w:eastAsia="Arial" w:hAnsi="Arial"/>
                <w:sz w:val="13"/>
                <w:szCs w:val="13"/>
                <w:color w:val="auto"/>
              </w:rPr>
              <w:t>308</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306</w:t>
            </w:r>
          </w:p>
        </w:tc>
        <w:tc>
          <w:tcPr>
            <w:tcW w:w="60" w:type="dxa"/>
            <w:vAlign w:val="bottom"/>
          </w:tcPr>
          <w:p>
            <w:pPr>
              <w:spacing w:after="0"/>
              <w:rPr>
                <w:sz w:val="14"/>
                <w:szCs w:val="14"/>
                <w:color w:val="auto"/>
              </w:rPr>
            </w:pPr>
          </w:p>
        </w:tc>
        <w:tc>
          <w:tcPr>
            <w:tcW w:w="1400" w:type="dxa"/>
            <w:vAlign w:val="bottom"/>
          </w:tcPr>
          <w:p>
            <w:pPr>
              <w:jc w:val="right"/>
              <w:ind w:right="453"/>
              <w:spacing w:after="0"/>
              <w:rPr>
                <w:sz w:val="20"/>
                <w:szCs w:val="20"/>
                <w:color w:val="auto"/>
              </w:rPr>
            </w:pPr>
            <w:r>
              <w:rPr>
                <w:rFonts w:ascii="Arial" w:cs="Arial" w:eastAsia="Arial" w:hAnsi="Arial"/>
                <w:sz w:val="13"/>
                <w:szCs w:val="13"/>
                <w:color w:val="auto"/>
              </w:rPr>
              <w:t>64</w:t>
            </w:r>
          </w:p>
        </w:tc>
        <w:tc>
          <w:tcPr>
            <w:tcW w:w="60" w:type="dxa"/>
            <w:vAlign w:val="bottom"/>
          </w:tcPr>
          <w:p>
            <w:pPr>
              <w:spacing w:after="0"/>
              <w:rPr>
                <w:sz w:val="14"/>
                <w:szCs w:val="14"/>
                <w:color w:val="auto"/>
              </w:rPr>
            </w:pPr>
          </w:p>
        </w:tc>
        <w:tc>
          <w:tcPr>
            <w:tcW w:w="1240" w:type="dxa"/>
            <w:vAlign w:val="bottom"/>
          </w:tcPr>
          <w:p>
            <w:pPr>
              <w:jc w:val="right"/>
              <w:ind w:right="393"/>
              <w:spacing w:after="0"/>
              <w:rPr>
                <w:sz w:val="20"/>
                <w:szCs w:val="20"/>
                <w:color w:val="auto"/>
              </w:rPr>
            </w:pPr>
            <w:r>
              <w:rPr>
                <w:rFonts w:ascii="Arial" w:cs="Arial" w:eastAsia="Arial" w:hAnsi="Arial"/>
                <w:sz w:val="13"/>
                <w:szCs w:val="13"/>
                <w:color w:val="auto"/>
              </w:rPr>
              <w:t>84</w:t>
            </w:r>
          </w:p>
        </w:tc>
        <w:tc>
          <w:tcPr>
            <w:tcW w:w="80" w:type="dxa"/>
            <w:vAlign w:val="bottom"/>
          </w:tcPr>
          <w:p>
            <w:pPr>
              <w:spacing w:after="0"/>
              <w:rPr>
                <w:sz w:val="14"/>
                <w:szCs w:val="14"/>
                <w:color w:val="auto"/>
              </w:rPr>
            </w:pPr>
          </w:p>
        </w:tc>
        <w:tc>
          <w:tcPr>
            <w:tcW w:w="1460" w:type="dxa"/>
            <w:vAlign w:val="bottom"/>
          </w:tcPr>
          <w:p>
            <w:pPr>
              <w:jc w:val="right"/>
              <w:ind w:right="493"/>
              <w:spacing w:after="0"/>
              <w:rPr>
                <w:sz w:val="20"/>
                <w:szCs w:val="20"/>
                <w:color w:val="auto"/>
              </w:rPr>
            </w:pPr>
            <w:r>
              <w:rPr>
                <w:rFonts w:ascii="Arial" w:cs="Arial" w:eastAsia="Arial" w:hAnsi="Arial"/>
                <w:sz w:val="13"/>
                <w:szCs w:val="13"/>
                <w:color w:val="auto"/>
              </w:rPr>
              <w:t>79</w:t>
            </w:r>
          </w:p>
        </w:tc>
        <w:tc>
          <w:tcPr>
            <w:tcW w:w="60" w:type="dxa"/>
            <w:vAlign w:val="bottom"/>
          </w:tcPr>
          <w:p>
            <w:pPr>
              <w:spacing w:after="0"/>
              <w:rPr>
                <w:sz w:val="14"/>
                <w:szCs w:val="14"/>
                <w:color w:val="auto"/>
              </w:rPr>
            </w:pPr>
          </w:p>
        </w:tc>
        <w:tc>
          <w:tcPr>
            <w:tcW w:w="1240" w:type="dxa"/>
            <w:vAlign w:val="bottom"/>
          </w:tcPr>
          <w:p>
            <w:pPr>
              <w:jc w:val="right"/>
              <w:ind w:right="413"/>
              <w:spacing w:after="0"/>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189"/>
        </w:trPr>
        <w:tc>
          <w:tcPr>
            <w:tcW w:w="3640" w:type="dxa"/>
            <w:vAlign w:val="bottom"/>
          </w:tcPr>
          <w:p>
            <w:pPr>
              <w:ind w:left="280"/>
              <w:spacing w:after="0"/>
              <w:rPr>
                <w:sz w:val="20"/>
                <w:szCs w:val="20"/>
                <w:color w:val="auto"/>
              </w:rPr>
            </w:pPr>
            <w:r>
              <w:rPr>
                <w:rFonts w:ascii="Arial" w:cs="Arial" w:eastAsia="Arial" w:hAnsi="Arial"/>
                <w:sz w:val="13"/>
                <w:szCs w:val="13"/>
                <w:color w:val="auto"/>
              </w:rPr>
              <w:t>Employee termination, asset</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640" w:type="dxa"/>
            <w:vAlign w:val="bottom"/>
          </w:tcPr>
          <w:p>
            <w:pPr>
              <w:ind w:left="280"/>
              <w:spacing w:after="0"/>
              <w:rPr>
                <w:sz w:val="20"/>
                <w:szCs w:val="20"/>
                <w:color w:val="auto"/>
              </w:rPr>
            </w:pPr>
            <w:r>
              <w:rPr>
                <w:rFonts w:ascii="Arial" w:cs="Arial" w:eastAsia="Arial" w:hAnsi="Arial"/>
                <w:sz w:val="13"/>
                <w:szCs w:val="13"/>
                <w:color w:val="auto"/>
              </w:rPr>
              <w:t>impairment and other charges</w:t>
            </w:r>
          </w:p>
        </w:tc>
        <w:tc>
          <w:tcPr>
            <w:tcW w:w="860" w:type="dxa"/>
            <w:vAlign w:val="bottom"/>
          </w:tcPr>
          <w:p>
            <w:pPr>
              <w:jc w:val="right"/>
              <w:spacing w:after="0"/>
              <w:rPr>
                <w:sz w:val="20"/>
                <w:szCs w:val="20"/>
                <w:color w:val="auto"/>
              </w:rPr>
            </w:pPr>
            <w:r>
              <w:rPr>
                <w:rFonts w:ascii="Arial" w:cs="Arial" w:eastAsia="Arial" w:hAnsi="Arial"/>
                <w:sz w:val="13"/>
                <w:szCs w:val="13"/>
                <w:color w:val="auto"/>
              </w:rPr>
              <w:t>32</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166</w:t>
            </w:r>
          </w:p>
        </w:tc>
        <w:tc>
          <w:tcPr>
            <w:tcW w:w="60" w:type="dxa"/>
            <w:vAlign w:val="bottom"/>
          </w:tcPr>
          <w:p>
            <w:pPr>
              <w:spacing w:after="0"/>
              <w:rPr>
                <w:sz w:val="14"/>
                <w:szCs w:val="14"/>
                <w:color w:val="auto"/>
              </w:rPr>
            </w:pPr>
          </w:p>
        </w:tc>
        <w:tc>
          <w:tcPr>
            <w:tcW w:w="1400" w:type="dxa"/>
            <w:vAlign w:val="bottom"/>
          </w:tcPr>
          <w:p>
            <w:pPr>
              <w:jc w:val="right"/>
              <w:ind w:right="453"/>
              <w:spacing w:after="0"/>
              <w:rPr>
                <w:sz w:val="20"/>
                <w:szCs w:val="20"/>
                <w:color w:val="auto"/>
              </w:rPr>
            </w:pPr>
            <w:r>
              <w:rPr>
                <w:rFonts w:ascii="Arial" w:cs="Arial" w:eastAsia="Arial" w:hAnsi="Arial"/>
                <w:sz w:val="13"/>
                <w:szCs w:val="13"/>
                <w:color w:val="auto"/>
              </w:rPr>
              <w:t>24</w:t>
            </w:r>
          </w:p>
        </w:tc>
        <w:tc>
          <w:tcPr>
            <w:tcW w:w="60" w:type="dxa"/>
            <w:vAlign w:val="bottom"/>
          </w:tcPr>
          <w:p>
            <w:pPr>
              <w:spacing w:after="0"/>
              <w:rPr>
                <w:sz w:val="14"/>
                <w:szCs w:val="14"/>
                <w:color w:val="auto"/>
              </w:rPr>
            </w:pPr>
          </w:p>
        </w:tc>
        <w:tc>
          <w:tcPr>
            <w:tcW w:w="1240" w:type="dxa"/>
            <w:vAlign w:val="bottom"/>
          </w:tcPr>
          <w:p>
            <w:pPr>
              <w:jc w:val="right"/>
              <w:ind w:right="393"/>
              <w:spacing w:after="0"/>
              <w:rPr>
                <w:sz w:val="20"/>
                <w:szCs w:val="20"/>
                <w:color w:val="auto"/>
              </w:rPr>
            </w:pPr>
            <w:r>
              <w:rPr>
                <w:rFonts w:ascii="Arial" w:cs="Arial" w:eastAsia="Arial" w:hAnsi="Arial"/>
                <w:sz w:val="13"/>
                <w:szCs w:val="13"/>
                <w:color w:val="auto"/>
              </w:rPr>
              <w:t>76</w:t>
            </w:r>
          </w:p>
        </w:tc>
        <w:tc>
          <w:tcPr>
            <w:tcW w:w="80" w:type="dxa"/>
            <w:vAlign w:val="bottom"/>
          </w:tcPr>
          <w:p>
            <w:pPr>
              <w:spacing w:after="0"/>
              <w:rPr>
                <w:sz w:val="14"/>
                <w:szCs w:val="14"/>
                <w:color w:val="auto"/>
              </w:rPr>
            </w:pPr>
          </w:p>
        </w:tc>
        <w:tc>
          <w:tcPr>
            <w:tcW w:w="1460" w:type="dxa"/>
            <w:vAlign w:val="bottom"/>
          </w:tcPr>
          <w:p>
            <w:pPr>
              <w:jc w:val="right"/>
              <w:ind w:right="493"/>
              <w:spacing w:after="0"/>
              <w:rPr>
                <w:sz w:val="20"/>
                <w:szCs w:val="20"/>
                <w:color w:val="auto"/>
              </w:rPr>
            </w:pPr>
            <w:r>
              <w:rPr>
                <w:rFonts w:ascii="Arial" w:cs="Arial" w:eastAsia="Arial" w:hAnsi="Arial"/>
                <w:sz w:val="13"/>
                <w:szCs w:val="13"/>
                <w:color w:val="auto"/>
              </w:rPr>
              <w:t>20</w:t>
            </w:r>
          </w:p>
        </w:tc>
        <w:tc>
          <w:tcPr>
            <w:tcW w:w="60" w:type="dxa"/>
            <w:vAlign w:val="bottom"/>
          </w:tcPr>
          <w:p>
            <w:pPr>
              <w:spacing w:after="0"/>
              <w:rPr>
                <w:sz w:val="14"/>
                <w:szCs w:val="14"/>
                <w:color w:val="auto"/>
              </w:rPr>
            </w:pPr>
          </w:p>
        </w:tc>
        <w:tc>
          <w:tcPr>
            <w:tcW w:w="1240" w:type="dxa"/>
            <w:vAlign w:val="bottom"/>
          </w:tcPr>
          <w:p>
            <w:pPr>
              <w:jc w:val="right"/>
              <w:ind w:right="413"/>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89"/>
        </w:trPr>
        <w:tc>
          <w:tcPr>
            <w:tcW w:w="3640" w:type="dxa"/>
            <w:vAlign w:val="bottom"/>
          </w:tcPr>
          <w:p>
            <w:pPr>
              <w:ind w:left="280"/>
              <w:spacing w:after="0"/>
              <w:rPr>
                <w:sz w:val="20"/>
                <w:szCs w:val="20"/>
                <w:color w:val="auto"/>
              </w:rPr>
            </w:pPr>
            <w:r>
              <w:rPr>
                <w:rFonts w:ascii="Arial" w:cs="Arial" w:eastAsia="Arial" w:hAnsi="Arial"/>
                <w:sz w:val="13"/>
                <w:szCs w:val="13"/>
                <w:color w:val="auto"/>
              </w:rPr>
              <w:t>Charges related to acquisitions</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640" w:type="dxa"/>
            <w:vAlign w:val="bottom"/>
          </w:tcPr>
          <w:p>
            <w:pPr>
              <w:ind w:left="280"/>
              <w:spacing w:after="0"/>
              <w:rPr>
                <w:sz w:val="20"/>
                <w:szCs w:val="20"/>
                <w:color w:val="auto"/>
              </w:rPr>
            </w:pPr>
            <w:r>
              <w:rPr>
                <w:rFonts w:ascii="Arial" w:cs="Arial" w:eastAsia="Arial" w:hAnsi="Arial"/>
                <w:sz w:val="13"/>
                <w:szCs w:val="13"/>
                <w:color w:val="auto"/>
              </w:rPr>
              <w:t>and dispositions</w:t>
            </w:r>
          </w:p>
        </w:tc>
        <w:tc>
          <w:tcPr>
            <w:tcW w:w="860" w:type="dxa"/>
            <w:vAlign w:val="bottom"/>
          </w:tcPr>
          <w:p>
            <w:pPr>
              <w:jc w:val="right"/>
              <w:spacing w:after="0"/>
              <w:rPr>
                <w:sz w:val="20"/>
                <w:szCs w:val="20"/>
                <w:color w:val="auto"/>
              </w:rPr>
            </w:pPr>
            <w:r>
              <w:rPr>
                <w:rFonts w:ascii="Arial" w:cs="Arial" w:eastAsia="Arial" w:hAnsi="Arial"/>
                <w:sz w:val="13"/>
                <w:szCs w:val="13"/>
                <w:color w:val="auto"/>
              </w:rPr>
              <w:t>9</w:t>
            </w:r>
          </w:p>
        </w:tc>
        <w:tc>
          <w:tcPr>
            <w:tcW w:w="8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60" w:type="dxa"/>
            <w:vAlign w:val="bottom"/>
            <w:gridSpan w:val="2"/>
          </w:tcPr>
          <w:p>
            <w:pPr>
              <w:jc w:val="right"/>
              <w:ind w:right="580"/>
              <w:spacing w:after="0"/>
              <w:rPr>
                <w:sz w:val="20"/>
                <w:szCs w:val="20"/>
                <w:color w:val="auto"/>
              </w:rPr>
            </w:pPr>
            <w:r>
              <w:rPr>
                <w:rFonts w:ascii="Arial" w:cs="Arial" w:eastAsia="Arial" w:hAnsi="Arial"/>
                <w:sz w:val="13"/>
                <w:szCs w:val="13"/>
                <w:color w:val="auto"/>
              </w:rPr>
              <w:t>—</w:t>
            </w:r>
          </w:p>
        </w:tc>
        <w:tc>
          <w:tcPr>
            <w:tcW w:w="1320" w:type="dxa"/>
            <w:vAlign w:val="bottom"/>
            <w:gridSpan w:val="2"/>
          </w:tcPr>
          <w:p>
            <w:pPr>
              <w:jc w:val="right"/>
              <w:ind w:right="540"/>
              <w:spacing w:after="0"/>
              <w:rPr>
                <w:sz w:val="20"/>
                <w:szCs w:val="20"/>
                <w:color w:val="auto"/>
              </w:rPr>
            </w:pPr>
            <w:r>
              <w:rPr>
                <w:rFonts w:ascii="Arial" w:cs="Arial" w:eastAsia="Arial" w:hAnsi="Arial"/>
                <w:sz w:val="13"/>
                <w:szCs w:val="13"/>
                <w:color w:val="auto"/>
              </w:rPr>
              <w:t>—</w:t>
            </w:r>
          </w:p>
        </w:tc>
        <w:tc>
          <w:tcPr>
            <w:tcW w:w="1520" w:type="dxa"/>
            <w:vAlign w:val="bottom"/>
            <w:gridSpan w:val="2"/>
          </w:tcPr>
          <w:p>
            <w:pPr>
              <w:jc w:val="right"/>
              <w:ind w:right="620"/>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4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3640" w:type="dxa"/>
            <w:vAlign w:val="bottom"/>
          </w:tcPr>
          <w:p>
            <w:pPr>
              <w:ind w:left="280"/>
              <w:spacing w:after="0"/>
              <w:rPr>
                <w:sz w:val="20"/>
                <w:szCs w:val="20"/>
                <w:color w:val="auto"/>
              </w:rPr>
            </w:pPr>
            <w:r>
              <w:rPr>
                <w:rFonts w:ascii="Arial" w:cs="Arial" w:eastAsia="Arial" w:hAnsi="Arial"/>
                <w:sz w:val="13"/>
                <w:szCs w:val="13"/>
                <w:color w:val="auto"/>
              </w:rPr>
              <w:t>Charges related to cost</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640" w:type="dxa"/>
            <w:vAlign w:val="bottom"/>
          </w:tcPr>
          <w:p>
            <w:pPr>
              <w:ind w:left="280"/>
              <w:spacing w:after="0"/>
              <w:rPr>
                <w:sz w:val="20"/>
                <w:szCs w:val="20"/>
                <w:color w:val="auto"/>
              </w:rPr>
            </w:pPr>
            <w:r>
              <w:rPr>
                <w:rFonts w:ascii="Arial" w:cs="Arial" w:eastAsia="Arial" w:hAnsi="Arial"/>
                <w:sz w:val="13"/>
                <w:szCs w:val="13"/>
                <w:color w:val="auto"/>
              </w:rPr>
              <w:t>saving initiatives</w:t>
            </w:r>
          </w:p>
        </w:tc>
        <w:tc>
          <w:tcPr>
            <w:tcW w:w="860" w:type="dxa"/>
            <w:vAlign w:val="bottom"/>
          </w:tcPr>
          <w:p>
            <w:pPr>
              <w:jc w:val="right"/>
              <w:spacing w:after="0"/>
              <w:rPr>
                <w:sz w:val="20"/>
                <w:szCs w:val="20"/>
                <w:color w:val="auto"/>
              </w:rPr>
            </w:pPr>
            <w:r>
              <w:rPr>
                <w:rFonts w:ascii="Arial" w:cs="Arial" w:eastAsia="Arial" w:hAnsi="Arial"/>
                <w:sz w:val="13"/>
                <w:szCs w:val="13"/>
                <w:color w:val="auto"/>
              </w:rPr>
              <w:t>9</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22</w:t>
            </w:r>
          </w:p>
        </w:tc>
        <w:tc>
          <w:tcPr>
            <w:tcW w:w="60" w:type="dxa"/>
            <w:vAlign w:val="bottom"/>
          </w:tcPr>
          <w:p>
            <w:pPr>
              <w:spacing w:after="0"/>
              <w:rPr>
                <w:sz w:val="14"/>
                <w:szCs w:val="14"/>
                <w:color w:val="auto"/>
              </w:rPr>
            </w:pPr>
          </w:p>
        </w:tc>
        <w:tc>
          <w:tcPr>
            <w:tcW w:w="1400" w:type="dxa"/>
            <w:vAlign w:val="bottom"/>
          </w:tcPr>
          <w:p>
            <w:pPr>
              <w:jc w:val="right"/>
              <w:ind w:right="453"/>
              <w:spacing w:after="0"/>
              <w:rPr>
                <w:sz w:val="20"/>
                <w:szCs w:val="20"/>
                <w:color w:val="auto"/>
              </w:rPr>
            </w:pPr>
            <w:r>
              <w:rPr>
                <w:rFonts w:ascii="Arial" w:cs="Arial" w:eastAsia="Arial" w:hAnsi="Arial"/>
                <w:sz w:val="13"/>
                <w:szCs w:val="13"/>
                <w:color w:val="auto"/>
              </w:rPr>
              <w:t>7</w:t>
            </w:r>
          </w:p>
        </w:tc>
        <w:tc>
          <w:tcPr>
            <w:tcW w:w="60" w:type="dxa"/>
            <w:vAlign w:val="bottom"/>
          </w:tcPr>
          <w:p>
            <w:pPr>
              <w:spacing w:after="0"/>
              <w:rPr>
                <w:sz w:val="14"/>
                <w:szCs w:val="14"/>
                <w:color w:val="auto"/>
              </w:rPr>
            </w:pPr>
          </w:p>
        </w:tc>
        <w:tc>
          <w:tcPr>
            <w:tcW w:w="1240" w:type="dxa"/>
            <w:vAlign w:val="bottom"/>
          </w:tcPr>
          <w:p>
            <w:pPr>
              <w:jc w:val="right"/>
              <w:ind w:right="393"/>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c>
          <w:tcPr>
            <w:tcW w:w="1460" w:type="dxa"/>
            <w:vAlign w:val="bottom"/>
          </w:tcPr>
          <w:p>
            <w:pPr>
              <w:jc w:val="right"/>
              <w:ind w:right="493"/>
              <w:spacing w:after="0"/>
              <w:rPr>
                <w:sz w:val="20"/>
                <w:szCs w:val="20"/>
                <w:color w:val="auto"/>
              </w:rPr>
            </w:pPr>
            <w:r>
              <w:rPr>
                <w:rFonts w:ascii="Arial" w:cs="Arial" w:eastAsia="Arial" w:hAnsi="Arial"/>
                <w:sz w:val="13"/>
                <w:szCs w:val="13"/>
                <w:color w:val="auto"/>
              </w:rPr>
              <w:t>8</w:t>
            </w:r>
          </w:p>
        </w:tc>
        <w:tc>
          <w:tcPr>
            <w:tcW w:w="60" w:type="dxa"/>
            <w:vAlign w:val="bottom"/>
          </w:tcPr>
          <w:p>
            <w:pPr>
              <w:spacing w:after="0"/>
              <w:rPr>
                <w:sz w:val="14"/>
                <w:szCs w:val="14"/>
                <w:color w:val="auto"/>
              </w:rPr>
            </w:pPr>
          </w:p>
        </w:tc>
        <w:tc>
          <w:tcPr>
            <w:tcW w:w="1240" w:type="dxa"/>
            <w:vAlign w:val="bottom"/>
          </w:tcPr>
          <w:p>
            <w:pPr>
              <w:jc w:val="right"/>
              <w:ind w:right="413"/>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89"/>
        </w:trPr>
        <w:tc>
          <w:tcPr>
            <w:tcW w:w="3640" w:type="dxa"/>
            <w:vAlign w:val="bottom"/>
          </w:tcPr>
          <w:p>
            <w:pPr>
              <w:ind w:left="280"/>
              <w:spacing w:after="0"/>
              <w:rPr>
                <w:sz w:val="20"/>
                <w:szCs w:val="20"/>
                <w:color w:val="auto"/>
              </w:rPr>
            </w:pPr>
            <w:r>
              <w:rPr>
                <w:rFonts w:ascii="Arial" w:cs="Arial" w:eastAsia="Arial" w:hAnsi="Arial"/>
                <w:sz w:val="13"/>
                <w:szCs w:val="13"/>
                <w:color w:val="auto"/>
              </w:rPr>
              <w:t>Manufacturing</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640" w:type="dxa"/>
            <w:vAlign w:val="bottom"/>
          </w:tcPr>
          <w:p>
            <w:pPr>
              <w:ind w:left="280"/>
              <w:spacing w:after="0"/>
              <w:rPr>
                <w:sz w:val="20"/>
                <w:szCs w:val="20"/>
                <w:color w:val="auto"/>
              </w:rPr>
            </w:pPr>
            <w:r>
              <w:rPr>
                <w:rFonts w:ascii="Arial" w:cs="Arial" w:eastAsia="Arial" w:hAnsi="Arial"/>
                <w:sz w:val="13"/>
                <w:szCs w:val="13"/>
                <w:color w:val="auto"/>
              </w:rPr>
              <w:t>underutilization charges</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264</w:t>
            </w:r>
          </w:p>
        </w:tc>
        <w:tc>
          <w:tcPr>
            <w:tcW w:w="60" w:type="dxa"/>
            <w:vAlign w:val="bottom"/>
          </w:tcPr>
          <w:p>
            <w:pPr>
              <w:spacing w:after="0"/>
              <w:rPr>
                <w:sz w:val="14"/>
                <w:szCs w:val="14"/>
                <w:color w:val="auto"/>
              </w:rPr>
            </w:pPr>
          </w:p>
        </w:tc>
        <w:tc>
          <w:tcPr>
            <w:tcW w:w="1400" w:type="dxa"/>
            <w:vAlign w:val="bottom"/>
          </w:tcPr>
          <w:p>
            <w:pPr>
              <w:jc w:val="right"/>
              <w:ind w:right="453"/>
              <w:spacing w:after="0"/>
              <w:rPr>
                <w:sz w:val="20"/>
                <w:szCs w:val="20"/>
                <w:color w:val="auto"/>
              </w:rPr>
            </w:pPr>
            <w:r>
              <w:rPr>
                <w:rFonts w:ascii="Arial" w:cs="Arial" w:eastAsia="Arial" w:hAnsi="Arial"/>
                <w:sz w:val="13"/>
                <w:szCs w:val="13"/>
                <w:color w:val="auto"/>
              </w:rPr>
              <w:t>67</w:t>
            </w:r>
          </w:p>
        </w:tc>
        <w:tc>
          <w:tcPr>
            <w:tcW w:w="60" w:type="dxa"/>
            <w:vAlign w:val="bottom"/>
          </w:tcPr>
          <w:p>
            <w:pPr>
              <w:spacing w:after="0"/>
              <w:rPr>
                <w:sz w:val="14"/>
                <w:szCs w:val="14"/>
                <w:color w:val="auto"/>
              </w:rPr>
            </w:pPr>
          </w:p>
        </w:tc>
        <w:tc>
          <w:tcPr>
            <w:tcW w:w="1240" w:type="dxa"/>
            <w:vAlign w:val="bottom"/>
          </w:tcPr>
          <w:p>
            <w:pPr>
              <w:jc w:val="right"/>
              <w:ind w:right="393"/>
              <w:spacing w:after="0"/>
              <w:rPr>
                <w:sz w:val="20"/>
                <w:szCs w:val="20"/>
                <w:color w:val="auto"/>
              </w:rPr>
            </w:pPr>
            <w:r>
              <w:rPr>
                <w:rFonts w:ascii="Arial" w:cs="Arial" w:eastAsia="Arial" w:hAnsi="Arial"/>
                <w:sz w:val="13"/>
                <w:szCs w:val="13"/>
                <w:color w:val="auto"/>
              </w:rPr>
              <w:t>148</w:t>
            </w:r>
          </w:p>
        </w:tc>
        <w:tc>
          <w:tcPr>
            <w:tcW w:w="80" w:type="dxa"/>
            <w:vAlign w:val="bottom"/>
          </w:tcPr>
          <w:p>
            <w:pPr>
              <w:spacing w:after="0"/>
              <w:rPr>
                <w:sz w:val="14"/>
                <w:szCs w:val="14"/>
                <w:color w:val="auto"/>
              </w:rPr>
            </w:pPr>
          </w:p>
        </w:tc>
        <w:tc>
          <w:tcPr>
            <w:tcW w:w="1460" w:type="dxa"/>
            <w:vAlign w:val="bottom"/>
          </w:tcPr>
          <w:p>
            <w:pPr>
              <w:jc w:val="right"/>
              <w:ind w:right="493"/>
              <w:spacing w:after="0"/>
              <w:rPr>
                <w:sz w:val="20"/>
                <w:szCs w:val="20"/>
                <w:color w:val="auto"/>
              </w:rPr>
            </w:pPr>
            <w:r>
              <w:rPr>
                <w:rFonts w:ascii="Arial" w:cs="Arial" w:eastAsia="Arial" w:hAnsi="Arial"/>
                <w:sz w:val="13"/>
                <w:szCs w:val="13"/>
                <w:color w:val="auto"/>
              </w:rPr>
              <w:t>49</w:t>
            </w:r>
          </w:p>
        </w:tc>
        <w:tc>
          <w:tcPr>
            <w:tcW w:w="60" w:type="dxa"/>
            <w:vAlign w:val="bottom"/>
          </w:tcPr>
          <w:p>
            <w:pPr>
              <w:spacing w:after="0"/>
              <w:rPr>
                <w:sz w:val="14"/>
                <w:szCs w:val="14"/>
                <w:color w:val="auto"/>
              </w:rPr>
            </w:pPr>
          </w:p>
        </w:tc>
        <w:tc>
          <w:tcPr>
            <w:tcW w:w="1240" w:type="dxa"/>
            <w:vAlign w:val="bottom"/>
          </w:tcPr>
          <w:p>
            <w:pPr>
              <w:jc w:val="right"/>
              <w:ind w:right="4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3"/>
        </w:trPr>
        <w:tc>
          <w:tcPr>
            <w:tcW w:w="3640" w:type="dxa"/>
            <w:vAlign w:val="bottom"/>
          </w:tcPr>
          <w:p>
            <w:pPr>
              <w:ind w:left="280"/>
              <w:spacing w:after="0"/>
              <w:rPr>
                <w:sz w:val="20"/>
                <w:szCs w:val="20"/>
                <w:color w:val="auto"/>
              </w:rPr>
            </w:pPr>
            <w:r>
              <w:rPr>
                <w:rFonts w:ascii="Arial" w:cs="Arial" w:eastAsia="Arial" w:hAnsi="Arial"/>
                <w:sz w:val="13"/>
                <w:szCs w:val="13"/>
                <w:color w:val="auto"/>
              </w:rPr>
              <w:t>Power outage charges</w:t>
            </w:r>
          </w:p>
        </w:tc>
        <w:tc>
          <w:tcPr>
            <w:tcW w:w="860" w:type="dxa"/>
            <w:vAlign w:val="bottom"/>
          </w:tcPr>
          <w:p>
            <w:pPr>
              <w:jc w:val="right"/>
              <w:spacing w:after="0"/>
              <w:rPr>
                <w:sz w:val="20"/>
                <w:szCs w:val="20"/>
                <w:color w:val="auto"/>
              </w:rPr>
            </w:pPr>
            <w:r>
              <w:rPr>
                <w:rFonts w:ascii="Arial" w:cs="Arial" w:eastAsia="Arial" w:hAnsi="Arial"/>
                <w:sz w:val="13"/>
                <w:szCs w:val="13"/>
                <w:color w:val="auto"/>
              </w:rPr>
              <w:t>68</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145</w:t>
            </w:r>
          </w:p>
        </w:tc>
        <w:tc>
          <w:tcPr>
            <w:tcW w:w="60" w:type="dxa"/>
            <w:vAlign w:val="bottom"/>
          </w:tcPr>
          <w:p>
            <w:pPr>
              <w:spacing w:after="0"/>
              <w:rPr>
                <w:sz w:val="21"/>
                <w:szCs w:val="21"/>
                <w:color w:val="auto"/>
              </w:rPr>
            </w:pPr>
          </w:p>
        </w:tc>
        <w:tc>
          <w:tcPr>
            <w:tcW w:w="1400" w:type="dxa"/>
            <w:vAlign w:val="bottom"/>
          </w:tcPr>
          <w:p>
            <w:pPr>
              <w:jc w:val="right"/>
              <w:ind w:right="453"/>
              <w:spacing w:after="0"/>
              <w:rPr>
                <w:sz w:val="20"/>
                <w:szCs w:val="20"/>
                <w:color w:val="auto"/>
              </w:rPr>
            </w:pPr>
            <w:r>
              <w:rPr>
                <w:rFonts w:ascii="Arial" w:cs="Arial" w:eastAsia="Arial" w:hAnsi="Arial"/>
                <w:sz w:val="13"/>
                <w:szCs w:val="13"/>
                <w:color w:val="auto"/>
              </w:rPr>
              <w:t>145</w:t>
            </w:r>
          </w:p>
        </w:tc>
        <w:tc>
          <w:tcPr>
            <w:tcW w:w="60" w:type="dxa"/>
            <w:vAlign w:val="bottom"/>
          </w:tcPr>
          <w:p>
            <w:pPr>
              <w:spacing w:after="0"/>
              <w:rPr>
                <w:sz w:val="21"/>
                <w:szCs w:val="21"/>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3"/>
                <w:szCs w:val="13"/>
                <w:color w:val="auto"/>
              </w:rPr>
              <w:t>—</w:t>
            </w:r>
          </w:p>
        </w:tc>
        <w:tc>
          <w:tcPr>
            <w:tcW w:w="1520" w:type="dxa"/>
            <w:vAlign w:val="bottom"/>
            <w:gridSpan w:val="2"/>
          </w:tcPr>
          <w:p>
            <w:pPr>
              <w:jc w:val="right"/>
              <w:ind w:right="620"/>
              <w:spacing w:after="0"/>
              <w:rPr>
                <w:sz w:val="20"/>
                <w:szCs w:val="20"/>
                <w:color w:val="auto"/>
              </w:rPr>
            </w:pPr>
            <w:r>
              <w:rPr>
                <w:rFonts w:ascii="Arial" w:cs="Arial" w:eastAsia="Arial" w:hAnsi="Arial"/>
                <w:sz w:val="13"/>
                <w:szCs w:val="13"/>
                <w:color w:val="auto"/>
              </w:rPr>
              <w:t>—</w:t>
            </w:r>
          </w:p>
        </w:tc>
        <w:tc>
          <w:tcPr>
            <w:tcW w:w="1240" w:type="dxa"/>
            <w:vAlign w:val="bottom"/>
          </w:tcPr>
          <w:p>
            <w:pPr>
              <w:jc w:val="right"/>
              <w:ind w:right="4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3"/>
        </w:trPr>
        <w:tc>
          <w:tcPr>
            <w:tcW w:w="3640" w:type="dxa"/>
            <w:vAlign w:val="bottom"/>
          </w:tcPr>
          <w:p>
            <w:pPr>
              <w:ind w:left="280"/>
              <w:spacing w:after="0"/>
              <w:rPr>
                <w:sz w:val="20"/>
                <w:szCs w:val="20"/>
                <w:color w:val="auto"/>
              </w:rPr>
            </w:pPr>
            <w:r>
              <w:rPr>
                <w:rFonts w:ascii="Arial" w:cs="Arial" w:eastAsia="Arial" w:hAnsi="Arial"/>
                <w:sz w:val="13"/>
                <w:szCs w:val="13"/>
                <w:color w:val="auto"/>
              </w:rPr>
              <w:t>Convertible debt activity</w:t>
            </w:r>
          </w:p>
        </w:tc>
        <w:tc>
          <w:tcPr>
            <w:tcW w:w="860" w:type="dxa"/>
            <w:vAlign w:val="bottom"/>
          </w:tcPr>
          <w:p>
            <w:pPr>
              <w:jc w:val="right"/>
              <w:spacing w:after="0"/>
              <w:rPr>
                <w:sz w:val="20"/>
                <w:szCs w:val="20"/>
                <w:color w:val="auto"/>
              </w:rPr>
            </w:pPr>
            <w:r>
              <w:rPr>
                <w:rFonts w:ascii="Arial" w:cs="Arial" w:eastAsia="Arial" w:hAnsi="Arial"/>
                <w:sz w:val="13"/>
                <w:szCs w:val="13"/>
                <w:color w:val="auto"/>
              </w:rPr>
              <w:t>28</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27</w:t>
            </w:r>
          </w:p>
        </w:tc>
        <w:tc>
          <w:tcPr>
            <w:tcW w:w="60" w:type="dxa"/>
            <w:vAlign w:val="bottom"/>
          </w:tcPr>
          <w:p>
            <w:pPr>
              <w:spacing w:after="0"/>
              <w:rPr>
                <w:sz w:val="21"/>
                <w:szCs w:val="21"/>
                <w:color w:val="auto"/>
              </w:rPr>
            </w:pPr>
          </w:p>
        </w:tc>
        <w:tc>
          <w:tcPr>
            <w:tcW w:w="1400" w:type="dxa"/>
            <w:vAlign w:val="bottom"/>
          </w:tcPr>
          <w:p>
            <w:pPr>
              <w:jc w:val="right"/>
              <w:ind w:right="453"/>
              <w:spacing w:after="0"/>
              <w:rPr>
                <w:sz w:val="20"/>
                <w:szCs w:val="20"/>
                <w:color w:val="auto"/>
              </w:rPr>
            </w:pPr>
            <w:r>
              <w:rPr>
                <w:rFonts w:ascii="Arial" w:cs="Arial" w:eastAsia="Arial" w:hAnsi="Arial"/>
                <w:sz w:val="13"/>
                <w:szCs w:val="13"/>
                <w:color w:val="auto"/>
              </w:rPr>
              <w:t>7</w:t>
            </w:r>
          </w:p>
        </w:tc>
        <w:tc>
          <w:tcPr>
            <w:tcW w:w="60" w:type="dxa"/>
            <w:vAlign w:val="bottom"/>
          </w:tcPr>
          <w:p>
            <w:pPr>
              <w:spacing w:after="0"/>
              <w:rPr>
                <w:sz w:val="21"/>
                <w:szCs w:val="21"/>
                <w:color w:val="auto"/>
              </w:rPr>
            </w:pPr>
          </w:p>
        </w:tc>
        <w:tc>
          <w:tcPr>
            <w:tcW w:w="1240" w:type="dxa"/>
            <w:vAlign w:val="bottom"/>
          </w:tcPr>
          <w:p>
            <w:pPr>
              <w:jc w:val="right"/>
              <w:ind w:right="393"/>
              <w:spacing w:after="0"/>
              <w:rPr>
                <w:sz w:val="20"/>
                <w:szCs w:val="20"/>
                <w:color w:val="auto"/>
              </w:rPr>
            </w:pPr>
            <w:r>
              <w:rPr>
                <w:rFonts w:ascii="Arial" w:cs="Arial" w:eastAsia="Arial" w:hAnsi="Arial"/>
                <w:sz w:val="13"/>
                <w:szCs w:val="13"/>
                <w:color w:val="auto"/>
              </w:rPr>
              <w:t>7</w:t>
            </w:r>
          </w:p>
        </w:tc>
        <w:tc>
          <w:tcPr>
            <w:tcW w:w="80" w:type="dxa"/>
            <w:vAlign w:val="bottom"/>
          </w:tcPr>
          <w:p>
            <w:pPr>
              <w:spacing w:after="0"/>
              <w:rPr>
                <w:sz w:val="21"/>
                <w:szCs w:val="21"/>
                <w:color w:val="auto"/>
              </w:rPr>
            </w:pPr>
          </w:p>
        </w:tc>
        <w:tc>
          <w:tcPr>
            <w:tcW w:w="1460" w:type="dxa"/>
            <w:vAlign w:val="bottom"/>
          </w:tcPr>
          <w:p>
            <w:pPr>
              <w:jc w:val="right"/>
              <w:ind w:right="493"/>
              <w:spacing w:after="0"/>
              <w:rPr>
                <w:sz w:val="20"/>
                <w:szCs w:val="20"/>
                <w:color w:val="auto"/>
              </w:rPr>
            </w:pPr>
            <w:r>
              <w:rPr>
                <w:rFonts w:ascii="Arial" w:cs="Arial" w:eastAsia="Arial" w:hAnsi="Arial"/>
                <w:sz w:val="13"/>
                <w:szCs w:val="13"/>
                <w:color w:val="auto"/>
              </w:rPr>
              <w:t>6</w:t>
            </w:r>
          </w:p>
        </w:tc>
        <w:tc>
          <w:tcPr>
            <w:tcW w:w="60" w:type="dxa"/>
            <w:vAlign w:val="bottom"/>
          </w:tcPr>
          <w:p>
            <w:pPr>
              <w:spacing w:after="0"/>
              <w:rPr>
                <w:sz w:val="21"/>
                <w:szCs w:val="21"/>
                <w:color w:val="auto"/>
              </w:rPr>
            </w:pPr>
          </w:p>
        </w:tc>
        <w:tc>
          <w:tcPr>
            <w:tcW w:w="1240" w:type="dxa"/>
            <w:vAlign w:val="bottom"/>
          </w:tcPr>
          <w:p>
            <w:pPr>
              <w:jc w:val="right"/>
              <w:ind w:right="413"/>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243"/>
        </w:trPr>
        <w:tc>
          <w:tcPr>
            <w:tcW w:w="3640" w:type="dxa"/>
            <w:vAlign w:val="bottom"/>
          </w:tcPr>
          <w:p>
            <w:pPr>
              <w:ind w:left="280"/>
              <w:spacing w:after="0"/>
              <w:rPr>
                <w:sz w:val="20"/>
                <w:szCs w:val="20"/>
                <w:color w:val="auto"/>
              </w:rPr>
            </w:pPr>
            <w:r>
              <w:rPr>
                <w:rFonts w:ascii="Arial" w:cs="Arial" w:eastAsia="Arial" w:hAnsi="Arial"/>
                <w:sz w:val="13"/>
                <w:szCs w:val="13"/>
                <w:color w:val="auto"/>
              </w:rPr>
              <w:t>Other</w:t>
            </w:r>
          </w:p>
        </w:tc>
        <w:tc>
          <w:tcPr>
            <w:tcW w:w="860" w:type="dxa"/>
            <w:vAlign w:val="bottom"/>
          </w:tcPr>
          <w:p>
            <w:pPr>
              <w:jc w:val="right"/>
              <w:spacing w:after="0"/>
              <w:rPr>
                <w:sz w:val="20"/>
                <w:szCs w:val="20"/>
                <w:color w:val="auto"/>
              </w:rPr>
            </w:pPr>
            <w:r>
              <w:rPr>
                <w:rFonts w:ascii="Arial" w:cs="Arial" w:eastAsia="Arial" w:hAnsi="Arial"/>
                <w:sz w:val="13"/>
                <w:szCs w:val="13"/>
                <w:color w:val="auto"/>
              </w:rPr>
              <w:t>1</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46</w:t>
            </w:r>
          </w:p>
        </w:tc>
        <w:tc>
          <w:tcPr>
            <w:tcW w:w="60" w:type="dxa"/>
            <w:vAlign w:val="bottom"/>
          </w:tcPr>
          <w:p>
            <w:pPr>
              <w:spacing w:after="0"/>
              <w:rPr>
                <w:sz w:val="21"/>
                <w:szCs w:val="21"/>
                <w:color w:val="auto"/>
              </w:rPr>
            </w:pPr>
          </w:p>
        </w:tc>
        <w:tc>
          <w:tcPr>
            <w:tcW w:w="1400" w:type="dxa"/>
            <w:vAlign w:val="bottom"/>
          </w:tcPr>
          <w:p>
            <w:pPr>
              <w:jc w:val="right"/>
              <w:ind w:right="453"/>
              <w:spacing w:after="0"/>
              <w:rPr>
                <w:sz w:val="20"/>
                <w:szCs w:val="20"/>
                <w:color w:val="auto"/>
              </w:rPr>
            </w:pPr>
            <w:r>
              <w:rPr>
                <w:rFonts w:ascii="Arial" w:cs="Arial" w:eastAsia="Arial" w:hAnsi="Arial"/>
                <w:sz w:val="13"/>
                <w:szCs w:val="13"/>
                <w:color w:val="auto"/>
              </w:rPr>
              <w:t>24</w:t>
            </w:r>
          </w:p>
        </w:tc>
        <w:tc>
          <w:tcPr>
            <w:tcW w:w="60" w:type="dxa"/>
            <w:vAlign w:val="bottom"/>
          </w:tcPr>
          <w:p>
            <w:pPr>
              <w:spacing w:after="0"/>
              <w:rPr>
                <w:sz w:val="21"/>
                <w:szCs w:val="21"/>
                <w:color w:val="auto"/>
              </w:rPr>
            </w:pPr>
          </w:p>
        </w:tc>
        <w:tc>
          <w:tcPr>
            <w:tcW w:w="1240" w:type="dxa"/>
            <w:vAlign w:val="bottom"/>
          </w:tcPr>
          <w:p>
            <w:pPr>
              <w:jc w:val="right"/>
              <w:ind w:right="393"/>
              <w:spacing w:after="0"/>
              <w:rPr>
                <w:sz w:val="20"/>
                <w:szCs w:val="20"/>
                <w:color w:val="auto"/>
              </w:rPr>
            </w:pPr>
            <w:r>
              <w:rPr>
                <w:rFonts w:ascii="Arial" w:cs="Arial" w:eastAsia="Arial" w:hAnsi="Arial"/>
                <w:sz w:val="13"/>
                <w:szCs w:val="13"/>
                <w:color w:val="auto"/>
              </w:rPr>
              <w:t>28</w:t>
            </w:r>
          </w:p>
        </w:tc>
        <w:tc>
          <w:tcPr>
            <w:tcW w:w="80" w:type="dxa"/>
            <w:vAlign w:val="bottom"/>
          </w:tcPr>
          <w:p>
            <w:pPr>
              <w:spacing w:after="0"/>
              <w:rPr>
                <w:sz w:val="21"/>
                <w:szCs w:val="21"/>
                <w:color w:val="auto"/>
              </w:rPr>
            </w:pPr>
          </w:p>
        </w:tc>
        <w:tc>
          <w:tcPr>
            <w:tcW w:w="1460" w:type="dxa"/>
            <w:vAlign w:val="bottom"/>
          </w:tcPr>
          <w:p>
            <w:pPr>
              <w:jc w:val="right"/>
              <w:ind w:right="453"/>
              <w:spacing w:after="0"/>
              <w:rPr>
                <w:sz w:val="20"/>
                <w:szCs w:val="20"/>
                <w:color w:val="auto"/>
              </w:rPr>
            </w:pPr>
            <w:r>
              <w:rPr>
                <w:rFonts w:ascii="Arial" w:cs="Arial" w:eastAsia="Arial" w:hAnsi="Arial"/>
                <w:sz w:val="13"/>
                <w:szCs w:val="13"/>
                <w:color w:val="auto"/>
              </w:rPr>
              <w:t>(3)</w:t>
            </w:r>
          </w:p>
        </w:tc>
        <w:tc>
          <w:tcPr>
            <w:tcW w:w="60" w:type="dxa"/>
            <w:vAlign w:val="bottom"/>
          </w:tcPr>
          <w:p>
            <w:pPr>
              <w:spacing w:after="0"/>
              <w:rPr>
                <w:sz w:val="21"/>
                <w:szCs w:val="21"/>
                <w:color w:val="auto"/>
              </w:rPr>
            </w:pPr>
          </w:p>
        </w:tc>
        <w:tc>
          <w:tcPr>
            <w:tcW w:w="1240" w:type="dxa"/>
            <w:vAlign w:val="bottom"/>
          </w:tcPr>
          <w:p>
            <w:pPr>
              <w:jc w:val="right"/>
              <w:ind w:right="373"/>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50"/>
        </w:trPr>
        <w:tc>
          <w:tcPr>
            <w:tcW w:w="3640" w:type="dxa"/>
            <w:vAlign w:val="bottom"/>
          </w:tcPr>
          <w:p>
            <w:pPr>
              <w:ind w:left="280"/>
              <w:spacing w:after="0"/>
              <w:rPr>
                <w:sz w:val="20"/>
                <w:szCs w:val="20"/>
                <w:color w:val="auto"/>
              </w:rPr>
            </w:pPr>
            <w:r>
              <w:rPr>
                <w:rFonts w:ascii="Arial" w:cs="Arial" w:eastAsia="Arial" w:hAnsi="Arial"/>
                <w:sz w:val="13"/>
                <w:szCs w:val="13"/>
                <w:color w:val="auto"/>
              </w:rPr>
              <w:t>Income tax adjustments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w:t>
            </w:r>
          </w:p>
        </w:tc>
        <w:tc>
          <w:tcPr>
            <w:tcW w:w="80" w:type="dxa"/>
            <w:vAlign w:val="bottom"/>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239</w:t>
            </w:r>
          </w:p>
        </w:tc>
        <w:tc>
          <w:tcPr>
            <w:tcW w:w="60" w:type="dxa"/>
            <w:vAlign w:val="bottom"/>
          </w:tcPr>
          <w:p>
            <w:pPr>
              <w:spacing w:after="0"/>
              <w:rPr>
                <w:sz w:val="21"/>
                <w:szCs w:val="21"/>
                <w:color w:val="auto"/>
              </w:rPr>
            </w:pPr>
          </w:p>
        </w:tc>
        <w:tc>
          <w:tcPr>
            <w:tcW w:w="1400" w:type="dxa"/>
            <w:vAlign w:val="bottom"/>
            <w:tcBorders>
              <w:bottom w:val="single" w:sz="8" w:color="auto"/>
            </w:tcBorders>
          </w:tcPr>
          <w:p>
            <w:pPr>
              <w:jc w:val="right"/>
              <w:ind w:right="413"/>
              <w:spacing w:after="0"/>
              <w:rPr>
                <w:sz w:val="20"/>
                <w:szCs w:val="20"/>
                <w:color w:val="auto"/>
              </w:rPr>
            </w:pPr>
            <w:r>
              <w:rPr>
                <w:rFonts w:ascii="Arial" w:cs="Arial" w:eastAsia="Arial" w:hAnsi="Arial"/>
                <w:sz w:val="13"/>
                <w:szCs w:val="13"/>
                <w:color w:val="auto"/>
              </w:rPr>
              <w:t>(298)</w:t>
            </w:r>
          </w:p>
        </w:tc>
        <w:tc>
          <w:tcPr>
            <w:tcW w:w="60" w:type="dxa"/>
            <w:vAlign w:val="bottom"/>
          </w:tcPr>
          <w:p>
            <w:pPr>
              <w:spacing w:after="0"/>
              <w:rPr>
                <w:sz w:val="21"/>
                <w:szCs w:val="21"/>
                <w:color w:val="auto"/>
              </w:rPr>
            </w:pPr>
          </w:p>
        </w:tc>
        <w:tc>
          <w:tcPr>
            <w:tcW w:w="1240" w:type="dxa"/>
            <w:vAlign w:val="bottom"/>
            <w:tcBorders>
              <w:bottom w:val="single" w:sz="8" w:color="auto"/>
            </w:tcBorders>
          </w:tcPr>
          <w:p>
            <w:pPr>
              <w:jc w:val="right"/>
              <w:ind w:right="393"/>
              <w:spacing w:after="0"/>
              <w:rPr>
                <w:sz w:val="20"/>
                <w:szCs w:val="20"/>
                <w:color w:val="auto"/>
              </w:rPr>
            </w:pPr>
            <w:r>
              <w:rPr>
                <w:rFonts w:ascii="Arial" w:cs="Arial" w:eastAsia="Arial" w:hAnsi="Arial"/>
                <w:sz w:val="13"/>
                <w:szCs w:val="13"/>
                <w:color w:val="auto"/>
              </w:rPr>
              <w:t>55</w:t>
            </w:r>
          </w:p>
        </w:tc>
        <w:tc>
          <w:tcPr>
            <w:tcW w:w="80" w:type="dxa"/>
            <w:vAlign w:val="bottom"/>
          </w:tcPr>
          <w:p>
            <w:pPr>
              <w:spacing w:after="0"/>
              <w:rPr>
                <w:sz w:val="21"/>
                <w:szCs w:val="21"/>
                <w:color w:val="auto"/>
              </w:rPr>
            </w:pPr>
          </w:p>
        </w:tc>
        <w:tc>
          <w:tcPr>
            <w:tcW w:w="1460" w:type="dxa"/>
            <w:vAlign w:val="bottom"/>
            <w:tcBorders>
              <w:bottom w:val="single" w:sz="8" w:color="auto"/>
            </w:tcBorders>
          </w:tcPr>
          <w:p>
            <w:pPr>
              <w:jc w:val="right"/>
              <w:ind w:right="493"/>
              <w:spacing w:after="0"/>
              <w:rPr>
                <w:sz w:val="20"/>
                <w:szCs w:val="20"/>
                <w:color w:val="auto"/>
              </w:rPr>
            </w:pPr>
            <w:r>
              <w:rPr>
                <w:rFonts w:ascii="Arial" w:cs="Arial" w:eastAsia="Arial" w:hAnsi="Arial"/>
                <w:sz w:val="13"/>
                <w:szCs w:val="13"/>
                <w:color w:val="auto"/>
              </w:rPr>
              <w:t>496</w:t>
            </w:r>
          </w:p>
        </w:tc>
        <w:tc>
          <w:tcPr>
            <w:tcW w:w="60" w:type="dxa"/>
            <w:vAlign w:val="bottom"/>
          </w:tcPr>
          <w:p>
            <w:pPr>
              <w:spacing w:after="0"/>
              <w:rPr>
                <w:sz w:val="21"/>
                <w:szCs w:val="21"/>
                <w:color w:val="auto"/>
              </w:rPr>
            </w:pPr>
          </w:p>
        </w:tc>
        <w:tc>
          <w:tcPr>
            <w:tcW w:w="1240" w:type="dxa"/>
            <w:vAlign w:val="bottom"/>
            <w:tcBorders>
              <w:bottom w:val="single" w:sz="8" w:color="auto"/>
            </w:tcBorders>
          </w:tcPr>
          <w:p>
            <w:pPr>
              <w:jc w:val="right"/>
              <w:ind w:right="373"/>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223"/>
        </w:trPr>
        <w:tc>
          <w:tcPr>
            <w:tcW w:w="3640" w:type="dxa"/>
            <w:vAlign w:val="bottom"/>
          </w:tcPr>
          <w:p>
            <w:pPr>
              <w:spacing w:after="0"/>
              <w:rPr>
                <w:sz w:val="20"/>
                <w:szCs w:val="20"/>
                <w:color w:val="auto"/>
              </w:rPr>
            </w:pPr>
            <w:r>
              <w:rPr>
                <w:rFonts w:ascii="Arial" w:cs="Arial" w:eastAsia="Arial" w:hAnsi="Arial"/>
                <w:sz w:val="13"/>
                <w:szCs w:val="13"/>
                <w:color w:val="auto"/>
              </w:rPr>
              <w:t>Non-GAAP net income</w:t>
            </w:r>
          </w:p>
        </w:tc>
        <w:tc>
          <w:tcPr>
            <w:tcW w:w="860" w:type="dxa"/>
            <w:vAlign w:val="bottom"/>
          </w:tcPr>
          <w:p>
            <w:pPr>
              <w:jc w:val="right"/>
              <w:spacing w:after="0"/>
              <w:rPr>
                <w:sz w:val="20"/>
                <w:szCs w:val="20"/>
                <w:color w:val="auto"/>
              </w:rPr>
            </w:pPr>
            <w:r>
              <w:rPr>
                <w:rFonts w:ascii="Arial" w:cs="Arial" w:eastAsia="Arial" w:hAnsi="Arial"/>
                <w:sz w:val="13"/>
                <w:szCs w:val="13"/>
                <w:color w:val="auto"/>
              </w:rPr>
              <w:t>$914</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$1,429</w:t>
            </w:r>
          </w:p>
        </w:tc>
        <w:tc>
          <w:tcPr>
            <w:tcW w:w="60" w:type="dxa"/>
            <w:vAlign w:val="bottom"/>
          </w:tcPr>
          <w:p>
            <w:pPr>
              <w:spacing w:after="0"/>
              <w:rPr>
                <w:sz w:val="19"/>
                <w:szCs w:val="19"/>
                <w:color w:val="auto"/>
              </w:rPr>
            </w:pPr>
          </w:p>
        </w:tc>
        <w:tc>
          <w:tcPr>
            <w:tcW w:w="1400" w:type="dxa"/>
            <w:vAlign w:val="bottom"/>
          </w:tcPr>
          <w:p>
            <w:pPr>
              <w:jc w:val="right"/>
              <w:ind w:right="453"/>
              <w:spacing w:after="0"/>
              <w:rPr>
                <w:sz w:val="20"/>
                <w:szCs w:val="20"/>
                <w:color w:val="auto"/>
              </w:rPr>
            </w:pPr>
            <w:r>
              <w:rPr>
                <w:rFonts w:ascii="Arial" w:cs="Arial" w:eastAsia="Arial" w:hAnsi="Arial"/>
                <w:sz w:val="13"/>
                <w:szCs w:val="13"/>
                <w:color w:val="auto"/>
              </w:rPr>
              <w:t>$50</w:t>
            </w:r>
          </w:p>
        </w:tc>
        <w:tc>
          <w:tcPr>
            <w:tcW w:w="60" w:type="dxa"/>
            <w:vAlign w:val="bottom"/>
          </w:tcPr>
          <w:p>
            <w:pPr>
              <w:spacing w:after="0"/>
              <w:rPr>
                <w:sz w:val="19"/>
                <w:szCs w:val="19"/>
                <w:color w:val="auto"/>
              </w:rPr>
            </w:pPr>
          </w:p>
        </w:tc>
        <w:tc>
          <w:tcPr>
            <w:tcW w:w="1240" w:type="dxa"/>
            <w:vAlign w:val="bottom"/>
          </w:tcPr>
          <w:p>
            <w:pPr>
              <w:jc w:val="right"/>
              <w:ind w:right="393"/>
              <w:spacing w:after="0"/>
              <w:rPr>
                <w:sz w:val="20"/>
                <w:szCs w:val="20"/>
                <w:color w:val="auto"/>
              </w:rPr>
            </w:pPr>
            <w:r>
              <w:rPr>
                <w:rFonts w:ascii="Arial" w:cs="Arial" w:eastAsia="Arial" w:hAnsi="Arial"/>
                <w:sz w:val="13"/>
                <w:szCs w:val="13"/>
                <w:color w:val="auto"/>
              </w:rPr>
              <w:t>$49</w:t>
            </w:r>
          </w:p>
        </w:tc>
        <w:tc>
          <w:tcPr>
            <w:tcW w:w="80" w:type="dxa"/>
            <w:vAlign w:val="bottom"/>
          </w:tcPr>
          <w:p>
            <w:pPr>
              <w:spacing w:after="0"/>
              <w:rPr>
                <w:sz w:val="19"/>
                <w:szCs w:val="19"/>
                <w:color w:val="auto"/>
              </w:rPr>
            </w:pPr>
          </w:p>
        </w:tc>
        <w:tc>
          <w:tcPr>
            <w:tcW w:w="1460" w:type="dxa"/>
            <w:vAlign w:val="bottom"/>
          </w:tcPr>
          <w:p>
            <w:pPr>
              <w:jc w:val="right"/>
              <w:ind w:right="493"/>
              <w:spacing w:after="0"/>
              <w:rPr>
                <w:sz w:val="20"/>
                <w:szCs w:val="20"/>
                <w:color w:val="auto"/>
              </w:rPr>
            </w:pPr>
            <w:r>
              <w:rPr>
                <w:rFonts w:ascii="Arial" w:cs="Arial" w:eastAsia="Arial" w:hAnsi="Arial"/>
                <w:sz w:val="13"/>
                <w:szCs w:val="13"/>
                <w:color w:val="auto"/>
              </w:rPr>
              <w:t>$424</w:t>
            </w:r>
          </w:p>
        </w:tc>
        <w:tc>
          <w:tcPr>
            <w:tcW w:w="60" w:type="dxa"/>
            <w:vAlign w:val="bottom"/>
          </w:tcPr>
          <w:p>
            <w:pPr>
              <w:spacing w:after="0"/>
              <w:rPr>
                <w:sz w:val="19"/>
                <w:szCs w:val="19"/>
                <w:color w:val="auto"/>
              </w:rPr>
            </w:pPr>
          </w:p>
        </w:tc>
        <w:tc>
          <w:tcPr>
            <w:tcW w:w="1240" w:type="dxa"/>
            <w:vAlign w:val="bottom"/>
          </w:tcPr>
          <w:p>
            <w:pPr>
              <w:jc w:val="right"/>
              <w:ind w:right="413"/>
              <w:spacing w:after="0"/>
              <w:rPr>
                <w:sz w:val="20"/>
                <w:szCs w:val="20"/>
                <w:color w:val="auto"/>
              </w:rPr>
            </w:pPr>
            <w:r>
              <w:rPr>
                <w:rFonts w:ascii="Arial" w:cs="Arial" w:eastAsia="Arial" w:hAnsi="Arial"/>
                <w:sz w:val="13"/>
                <w:szCs w:val="13"/>
                <w:color w:val="auto"/>
              </w:rPr>
              <w:t>$906</w:t>
            </w:r>
          </w:p>
        </w:tc>
        <w:tc>
          <w:tcPr>
            <w:tcW w:w="0" w:type="dxa"/>
            <w:vAlign w:val="bottom"/>
          </w:tcPr>
          <w:p>
            <w:pPr>
              <w:spacing w:after="0"/>
              <w:rPr>
                <w:sz w:val="1"/>
                <w:szCs w:val="1"/>
                <w:color w:val="auto"/>
              </w:rPr>
            </w:pPr>
          </w:p>
        </w:tc>
      </w:tr>
      <w:tr>
        <w:trPr>
          <w:trHeight w:val="161"/>
        </w:trPr>
        <w:tc>
          <w:tcPr>
            <w:tcW w:w="3640" w:type="dxa"/>
            <w:vAlign w:val="bottom"/>
          </w:tcPr>
          <w:p>
            <w:pPr>
              <w:ind w:left="280"/>
              <w:spacing w:after="0"/>
              <w:rPr>
                <w:sz w:val="20"/>
                <w:szCs w:val="20"/>
                <w:color w:val="auto"/>
              </w:rPr>
            </w:pPr>
            <w:r>
              <w:rPr>
                <w:rFonts w:ascii="Arial" w:cs="Arial" w:eastAsia="Arial" w:hAnsi="Arial"/>
                <w:sz w:val="13"/>
                <w:szCs w:val="13"/>
                <w:color w:val="auto"/>
              </w:rPr>
              <w:t>Short-term incentive</w:t>
            </w:r>
          </w:p>
        </w:tc>
        <w:tc>
          <w:tcPr>
            <w:tcW w:w="8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40" w:type="dxa"/>
            <w:vAlign w:val="bottom"/>
          </w:tcPr>
          <w:p>
            <w:pPr>
              <w:ind w:left="280"/>
              <w:spacing w:after="0"/>
              <w:rPr>
                <w:sz w:val="20"/>
                <w:szCs w:val="20"/>
                <w:color w:val="auto"/>
              </w:rPr>
            </w:pPr>
            <w:r>
              <w:rPr>
                <w:rFonts w:ascii="Arial" w:cs="Arial" w:eastAsia="Arial" w:hAnsi="Arial"/>
                <w:sz w:val="13"/>
                <w:szCs w:val="13"/>
                <w:color w:val="auto"/>
              </w:rPr>
              <w:t>cap adjustment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640" w:type="dxa"/>
            <w:vAlign w:val="bottom"/>
          </w:tcPr>
          <w:p>
            <w:pPr>
              <w:spacing w:after="0"/>
              <w:rPr>
                <w:sz w:val="20"/>
                <w:szCs w:val="20"/>
                <w:color w:val="auto"/>
              </w:rPr>
            </w:pPr>
            <w:r>
              <w:rPr>
                <w:rFonts w:ascii="Arial" w:cs="Arial" w:eastAsia="Arial" w:hAnsi="Arial"/>
                <w:sz w:val="13"/>
                <w:szCs w:val="13"/>
                <w:color w:val="auto"/>
              </w:rPr>
              <w:t>Non-GAAP net income, for purposes</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40" w:type="dxa"/>
            <w:vAlign w:val="bottom"/>
          </w:tcPr>
          <w:p>
            <w:pPr>
              <w:spacing w:after="0"/>
              <w:rPr>
                <w:sz w:val="20"/>
                <w:szCs w:val="20"/>
                <w:color w:val="auto"/>
              </w:rPr>
            </w:pPr>
            <w:r>
              <w:rPr>
                <w:rFonts w:ascii="Arial" w:cs="Arial" w:eastAsia="Arial" w:hAnsi="Arial"/>
                <w:sz w:val="13"/>
                <w:szCs w:val="13"/>
                <w:color w:val="auto"/>
              </w:rPr>
              <w:t>of calculating achievement under</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$882</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640" w:type="dxa"/>
            <w:vAlign w:val="bottom"/>
          </w:tcPr>
          <w:p>
            <w:pPr>
              <w:spacing w:after="0"/>
              <w:rPr>
                <w:sz w:val="20"/>
                <w:szCs w:val="20"/>
                <w:color w:val="auto"/>
              </w:rPr>
            </w:pPr>
            <w:r>
              <w:rPr>
                <w:rFonts w:ascii="Arial" w:cs="Arial" w:eastAsia="Arial" w:hAnsi="Arial"/>
                <w:sz w:val="13"/>
                <w:szCs w:val="13"/>
                <w:color w:val="auto"/>
              </w:rPr>
              <w:t>short-term incentive plan</w:t>
            </w:r>
          </w:p>
        </w:tc>
        <w:tc>
          <w:tcPr>
            <w:tcW w:w="8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3640" w:type="dxa"/>
            <w:vAlign w:val="bottom"/>
          </w:tcPr>
          <w:p>
            <w:pPr>
              <w:spacing w:after="0" w:line="146" w:lineRule="exact"/>
              <w:rPr>
                <w:sz w:val="20"/>
                <w:szCs w:val="20"/>
                <w:color w:val="auto"/>
              </w:rPr>
            </w:pPr>
            <w:r>
              <w:rPr>
                <w:rFonts w:ascii="Arial" w:cs="Arial" w:eastAsia="Arial" w:hAnsi="Arial"/>
                <w:sz w:val="13"/>
                <w:szCs w:val="13"/>
                <w:b w:val="1"/>
                <w:bCs w:val="1"/>
                <w:color w:val="auto"/>
              </w:rPr>
              <w:t>Diluted weighted average</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40" w:type="dxa"/>
            <w:vAlign w:val="bottom"/>
          </w:tcPr>
          <w:p>
            <w:pPr>
              <w:spacing w:after="0"/>
              <w:rPr>
                <w:sz w:val="20"/>
                <w:szCs w:val="20"/>
                <w:color w:val="auto"/>
              </w:rPr>
            </w:pPr>
            <w:r>
              <w:rPr>
                <w:rFonts w:ascii="Arial" w:cs="Arial" w:eastAsia="Arial" w:hAnsi="Arial"/>
                <w:sz w:val="13"/>
                <w:szCs w:val="13"/>
                <w:b w:val="1"/>
                <w:bCs w:val="1"/>
                <w:color w:val="auto"/>
              </w:rPr>
              <w:t>shares outstanding</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280"/>
              <w:spacing w:after="0"/>
              <w:rPr>
                <w:sz w:val="20"/>
                <w:szCs w:val="20"/>
                <w:color w:val="auto"/>
              </w:rPr>
            </w:pPr>
            <w:r>
              <w:rPr>
                <w:rFonts w:ascii="Arial" w:cs="Arial" w:eastAsia="Arial" w:hAnsi="Arial"/>
                <w:sz w:val="13"/>
                <w:szCs w:val="13"/>
                <w:color w:val="auto"/>
              </w:rPr>
              <w:t>GAAP</w:t>
            </w:r>
          </w:p>
        </w:tc>
        <w:tc>
          <w:tcPr>
            <w:tcW w:w="860" w:type="dxa"/>
            <w:vAlign w:val="bottom"/>
          </w:tcPr>
          <w:p>
            <w:pPr>
              <w:jc w:val="right"/>
              <w:spacing w:after="0"/>
              <w:rPr>
                <w:sz w:val="20"/>
                <w:szCs w:val="20"/>
                <w:color w:val="auto"/>
              </w:rPr>
            </w:pPr>
            <w:r>
              <w:rPr>
                <w:rFonts w:ascii="Arial" w:cs="Arial" w:eastAsia="Arial" w:hAnsi="Arial"/>
                <w:sz w:val="13"/>
                <w:szCs w:val="13"/>
                <w:color w:val="auto"/>
              </w:rPr>
              <w:t>298</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292</w:t>
            </w:r>
          </w:p>
        </w:tc>
        <w:tc>
          <w:tcPr>
            <w:tcW w:w="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280"/>
              <w:spacing w:after="0"/>
              <w:rPr>
                <w:sz w:val="20"/>
                <w:szCs w:val="20"/>
                <w:color w:val="auto"/>
              </w:rPr>
            </w:pPr>
            <w:r>
              <w:rPr>
                <w:rFonts w:ascii="Arial" w:cs="Arial" w:eastAsia="Arial" w:hAnsi="Arial"/>
                <w:sz w:val="13"/>
                <w:szCs w:val="13"/>
                <w:color w:val="auto"/>
              </w:rPr>
              <w:t>Non-GAAP</w:t>
            </w:r>
          </w:p>
        </w:tc>
        <w:tc>
          <w:tcPr>
            <w:tcW w:w="860" w:type="dxa"/>
            <w:vAlign w:val="bottom"/>
          </w:tcPr>
          <w:p>
            <w:pPr>
              <w:jc w:val="right"/>
              <w:spacing w:after="0"/>
              <w:rPr>
                <w:sz w:val="20"/>
                <w:szCs w:val="20"/>
                <w:color w:val="auto"/>
              </w:rPr>
            </w:pPr>
            <w:r>
              <w:rPr>
                <w:rFonts w:ascii="Arial" w:cs="Arial" w:eastAsia="Arial" w:hAnsi="Arial"/>
                <w:sz w:val="13"/>
                <w:szCs w:val="13"/>
                <w:color w:val="auto"/>
              </w:rPr>
              <w:t>301</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295</w:t>
            </w:r>
          </w:p>
        </w:tc>
        <w:tc>
          <w:tcPr>
            <w:tcW w:w="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3640" w:type="dxa"/>
            <w:vAlign w:val="bottom"/>
          </w:tcPr>
          <w:p>
            <w:pPr>
              <w:spacing w:after="0"/>
              <w:rPr>
                <w:sz w:val="20"/>
                <w:szCs w:val="20"/>
                <w:color w:val="auto"/>
              </w:rPr>
            </w:pPr>
            <w:r>
              <w:rPr>
                <w:rFonts w:ascii="Arial" w:cs="Arial" w:eastAsia="Arial" w:hAnsi="Arial"/>
                <w:sz w:val="13"/>
                <w:szCs w:val="13"/>
                <w:b w:val="1"/>
                <w:bCs w:val="1"/>
                <w:color w:val="auto"/>
              </w:rPr>
              <w:t>Diluted income (loss) per</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640" w:type="dxa"/>
            <w:vAlign w:val="bottom"/>
          </w:tcPr>
          <w:p>
            <w:pPr>
              <w:spacing w:after="0"/>
              <w:rPr>
                <w:sz w:val="20"/>
                <w:szCs w:val="20"/>
                <w:color w:val="auto"/>
              </w:rPr>
            </w:pPr>
            <w:r>
              <w:rPr>
                <w:rFonts w:ascii="Arial" w:cs="Arial" w:eastAsia="Arial" w:hAnsi="Arial"/>
                <w:sz w:val="13"/>
                <w:szCs w:val="13"/>
                <w:b w:val="1"/>
                <w:bCs w:val="1"/>
                <w:color w:val="auto"/>
              </w:rPr>
              <w:t>common share:</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280"/>
              <w:spacing w:after="0"/>
              <w:rPr>
                <w:sz w:val="20"/>
                <w:szCs w:val="20"/>
                <w:color w:val="auto"/>
              </w:rPr>
            </w:pPr>
            <w:r>
              <w:rPr>
                <w:rFonts w:ascii="Arial" w:cs="Arial" w:eastAsia="Arial" w:hAnsi="Arial"/>
                <w:sz w:val="13"/>
                <w:szCs w:val="13"/>
                <w:color w:val="auto"/>
              </w:rPr>
              <w:t>GAAP</w:t>
            </w:r>
          </w:p>
        </w:tc>
        <w:tc>
          <w:tcPr>
            <w:tcW w:w="860" w:type="dxa"/>
            <w:vAlign w:val="bottom"/>
          </w:tcPr>
          <w:p>
            <w:pPr>
              <w:jc w:val="right"/>
              <w:spacing w:after="0"/>
              <w:rPr>
                <w:sz w:val="20"/>
                <w:szCs w:val="20"/>
                <w:color w:val="auto"/>
              </w:rPr>
            </w:pPr>
            <w:r>
              <w:rPr>
                <w:rFonts w:ascii="Arial" w:cs="Arial" w:eastAsia="Arial" w:hAnsi="Arial"/>
                <w:sz w:val="13"/>
                <w:szCs w:val="13"/>
                <w:color w:val="auto"/>
              </w:rPr>
              <w:t>($0.84)</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($2.58)</w:t>
            </w:r>
          </w:p>
        </w:tc>
        <w:tc>
          <w:tcPr>
            <w:tcW w:w="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280"/>
              <w:spacing w:after="0"/>
              <w:rPr>
                <w:sz w:val="20"/>
                <w:szCs w:val="20"/>
                <w:color w:val="auto"/>
              </w:rPr>
            </w:pPr>
            <w:r>
              <w:rPr>
                <w:rFonts w:ascii="Arial" w:cs="Arial" w:eastAsia="Arial" w:hAnsi="Arial"/>
                <w:sz w:val="13"/>
                <w:szCs w:val="13"/>
                <w:color w:val="auto"/>
              </w:rPr>
              <w:t>Non-GAAP</w:t>
            </w:r>
          </w:p>
        </w:tc>
        <w:tc>
          <w:tcPr>
            <w:tcW w:w="860" w:type="dxa"/>
            <w:vAlign w:val="bottom"/>
          </w:tcPr>
          <w:p>
            <w:pPr>
              <w:jc w:val="right"/>
              <w:spacing w:after="0"/>
              <w:rPr>
                <w:sz w:val="20"/>
                <w:szCs w:val="20"/>
                <w:color w:val="auto"/>
              </w:rPr>
            </w:pPr>
            <w:r>
              <w:rPr>
                <w:rFonts w:ascii="Arial" w:cs="Arial" w:eastAsia="Arial" w:hAnsi="Arial"/>
                <w:sz w:val="13"/>
                <w:szCs w:val="13"/>
                <w:color w:val="auto"/>
              </w:rPr>
              <w:t>$3.04</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$4.84</w:t>
            </w:r>
          </w:p>
        </w:tc>
        <w:tc>
          <w:tcPr>
            <w:tcW w:w="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234440" cy="6858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34440" cy="68580"/>
                    </a:xfrm>
                    <a:prstGeom prst="rect">
                      <a:avLst/>
                    </a:prstGeom>
                    <a:noFill/>
                  </pic:spPr>
                </pic:pic>
              </a:graphicData>
            </a:graphic>
          </wp:anchor>
        </w:drawing>
      </w:r>
    </w:p>
    <w:p>
      <w:pPr>
        <w:spacing w:after="0" w:line="360" w:lineRule="exact"/>
        <w:rPr>
          <w:sz w:val="20"/>
          <w:szCs w:val="20"/>
          <w:color w:val="auto"/>
        </w:rPr>
      </w:pPr>
    </w:p>
    <w:p>
      <w:pPr>
        <w:spacing w:after="0"/>
        <w:rPr>
          <w:sz w:val="20"/>
          <w:szCs w:val="20"/>
          <w:color w:val="auto"/>
        </w:rPr>
      </w:pPr>
      <w:r>
        <w:rPr>
          <w:rFonts w:ascii="Arial" w:cs="Arial" w:eastAsia="Arial" w:hAnsi="Arial"/>
          <w:sz w:val="26"/>
          <w:szCs w:val="26"/>
          <w:b w:val="1"/>
          <w:bCs w:val="1"/>
          <w:color w:val="23628F"/>
        </w:rPr>
        <w:t>EXPLANATIONS OF ADJUSTMENTS TO NON-GAAP MEASURES</w:t>
      </w:r>
    </w:p>
    <w:p>
      <w:pPr>
        <w:spacing w:after="0" w:line="252" w:lineRule="exact"/>
        <w:rPr>
          <w:sz w:val="20"/>
          <w:szCs w:val="20"/>
          <w:color w:val="auto"/>
        </w:rPr>
      </w:pPr>
    </w:p>
    <w:p>
      <w:pPr>
        <w:spacing w:after="0"/>
        <w:rPr>
          <w:sz w:val="20"/>
          <w:szCs w:val="20"/>
          <w:color w:val="auto"/>
        </w:rPr>
      </w:pPr>
      <w:r>
        <w:rPr>
          <w:rFonts w:ascii="Arial" w:cs="Arial" w:eastAsia="Arial" w:hAnsi="Arial"/>
          <w:sz w:val="13"/>
          <w:szCs w:val="13"/>
          <w:color w:val="auto"/>
        </w:rPr>
        <w:t>As detailed above, the company excludes the following items from its non-GAAP financial measures:</w:t>
      </w:r>
    </w:p>
    <w:p>
      <w:pPr>
        <w:spacing w:after="0" w:line="215" w:lineRule="exact"/>
        <w:rPr>
          <w:sz w:val="20"/>
          <w:szCs w:val="20"/>
          <w:color w:val="auto"/>
        </w:rPr>
      </w:pPr>
    </w:p>
    <w:p>
      <w:pPr>
        <w:jc w:val="both"/>
        <w:ind w:right="380"/>
        <w:spacing w:after="0" w:line="258" w:lineRule="auto"/>
        <w:rPr>
          <w:sz w:val="20"/>
          <w:szCs w:val="20"/>
          <w:color w:val="auto"/>
        </w:rPr>
      </w:pPr>
      <w:r>
        <w:rPr>
          <w:rFonts w:ascii="Arial" w:cs="Arial" w:eastAsia="Arial" w:hAnsi="Arial"/>
          <w:sz w:val="13"/>
          <w:szCs w:val="13"/>
          <w:u w:val="single" w:color="auto"/>
          <w:color w:val="auto"/>
        </w:rPr>
        <w:t>Amortization of acquired intangible assets.</w:t>
      </w:r>
      <w:r>
        <w:rPr>
          <w:rFonts w:ascii="Arial" w:cs="Arial" w:eastAsia="Arial" w:hAnsi="Arial"/>
          <w:sz w:val="13"/>
          <w:szCs w:val="13"/>
          <w:color w:val="auto"/>
        </w:rPr>
        <w:t xml:space="preserve"> The company incurs expenses from the amortization of acquired intangible assets over their economic lives. Such charges are significantly impacted by the timing and magnitude of the company’s acquisitions and any related impairment charges.</w:t>
      </w:r>
    </w:p>
    <w:p>
      <w:pPr>
        <w:spacing w:after="0" w:line="192" w:lineRule="exact"/>
        <w:rPr>
          <w:sz w:val="20"/>
          <w:szCs w:val="20"/>
          <w:color w:val="auto"/>
        </w:rPr>
      </w:pPr>
    </w:p>
    <w:p>
      <w:pPr>
        <w:jc w:val="both"/>
        <w:ind w:right="380"/>
        <w:spacing w:after="0" w:line="245" w:lineRule="auto"/>
        <w:rPr>
          <w:sz w:val="20"/>
          <w:szCs w:val="20"/>
          <w:color w:val="auto"/>
        </w:rPr>
      </w:pPr>
      <w:r>
        <w:rPr>
          <w:rFonts w:ascii="Arial" w:cs="Arial" w:eastAsia="Arial" w:hAnsi="Arial"/>
          <w:sz w:val="13"/>
          <w:szCs w:val="13"/>
          <w:u w:val="single" w:color="auto"/>
          <w:color w:val="auto"/>
        </w:rPr>
        <w:t>Stock-based compensation expense.</w:t>
      </w:r>
      <w:r>
        <w:rPr>
          <w:rFonts w:ascii="Arial" w:cs="Arial" w:eastAsia="Arial" w:hAnsi="Arial"/>
          <w:sz w:val="13"/>
          <w:szCs w:val="13"/>
          <w:color w:val="auto"/>
        </w:rPr>
        <w:t xml:space="preserve"> Because of the variety of equity awards used by companies, the varying methodologies for determining stock-based compensation expense, the subjective assumptions involved in those determinations, and the volatility in valuations that can be driven by market conditions outside the company’s control, the company believes excluding stock-based compensation expense enhances the ability of management and investors to understand and assess the underlying performance of its business over time and compare it against the company’s peers, a majority of whom also exclude stock-based compensation expense from their non-GAAP results.</w:t>
      </w:r>
    </w:p>
    <w:p>
      <w:pPr>
        <w:spacing w:after="0" w:line="18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23628F"/>
        </w:rPr>
        <w:t>A-2</w:t>
      </w:r>
      <w:r>
        <w:rPr>
          <w:sz w:val="20"/>
          <w:szCs w:val="20"/>
          <w:color w:val="auto"/>
        </w:rPr>
        <w:tab/>
      </w:r>
      <w:r>
        <w:rPr>
          <w:rFonts w:ascii="Arial" w:cs="Arial" w:eastAsia="Arial" w:hAnsi="Arial"/>
          <w:sz w:val="13"/>
          <w:szCs w:val="13"/>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53275" cy="209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3" w:name="page124"/>
    <w:bookmarkEnd w:id="123"/>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ind w:left="10420"/>
        <w:spacing w:after="0"/>
        <w:rPr>
          <w:sz w:val="20"/>
          <w:szCs w:val="20"/>
          <w:color w:val="auto"/>
        </w:rPr>
      </w:pPr>
      <w:r>
        <w:rPr>
          <w:rFonts w:ascii="Arial" w:cs="Arial" w:eastAsia="Arial" w:hAnsi="Arial"/>
          <w:sz w:val="13"/>
          <w:szCs w:val="13"/>
          <w:color w:val="23628F"/>
        </w:rPr>
        <w:t>APPENDIX A</w:t>
      </w:r>
    </w:p>
    <w:p>
      <w:pPr>
        <w:spacing w:after="0" w:line="215" w:lineRule="exact"/>
        <w:rPr>
          <w:sz w:val="20"/>
          <w:szCs w:val="20"/>
          <w:color w:val="auto"/>
        </w:rPr>
      </w:pPr>
    </w:p>
    <w:p>
      <w:pPr>
        <w:spacing w:after="0" w:line="245" w:lineRule="auto"/>
        <w:rPr>
          <w:sz w:val="20"/>
          <w:szCs w:val="20"/>
          <w:color w:val="auto"/>
        </w:rPr>
      </w:pPr>
      <w:r>
        <w:rPr>
          <w:rFonts w:ascii="Arial" w:cs="Arial" w:eastAsia="Arial" w:hAnsi="Arial"/>
          <w:sz w:val="13"/>
          <w:szCs w:val="13"/>
          <w:u w:val="single" w:color="auto"/>
          <w:color w:val="auto"/>
        </w:rPr>
        <w:t>Employee termination, asset impairment and other charges.</w:t>
      </w:r>
      <w:r>
        <w:rPr>
          <w:rFonts w:ascii="Arial" w:cs="Arial" w:eastAsia="Arial" w:hAnsi="Arial"/>
          <w:sz w:val="13"/>
          <w:szCs w:val="13"/>
          <w:color w:val="auto"/>
        </w:rPr>
        <w:t xml:space="preserve"> From time-to-time, in order to realign the company’s operations with anticipated market demand or to achieve cost synergies from the integration of acquisitions, the company may terminate employees and/or restructure its operations. From time-to-time, the company may also incur charges from the impairment of intangible assets and other long-lived assets. These charges (including any reversals of charges recorded in prior periods) are inconsistent in amount and frequency, and the company believes are not indicative of the underlying performance of its business.</w:t>
      </w:r>
    </w:p>
    <w:p>
      <w:pPr>
        <w:spacing w:after="0" w:line="200" w:lineRule="exact"/>
        <w:rPr>
          <w:sz w:val="20"/>
          <w:szCs w:val="20"/>
          <w:color w:val="auto"/>
        </w:rPr>
      </w:pPr>
    </w:p>
    <w:p>
      <w:pPr>
        <w:ind w:right="60"/>
        <w:spacing w:after="0" w:line="243" w:lineRule="auto"/>
        <w:rPr>
          <w:sz w:val="20"/>
          <w:szCs w:val="20"/>
          <w:color w:val="auto"/>
        </w:rPr>
      </w:pPr>
      <w:r>
        <w:rPr>
          <w:rFonts w:ascii="Arial" w:cs="Arial" w:eastAsia="Arial" w:hAnsi="Arial"/>
          <w:sz w:val="13"/>
          <w:szCs w:val="13"/>
          <w:u w:val="single" w:color="auto"/>
          <w:color w:val="auto"/>
        </w:rPr>
        <w:t>Charges related to acquisitions and dispositions.</w:t>
      </w:r>
      <w:r>
        <w:rPr>
          <w:rFonts w:ascii="Arial" w:cs="Arial" w:eastAsia="Arial" w:hAnsi="Arial"/>
          <w:sz w:val="13"/>
          <w:szCs w:val="13"/>
          <w:color w:val="auto"/>
        </w:rPr>
        <w:t xml:space="preserve"> In connection with the company’s business combinations or dispositions, the company incurs expenses which it would not have otherwise incurred as part of its business operations. These expenses include third-party professional service and legal fees, third-party integration services, severance costs, non-cash adjustments to the fair value of acquired inventory, contract termination costs and retention bonuses. The company may also experience other accounting impacts in connection with these transactions. These charges and impacts are related to acquisitions and dispositions, are inconsistent in amount and frequency, and the company believes are not indicative of the underlying performance of its business.</w:t>
      </w:r>
    </w:p>
    <w:p>
      <w:pPr>
        <w:spacing w:after="0" w:line="202" w:lineRule="exact"/>
        <w:rPr>
          <w:sz w:val="20"/>
          <w:szCs w:val="20"/>
          <w:color w:val="auto"/>
        </w:rPr>
      </w:pPr>
    </w:p>
    <w:p>
      <w:pPr>
        <w:ind w:right="60"/>
        <w:spacing w:after="0" w:line="245" w:lineRule="auto"/>
        <w:rPr>
          <w:sz w:val="20"/>
          <w:szCs w:val="20"/>
          <w:color w:val="auto"/>
        </w:rPr>
      </w:pPr>
      <w:r>
        <w:rPr>
          <w:rFonts w:ascii="Arial" w:cs="Arial" w:eastAsia="Arial" w:hAnsi="Arial"/>
          <w:sz w:val="13"/>
          <w:szCs w:val="13"/>
          <w:u w:val="single" w:color="auto"/>
          <w:color w:val="auto"/>
        </w:rPr>
        <w:t>Charges related to cost saving initiatives.</w:t>
      </w:r>
      <w:r>
        <w:rPr>
          <w:rFonts w:ascii="Arial" w:cs="Arial" w:eastAsia="Arial" w:hAnsi="Arial"/>
          <w:sz w:val="13"/>
          <w:szCs w:val="13"/>
          <w:color w:val="auto"/>
        </w:rPr>
        <w:t xml:space="preserve"> In connection with the transformation of the company’s business, the company has incurred charges related to cost saving initiatives which do not qualify for special accounting treatment as exit or disposal activities. These charges, which the company believes are not indicative of the underlying performance of its business, primarily relate to costs associated with rationalizing the company’s channel partners or vendors, transforming the company’s information systems infrastructure, integrating the company’s product roadmap, and accelerated depreciation of assets.</w:t>
      </w:r>
    </w:p>
    <w:p>
      <w:pPr>
        <w:spacing w:after="0" w:line="200" w:lineRule="exact"/>
        <w:rPr>
          <w:sz w:val="20"/>
          <w:szCs w:val="20"/>
          <w:color w:val="auto"/>
        </w:rPr>
      </w:pPr>
    </w:p>
    <w:p>
      <w:pPr>
        <w:ind w:right="180"/>
        <w:spacing w:after="0" w:line="245" w:lineRule="auto"/>
        <w:rPr>
          <w:sz w:val="20"/>
          <w:szCs w:val="20"/>
          <w:color w:val="auto"/>
        </w:rPr>
      </w:pPr>
      <w:r>
        <w:rPr>
          <w:rFonts w:ascii="Arial" w:cs="Arial" w:eastAsia="Arial" w:hAnsi="Arial"/>
          <w:sz w:val="13"/>
          <w:szCs w:val="13"/>
          <w:u w:val="single" w:color="auto"/>
          <w:color w:val="auto"/>
        </w:rPr>
        <w:t>Manufacturing underutilization charges.</w:t>
      </w:r>
      <w:r>
        <w:rPr>
          <w:rFonts w:ascii="Arial" w:cs="Arial" w:eastAsia="Arial" w:hAnsi="Arial"/>
          <w:sz w:val="13"/>
          <w:szCs w:val="13"/>
          <w:color w:val="auto"/>
        </w:rPr>
        <w:t xml:space="preserve"> In response to flash business conditions, the company temporarily reduced its wafer starts during fiscal 2019 at its flash-based memory manufacturing facilities operated through its strategic partnership with Kioxia Corporation. The temporary abnormal reduction in output resulted in flash manufacturing underutilization charges which were expensed as incurred. These charges are inconsistent in amount and frequency, and the company believes these charges are not part of the ongoing operation of its business.</w:t>
      </w:r>
    </w:p>
    <w:p>
      <w:pPr>
        <w:spacing w:after="0" w:line="352" w:lineRule="exact"/>
        <w:rPr>
          <w:sz w:val="20"/>
          <w:szCs w:val="20"/>
          <w:color w:val="auto"/>
        </w:rPr>
      </w:pPr>
    </w:p>
    <w:p>
      <w:pPr>
        <w:ind w:right="60"/>
        <w:spacing w:after="0" w:line="248" w:lineRule="auto"/>
        <w:rPr>
          <w:sz w:val="20"/>
          <w:szCs w:val="20"/>
          <w:color w:val="auto"/>
        </w:rPr>
      </w:pPr>
      <w:r>
        <w:rPr>
          <w:rFonts w:ascii="Arial" w:cs="Arial" w:eastAsia="Arial" w:hAnsi="Arial"/>
          <w:sz w:val="13"/>
          <w:szCs w:val="13"/>
          <w:u w:val="single" w:color="auto"/>
          <w:color w:val="auto"/>
        </w:rPr>
        <w:t>Power outage charges.</w:t>
      </w:r>
      <w:r>
        <w:rPr>
          <w:rFonts w:ascii="Arial" w:cs="Arial" w:eastAsia="Arial" w:hAnsi="Arial"/>
          <w:sz w:val="13"/>
          <w:szCs w:val="13"/>
          <w:color w:val="auto"/>
        </w:rPr>
        <w:t xml:space="preserve"> In June 2019, an unexpected power outage incident occurred at the flash-based memory manufacturing facilities operated through the company’s strategic partnership with Kioxia Corporation in Yokkaichi, Japan. The power outage incident resulted in the write-off of damaged inventory and unabsorbed manufacturing overhead costs which are expensed as incurred. These charges are inconsistent in amount and frequency, and the company believes these charges are not part of the ongoing production operation of its business.</w:t>
      </w:r>
    </w:p>
    <w:p>
      <w:pPr>
        <w:spacing w:after="0" w:line="198" w:lineRule="exact"/>
        <w:rPr>
          <w:sz w:val="20"/>
          <w:szCs w:val="20"/>
          <w:color w:val="auto"/>
        </w:rPr>
      </w:pPr>
    </w:p>
    <w:p>
      <w:pPr>
        <w:ind w:right="160"/>
        <w:spacing w:after="0" w:line="258" w:lineRule="auto"/>
        <w:rPr>
          <w:sz w:val="20"/>
          <w:szCs w:val="20"/>
          <w:color w:val="auto"/>
        </w:rPr>
      </w:pPr>
      <w:r>
        <w:rPr>
          <w:rFonts w:ascii="Arial" w:cs="Arial" w:eastAsia="Arial" w:hAnsi="Arial"/>
          <w:sz w:val="13"/>
          <w:szCs w:val="13"/>
          <w:u w:val="single" w:color="auto"/>
          <w:color w:val="auto"/>
        </w:rPr>
        <w:t>Convertible debt activity.</w:t>
      </w:r>
      <w:r>
        <w:rPr>
          <w:rFonts w:ascii="Arial" w:cs="Arial" w:eastAsia="Arial" w:hAnsi="Arial"/>
          <w:sz w:val="13"/>
          <w:szCs w:val="13"/>
          <w:color w:val="auto"/>
        </w:rPr>
        <w:t xml:space="preserve"> The company excludes non-cash economic interest expense associated with its convertible notes. These charges do not reflect the company’s operating results, and the company believes are not indicative of the underlying performance of its business.</w:t>
      </w:r>
    </w:p>
    <w:p>
      <w:pPr>
        <w:spacing w:after="0" w:line="192" w:lineRule="exact"/>
        <w:rPr>
          <w:sz w:val="20"/>
          <w:szCs w:val="20"/>
          <w:color w:val="auto"/>
        </w:rPr>
      </w:pPr>
    </w:p>
    <w:p>
      <w:pPr>
        <w:ind w:right="160"/>
        <w:spacing w:after="0" w:line="258" w:lineRule="auto"/>
        <w:rPr>
          <w:sz w:val="20"/>
          <w:szCs w:val="20"/>
          <w:color w:val="auto"/>
        </w:rPr>
      </w:pPr>
      <w:r>
        <w:rPr>
          <w:rFonts w:ascii="Arial" w:cs="Arial" w:eastAsia="Arial" w:hAnsi="Arial"/>
          <w:sz w:val="13"/>
          <w:szCs w:val="13"/>
          <w:u w:val="single" w:color="auto"/>
          <w:color w:val="auto"/>
        </w:rPr>
        <w:t>Other adjustments.</w:t>
      </w:r>
      <w:r>
        <w:rPr>
          <w:rFonts w:ascii="Arial" w:cs="Arial" w:eastAsia="Arial" w:hAnsi="Arial"/>
          <w:sz w:val="13"/>
          <w:szCs w:val="13"/>
          <w:color w:val="auto"/>
        </w:rPr>
        <w:t xml:space="preserve"> From time-to-time, the company sells or impairs investments or other assets which are not considered necessary to its business operations, or incurs other charges or gains that the company believes are not a part of the ongoing operation of its business. The resulting expense or benefit is inconsistent in amount and frequency.</w:t>
      </w:r>
    </w:p>
    <w:p>
      <w:pPr>
        <w:spacing w:after="0" w:line="192" w:lineRule="exact"/>
        <w:rPr>
          <w:sz w:val="20"/>
          <w:szCs w:val="20"/>
          <w:color w:val="auto"/>
        </w:rPr>
      </w:pPr>
    </w:p>
    <w:p>
      <w:pPr>
        <w:jc w:val="both"/>
        <w:ind w:right="20"/>
        <w:spacing w:after="0" w:line="245" w:lineRule="auto"/>
        <w:rPr>
          <w:sz w:val="20"/>
          <w:szCs w:val="20"/>
          <w:color w:val="auto"/>
        </w:rPr>
      </w:pPr>
      <w:r>
        <w:rPr>
          <w:rFonts w:ascii="Arial" w:cs="Arial" w:eastAsia="Arial" w:hAnsi="Arial"/>
          <w:sz w:val="13"/>
          <w:szCs w:val="13"/>
          <w:u w:val="single" w:color="auto"/>
          <w:color w:val="auto"/>
        </w:rPr>
        <w:t>Income tax adjustments.</w:t>
      </w:r>
      <w:r>
        <w:rPr>
          <w:rFonts w:ascii="Arial" w:cs="Arial" w:eastAsia="Arial" w:hAnsi="Arial"/>
          <w:sz w:val="13"/>
          <w:szCs w:val="13"/>
          <w:color w:val="auto"/>
        </w:rPr>
        <w:t xml:space="preserve"> Income tax adjustments include the difference between income taxes based on a forecasted annual non-GAAP tax rate and a forecasted annual GAAP tax rate as a result of the timing of certain non-GAAP pre-tax adjustments. The income tax adjustments include the company’s final adjustments for the tax effects of the Tax Cuts and Jobs Act allowed within the one-year measurement period that ended on December 22, 2018, as well as estimates related to the current status of the rules and regulations governing the transition to the Tax Cuts and Jobs Act. These adjustments are excluded because they are infrequent and the company believes that they are not indicative of the underlying performance of its business.</w:t>
      </w:r>
    </w:p>
    <w:p>
      <w:pPr>
        <w:spacing w:after="0" w:line="200" w:lineRule="exact"/>
        <w:rPr>
          <w:sz w:val="20"/>
          <w:szCs w:val="20"/>
          <w:color w:val="auto"/>
        </w:rPr>
      </w:pPr>
    </w:p>
    <w:p>
      <w:pPr>
        <w:ind w:right="100"/>
        <w:spacing w:after="0" w:line="258" w:lineRule="auto"/>
        <w:rPr>
          <w:sz w:val="20"/>
          <w:szCs w:val="20"/>
          <w:color w:val="auto"/>
        </w:rPr>
      </w:pPr>
      <w:r>
        <w:rPr>
          <w:rFonts w:ascii="Arial" w:cs="Arial" w:eastAsia="Arial" w:hAnsi="Arial"/>
          <w:sz w:val="13"/>
          <w:szCs w:val="13"/>
          <w:u w:val="single" w:color="auto"/>
          <w:color w:val="auto"/>
        </w:rPr>
        <w:t>Short-term incentive cap adjustment.</w:t>
      </w:r>
      <w:r>
        <w:rPr>
          <w:rFonts w:ascii="Arial" w:cs="Arial" w:eastAsia="Arial" w:hAnsi="Arial"/>
          <w:sz w:val="13"/>
          <w:szCs w:val="13"/>
          <w:color w:val="auto"/>
        </w:rPr>
        <w:t xml:space="preserve"> For fiscal 2020, short-term incentive payouts were capped to reflect the company's performance in the context of market conditions, which resulted in a benefit to non-GAAP net income.</w:t>
      </w:r>
    </w:p>
    <w:p>
      <w:pPr>
        <w:spacing w:after="0" w:line="173" w:lineRule="exact"/>
        <w:rPr>
          <w:sz w:val="20"/>
          <w:szCs w:val="20"/>
          <w:color w:val="auto"/>
        </w:rPr>
      </w:pPr>
    </w:p>
    <w:p>
      <w:pPr>
        <w:jc w:val="right"/>
        <w:spacing w:after="0"/>
        <w:tabs>
          <w:tab w:leader="none" w:pos="260" w:val="left"/>
        </w:tabs>
        <w:rPr>
          <w:sz w:val="20"/>
          <w:szCs w:val="20"/>
          <w:color w:val="auto"/>
        </w:rPr>
      </w:pPr>
      <w:r>
        <w:rPr>
          <w:rFonts w:ascii="Arial" w:cs="Arial" w:eastAsia="Arial" w:hAnsi="Arial"/>
          <w:sz w:val="13"/>
          <w:szCs w:val="13"/>
          <w:color w:val="23628F"/>
        </w:rPr>
        <w:t>2020 PROXY STATEMENT</w:t>
      </w:r>
      <w:r>
        <w:rPr>
          <w:sz w:val="20"/>
          <w:szCs w:val="20"/>
          <w:color w:val="auto"/>
        </w:rPr>
        <w:tab/>
      </w:r>
      <w:r>
        <w:rPr>
          <w:rFonts w:ascii="Arial" w:cs="Arial" w:eastAsia="Arial" w:hAnsi="Arial"/>
          <w:sz w:val="16"/>
          <w:szCs w:val="16"/>
          <w:b w:val="1"/>
          <w:bCs w:val="1"/>
          <w:color w:val="23628F"/>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153275" cy="209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169" w:lineRule="exact"/>
        <w:rPr>
          <w:sz w:val="20"/>
          <w:szCs w:val="20"/>
          <w:color w:val="auto"/>
        </w:rPr>
      </w:pPr>
    </w:p>
    <w:p>
      <w:pPr>
        <w:ind w:right="1060"/>
        <w:spacing w:after="0" w:line="255" w:lineRule="auto"/>
        <w:rPr>
          <w:sz w:val="20"/>
          <w:szCs w:val="20"/>
          <w:color w:val="auto"/>
        </w:rPr>
      </w:pPr>
      <w:r>
        <w:rPr>
          <w:rFonts w:ascii="Arial" w:cs="Arial" w:eastAsia="Arial" w:hAnsi="Arial"/>
          <w:sz w:val="50"/>
          <w:szCs w:val="50"/>
          <w:b w:val="1"/>
          <w:bCs w:val="1"/>
          <w:color w:val="23628F"/>
        </w:rPr>
        <w:t>Appendix B—Amended and Restated 2017 Performance Incentive Plan</w:t>
      </w:r>
    </w:p>
    <w:p>
      <w:pPr>
        <w:spacing w:after="0" w:line="5" w:lineRule="exact"/>
        <w:rPr>
          <w:sz w:val="20"/>
          <w:szCs w:val="20"/>
          <w:color w:val="auto"/>
        </w:rPr>
      </w:pPr>
    </w:p>
    <w:p>
      <w:pPr>
        <w:spacing w:after="0"/>
        <w:rPr>
          <w:sz w:val="20"/>
          <w:szCs w:val="20"/>
          <w:color w:val="auto"/>
        </w:rPr>
      </w:pPr>
      <w:r>
        <w:rPr>
          <w:rFonts w:ascii="Arial" w:cs="Arial" w:eastAsia="Arial" w:hAnsi="Arial"/>
          <w:sz w:val="23"/>
          <w:szCs w:val="23"/>
          <w:b w:val="1"/>
          <w:bCs w:val="1"/>
          <w:color w:val="23628F"/>
        </w:rPr>
        <w:t>(Amended and Restated as of August 11, 2020)</w:t>
      </w:r>
    </w:p>
    <w:p>
      <w:pPr>
        <w:spacing w:after="0" w:line="214" w:lineRule="exact"/>
        <w:rPr>
          <w:sz w:val="20"/>
          <w:szCs w:val="20"/>
          <w:color w:val="auto"/>
        </w:rPr>
      </w:pPr>
    </w:p>
    <w:p>
      <w:pPr>
        <w:ind w:left="380" w:hanging="372"/>
        <w:spacing w:after="0"/>
        <w:tabs>
          <w:tab w:leader="none" w:pos="380" w:val="left"/>
        </w:tabs>
        <w:numPr>
          <w:ilvl w:val="0"/>
          <w:numId w:val="250"/>
        </w:numPr>
        <w:rPr>
          <w:rFonts w:ascii="Arial" w:cs="Arial" w:eastAsia="Arial" w:hAnsi="Arial"/>
          <w:sz w:val="13"/>
          <w:szCs w:val="13"/>
          <w:b w:val="1"/>
          <w:bCs w:val="1"/>
          <w:color w:val="23628F"/>
        </w:rPr>
      </w:pPr>
      <w:r>
        <w:rPr>
          <w:rFonts w:ascii="Arial" w:cs="Arial" w:eastAsia="Arial" w:hAnsi="Arial"/>
          <w:sz w:val="13"/>
          <w:szCs w:val="13"/>
          <w:b w:val="1"/>
          <w:bCs w:val="1"/>
          <w:color w:val="23628F"/>
        </w:rPr>
        <w:t>PURPOSE OF PLAN</w:t>
      </w:r>
    </w:p>
    <w:p>
      <w:pPr>
        <w:spacing w:after="0" w:line="190" w:lineRule="exact"/>
        <w:rPr>
          <w:rFonts w:ascii="Arial" w:cs="Arial" w:eastAsia="Arial" w:hAnsi="Arial"/>
          <w:sz w:val="13"/>
          <w:szCs w:val="13"/>
          <w:b w:val="1"/>
          <w:bCs w:val="1"/>
          <w:color w:val="23628F"/>
        </w:rPr>
      </w:pPr>
    </w:p>
    <w:p>
      <w:pPr>
        <w:ind w:left="380" w:right="20"/>
        <w:spacing w:after="0" w:line="248" w:lineRule="auto"/>
        <w:rPr>
          <w:rFonts w:ascii="Arial" w:cs="Arial" w:eastAsia="Arial" w:hAnsi="Arial"/>
          <w:sz w:val="13"/>
          <w:szCs w:val="13"/>
          <w:b w:val="1"/>
          <w:bCs w:val="1"/>
          <w:color w:val="23628F"/>
        </w:rPr>
      </w:pPr>
      <w:r>
        <w:rPr>
          <w:rFonts w:ascii="Arial" w:cs="Arial" w:eastAsia="Arial" w:hAnsi="Arial"/>
          <w:sz w:val="13"/>
          <w:szCs w:val="13"/>
          <w:color w:val="auto"/>
        </w:rPr>
        <w:t>The purpose of this Western Digital Corporation 2017 Performance Incentive Plan (formerly the “Western Digital Corporation 2004 Performance Incentive Plan” and referred to herein as this “</w:t>
      </w:r>
      <w:r>
        <w:rPr>
          <w:rFonts w:ascii="Arial" w:cs="Arial" w:eastAsia="Arial" w:hAnsi="Arial"/>
          <w:sz w:val="13"/>
          <w:szCs w:val="13"/>
          <w:b w:val="1"/>
          <w:bCs w:val="1"/>
          <w:color w:val="auto"/>
        </w:rPr>
        <w:t>Plan</w:t>
      </w:r>
      <w:r>
        <w:rPr>
          <w:rFonts w:ascii="Arial" w:cs="Arial" w:eastAsia="Arial" w:hAnsi="Arial"/>
          <w:sz w:val="13"/>
          <w:szCs w:val="13"/>
          <w:color w:val="auto"/>
        </w:rPr>
        <w:t>”) of Western Digital Corporation, a Delaware corporation (the “</w:t>
      </w:r>
      <w:r>
        <w:rPr>
          <w:rFonts w:ascii="Arial" w:cs="Arial" w:eastAsia="Arial" w:hAnsi="Arial"/>
          <w:sz w:val="13"/>
          <w:szCs w:val="13"/>
          <w:b w:val="1"/>
          <w:bCs w:val="1"/>
          <w:color w:val="auto"/>
        </w:rPr>
        <w:t>Corporation</w:t>
      </w:r>
      <w:r>
        <w:rPr>
          <w:rFonts w:ascii="Arial" w:cs="Arial" w:eastAsia="Arial" w:hAnsi="Arial"/>
          <w:sz w:val="13"/>
          <w:szCs w:val="13"/>
          <w:color w:val="auto"/>
        </w:rPr>
        <w:t>”), is to promote the success of the Corporation and to increase stockholder value by providing an additional means through the grant of awards to attract, motivate, retain and reward selected employees and other eligible persons.</w:t>
      </w:r>
    </w:p>
    <w:p>
      <w:pPr>
        <w:spacing w:after="0" w:line="114" w:lineRule="exact"/>
        <w:rPr>
          <w:rFonts w:ascii="Arial" w:cs="Arial" w:eastAsia="Arial" w:hAnsi="Arial"/>
          <w:sz w:val="13"/>
          <w:szCs w:val="13"/>
          <w:b w:val="1"/>
          <w:bCs w:val="1"/>
          <w:color w:val="23628F"/>
        </w:rPr>
      </w:pPr>
    </w:p>
    <w:p>
      <w:pPr>
        <w:ind w:left="380" w:hanging="372"/>
        <w:spacing w:after="0"/>
        <w:tabs>
          <w:tab w:leader="none" w:pos="380" w:val="left"/>
        </w:tabs>
        <w:numPr>
          <w:ilvl w:val="0"/>
          <w:numId w:val="250"/>
        </w:numPr>
        <w:rPr>
          <w:rFonts w:ascii="Arial" w:cs="Arial" w:eastAsia="Arial" w:hAnsi="Arial"/>
          <w:sz w:val="13"/>
          <w:szCs w:val="13"/>
          <w:b w:val="1"/>
          <w:bCs w:val="1"/>
          <w:color w:val="23628F"/>
        </w:rPr>
      </w:pPr>
      <w:r>
        <w:rPr>
          <w:rFonts w:ascii="Arial" w:cs="Arial" w:eastAsia="Arial" w:hAnsi="Arial"/>
          <w:sz w:val="13"/>
          <w:szCs w:val="13"/>
          <w:b w:val="1"/>
          <w:bCs w:val="1"/>
          <w:color w:val="23628F"/>
        </w:rPr>
        <w:t>ELIGIBILITY</w:t>
      </w:r>
    </w:p>
    <w:p>
      <w:pPr>
        <w:spacing w:after="0" w:line="162" w:lineRule="exact"/>
        <w:rPr>
          <w:rFonts w:ascii="Arial" w:cs="Arial" w:eastAsia="Arial" w:hAnsi="Arial"/>
          <w:sz w:val="13"/>
          <w:szCs w:val="13"/>
          <w:b w:val="1"/>
          <w:bCs w:val="1"/>
          <w:color w:val="23628F"/>
        </w:rPr>
      </w:pPr>
    </w:p>
    <w:p>
      <w:pPr>
        <w:ind w:left="380"/>
        <w:spacing w:after="0"/>
        <w:rPr>
          <w:rFonts w:ascii="Arial" w:cs="Arial" w:eastAsia="Arial" w:hAnsi="Arial"/>
          <w:sz w:val="13"/>
          <w:szCs w:val="13"/>
          <w:b w:val="1"/>
          <w:bCs w:val="1"/>
          <w:color w:val="23628F"/>
        </w:rPr>
      </w:pPr>
      <w:r>
        <w:rPr>
          <w:rFonts w:ascii="Arial" w:cs="Arial" w:eastAsia="Arial" w:hAnsi="Arial"/>
          <w:sz w:val="13"/>
          <w:szCs w:val="13"/>
          <w:color w:val="auto"/>
        </w:rPr>
        <w:t>The Administrator (as such term is defined in Section 3.1) may grant awards under this Plan only to those persons that the Administrator determines to be Eligible Persons. An</w:t>
      </w:r>
    </w:p>
    <w:p>
      <w:pPr>
        <w:ind w:left="380"/>
        <w:spacing w:after="0"/>
        <w:rPr>
          <w:rFonts w:ascii="Arial" w:cs="Arial" w:eastAsia="Arial" w:hAnsi="Arial"/>
          <w:sz w:val="13"/>
          <w:szCs w:val="13"/>
          <w:b w:val="1"/>
          <w:bCs w:val="1"/>
          <w:color w:val="23628F"/>
        </w:rPr>
      </w:pPr>
      <w:r>
        <w:rPr>
          <w:rFonts w:ascii="Arial" w:cs="Arial" w:eastAsia="Arial" w:hAnsi="Arial"/>
          <w:sz w:val="13"/>
          <w:szCs w:val="13"/>
          <w:color w:val="auto"/>
        </w:rPr>
        <w:t>“</w:t>
      </w:r>
      <w:r>
        <w:rPr>
          <w:rFonts w:ascii="Arial" w:cs="Arial" w:eastAsia="Arial" w:hAnsi="Arial"/>
          <w:sz w:val="13"/>
          <w:szCs w:val="13"/>
          <w:b w:val="1"/>
          <w:bCs w:val="1"/>
          <w:color w:val="auto"/>
        </w:rPr>
        <w:t>Eligible Person</w:t>
      </w:r>
      <w:r>
        <w:rPr>
          <w:rFonts w:ascii="Arial" w:cs="Arial" w:eastAsia="Arial" w:hAnsi="Arial"/>
          <w:sz w:val="13"/>
          <w:szCs w:val="13"/>
          <w:color w:val="auto"/>
        </w:rPr>
        <w:t>” is any person who is either: (a) an officer (whether or not a director) or employee of the Corporation or one of its Subsidiaries; (b) a member of the Board; or (c) an individual consultant or advisor who renders or has rendered bona fide services (other than services in connection with the offering or sale of securities of the Corporation or one of its Subsidiaries in a capital-raising transaction or as a market maker or promoter of securities of the Corporation or one of its Subsidiaries) to the Corporation or one of its Subsidiaries and who is selected to participate in this Plan by the Administrator; provided, however, that a person who is otherwise an Eligible Person under clause (c) above may participate in this Plan only if such participation would not adversely affect either the Corporation’s eligibility to use Form S-8 to register under the Securities Act of 1933, as amended (the “</w:t>
      </w:r>
      <w:r>
        <w:rPr>
          <w:rFonts w:ascii="Arial" w:cs="Arial" w:eastAsia="Arial" w:hAnsi="Arial"/>
          <w:sz w:val="13"/>
          <w:szCs w:val="13"/>
          <w:b w:val="1"/>
          <w:bCs w:val="1"/>
          <w:color w:val="auto"/>
        </w:rPr>
        <w:t>Securities Act</w:t>
      </w:r>
      <w:r>
        <w:rPr>
          <w:rFonts w:ascii="Arial" w:cs="Arial" w:eastAsia="Arial" w:hAnsi="Arial"/>
          <w:sz w:val="13"/>
          <w:szCs w:val="13"/>
          <w:color w:val="auto"/>
        </w:rPr>
        <w:t>”), the offering and sale of shares issuable under this Plan by the Corporation or the Corporation’s compliance with any other applicable laws. An Eligible Person who has been granted an award (a “participant”) may, if otherwise eligible, be granted additional awards if the Administrator shall so determine. As used herein, “</w:t>
      </w:r>
      <w:r>
        <w:rPr>
          <w:rFonts w:ascii="Arial" w:cs="Arial" w:eastAsia="Arial" w:hAnsi="Arial"/>
          <w:sz w:val="13"/>
          <w:szCs w:val="13"/>
          <w:b w:val="1"/>
          <w:bCs w:val="1"/>
          <w:color w:val="auto"/>
        </w:rPr>
        <w:t>Subsidiary</w:t>
      </w:r>
      <w:r>
        <w:rPr>
          <w:rFonts w:ascii="Arial" w:cs="Arial" w:eastAsia="Arial" w:hAnsi="Arial"/>
          <w:sz w:val="13"/>
          <w:szCs w:val="13"/>
          <w:color w:val="auto"/>
        </w:rPr>
        <w:t>” means any corporation or other entity a majority of whose outstanding voting stock or voting power is beneficially owned directly or indirectly by the Corporation; and “</w:t>
      </w:r>
      <w:r>
        <w:rPr>
          <w:rFonts w:ascii="Arial" w:cs="Arial" w:eastAsia="Arial" w:hAnsi="Arial"/>
          <w:sz w:val="13"/>
          <w:szCs w:val="13"/>
          <w:b w:val="1"/>
          <w:bCs w:val="1"/>
          <w:color w:val="auto"/>
        </w:rPr>
        <w:t>Board</w:t>
      </w:r>
      <w:r>
        <w:rPr>
          <w:rFonts w:ascii="Arial" w:cs="Arial" w:eastAsia="Arial" w:hAnsi="Arial"/>
          <w:sz w:val="13"/>
          <w:szCs w:val="13"/>
          <w:color w:val="auto"/>
        </w:rPr>
        <w:t>” means the Board of Directors of the Corporation.</w:t>
      </w:r>
    </w:p>
    <w:p>
      <w:pPr>
        <w:spacing w:after="0" w:line="273" w:lineRule="exact"/>
        <w:rPr>
          <w:rFonts w:ascii="Arial" w:cs="Arial" w:eastAsia="Arial" w:hAnsi="Arial"/>
          <w:sz w:val="13"/>
          <w:szCs w:val="13"/>
          <w:b w:val="1"/>
          <w:bCs w:val="1"/>
          <w:color w:val="23628F"/>
        </w:rPr>
      </w:pPr>
    </w:p>
    <w:p>
      <w:pPr>
        <w:ind w:left="380" w:hanging="372"/>
        <w:spacing w:after="0"/>
        <w:tabs>
          <w:tab w:leader="none" w:pos="380" w:val="left"/>
        </w:tabs>
        <w:numPr>
          <w:ilvl w:val="0"/>
          <w:numId w:val="250"/>
        </w:numPr>
        <w:rPr>
          <w:rFonts w:ascii="Arial" w:cs="Arial" w:eastAsia="Arial" w:hAnsi="Arial"/>
          <w:sz w:val="13"/>
          <w:szCs w:val="13"/>
          <w:b w:val="1"/>
          <w:bCs w:val="1"/>
          <w:color w:val="23628F"/>
        </w:rPr>
      </w:pPr>
      <w:r>
        <w:rPr>
          <w:rFonts w:ascii="Arial" w:cs="Arial" w:eastAsia="Arial" w:hAnsi="Arial"/>
          <w:sz w:val="13"/>
          <w:szCs w:val="13"/>
          <w:b w:val="1"/>
          <w:bCs w:val="1"/>
          <w:color w:val="23628F"/>
        </w:rPr>
        <w:t>PLAN ADMINISTRATION</w:t>
      </w:r>
    </w:p>
    <w:p>
      <w:pPr>
        <w:spacing w:after="0" w:line="147" w:lineRule="exact"/>
        <w:rPr>
          <w:rFonts w:ascii="Arial" w:cs="Arial" w:eastAsia="Arial" w:hAnsi="Arial"/>
          <w:sz w:val="13"/>
          <w:szCs w:val="13"/>
          <w:b w:val="1"/>
          <w:bCs w:val="1"/>
          <w:color w:val="23628F"/>
        </w:rPr>
      </w:pPr>
    </w:p>
    <w:p>
      <w:pPr>
        <w:ind w:left="760" w:right="80" w:hanging="378"/>
        <w:spacing w:after="0" w:line="244" w:lineRule="auto"/>
        <w:rPr>
          <w:rFonts w:ascii="Arial" w:cs="Arial" w:eastAsia="Arial" w:hAnsi="Arial"/>
          <w:sz w:val="13"/>
          <w:szCs w:val="13"/>
          <w:b w:val="1"/>
          <w:bCs w:val="1"/>
          <w:color w:val="23628F"/>
        </w:rPr>
      </w:pPr>
      <w:r>
        <w:rPr>
          <w:rFonts w:ascii="Arial" w:cs="Arial" w:eastAsia="Arial" w:hAnsi="Arial"/>
          <w:sz w:val="13"/>
          <w:szCs w:val="13"/>
          <w:b w:val="1"/>
          <w:bCs w:val="1"/>
          <w:color w:val="auto"/>
        </w:rPr>
        <w:t xml:space="preserve">3.1 </w:t>
      </w:r>
      <w:r>
        <w:rPr>
          <w:rFonts w:ascii="Arial" w:cs="Arial" w:eastAsia="Arial" w:hAnsi="Arial"/>
          <w:sz w:val="13"/>
          <w:szCs w:val="13"/>
          <w:b w:val="1"/>
          <w:bCs w:val="1"/>
          <w:i w:val="1"/>
          <w:iCs w:val="1"/>
          <w:color w:val="auto"/>
        </w:rPr>
        <w:t>The Administrator.</w:t>
      </w:r>
      <w:r>
        <w:rPr>
          <w:rFonts w:ascii="Arial" w:cs="Arial" w:eastAsia="Arial" w:hAnsi="Arial"/>
          <w:sz w:val="13"/>
          <w:szCs w:val="13"/>
          <w:b w:val="1"/>
          <w:bCs w:val="1"/>
          <w:color w:val="auto"/>
        </w:rPr>
        <w:t xml:space="preserve"> </w:t>
      </w:r>
      <w:r>
        <w:rPr>
          <w:rFonts w:ascii="Arial" w:cs="Arial" w:eastAsia="Arial" w:hAnsi="Arial"/>
          <w:sz w:val="13"/>
          <w:szCs w:val="13"/>
          <w:color w:val="auto"/>
        </w:rPr>
        <w:t>This Plan shall be administered by and all awards under this Plan shall be authorized by the Administrator. The “</w:t>
      </w:r>
      <w:r>
        <w:rPr>
          <w:rFonts w:ascii="Arial" w:cs="Arial" w:eastAsia="Arial" w:hAnsi="Arial"/>
          <w:sz w:val="13"/>
          <w:szCs w:val="13"/>
          <w:b w:val="1"/>
          <w:bCs w:val="1"/>
          <w:color w:val="auto"/>
        </w:rPr>
        <w:t>Administrator</w:t>
      </w:r>
      <w:r>
        <w:rPr>
          <w:rFonts w:ascii="Arial" w:cs="Arial" w:eastAsia="Arial" w:hAnsi="Arial"/>
          <w:sz w:val="13"/>
          <w:szCs w:val="13"/>
          <w:color w:val="auto"/>
        </w:rPr>
        <w:t>” means the Board or one</w:t>
      </w:r>
      <w:r>
        <w:rPr>
          <w:rFonts w:ascii="Arial" w:cs="Arial" w:eastAsia="Arial" w:hAnsi="Arial"/>
          <w:sz w:val="13"/>
          <w:szCs w:val="13"/>
          <w:b w:val="1"/>
          <w:bCs w:val="1"/>
          <w:color w:val="auto"/>
        </w:rPr>
        <w:t xml:space="preserve"> </w:t>
      </w:r>
      <w:r>
        <w:rPr>
          <w:rFonts w:ascii="Arial" w:cs="Arial" w:eastAsia="Arial" w:hAnsi="Arial"/>
          <w:sz w:val="13"/>
          <w:szCs w:val="13"/>
          <w:color w:val="auto"/>
        </w:rPr>
        <w:t>or more committees appointed by the Board or another committee (within its delegated authority) to administer all or certain aspects of this Plan. Any such committee shall be comprised solely of one or more directors or such number of directors as may be required under applicable law. A committee may delegate some or all of its authority to another committee so constituted. The Board or a committee comprised solely of directors may also delegate, to the extent permitted by applicable law, to one or more officers of the Corporation, its powers under this Plan. The Board may delegate different levels of authority to different committees with administrative and grant authority under this Plan. Unless otherwise provided in the Bylaws of the Corporation or the applicable charter of any Administrator: (x) a majority of the members of the acting Administrator shall constitute a quorum, and (y) the vote of a majority of the members present assuming the presence of a quorum or the unanimous written consent of the members of the Administrator shall constitute action by the acting Administrator.</w:t>
      </w:r>
    </w:p>
    <w:p>
      <w:pPr>
        <w:spacing w:after="0" w:line="147" w:lineRule="exact"/>
        <w:rPr>
          <w:rFonts w:ascii="Arial" w:cs="Arial" w:eastAsia="Arial" w:hAnsi="Arial"/>
          <w:sz w:val="13"/>
          <w:szCs w:val="13"/>
          <w:b w:val="1"/>
          <w:bCs w:val="1"/>
          <w:color w:val="23628F"/>
        </w:rPr>
      </w:pPr>
    </w:p>
    <w:p>
      <w:pPr>
        <w:ind w:left="760" w:right="120" w:hanging="378"/>
        <w:spacing w:after="0" w:line="261" w:lineRule="auto"/>
        <w:rPr>
          <w:rFonts w:ascii="Arial" w:cs="Arial" w:eastAsia="Arial" w:hAnsi="Arial"/>
          <w:sz w:val="13"/>
          <w:szCs w:val="13"/>
          <w:b w:val="1"/>
          <w:bCs w:val="1"/>
          <w:color w:val="23628F"/>
        </w:rPr>
      </w:pPr>
      <w:r>
        <w:rPr>
          <w:rFonts w:ascii="Arial" w:cs="Arial" w:eastAsia="Arial" w:hAnsi="Arial"/>
          <w:sz w:val="13"/>
          <w:szCs w:val="13"/>
          <w:b w:val="1"/>
          <w:bCs w:val="1"/>
          <w:color w:val="auto"/>
        </w:rPr>
        <w:t xml:space="preserve">3.2 </w:t>
      </w:r>
      <w:r>
        <w:rPr>
          <w:rFonts w:ascii="Arial" w:cs="Arial" w:eastAsia="Arial" w:hAnsi="Arial"/>
          <w:sz w:val="13"/>
          <w:szCs w:val="13"/>
          <w:b w:val="1"/>
          <w:bCs w:val="1"/>
          <w:i w:val="1"/>
          <w:iCs w:val="1"/>
          <w:color w:val="auto"/>
        </w:rPr>
        <w:t>Powers of the Administrator.</w:t>
      </w:r>
      <w:r>
        <w:rPr>
          <w:rFonts w:ascii="Arial" w:cs="Arial" w:eastAsia="Arial" w:hAnsi="Arial"/>
          <w:sz w:val="13"/>
          <w:szCs w:val="13"/>
          <w:b w:val="1"/>
          <w:bCs w:val="1"/>
          <w:color w:val="auto"/>
        </w:rPr>
        <w:t xml:space="preserve"> </w:t>
      </w:r>
      <w:r>
        <w:rPr>
          <w:rFonts w:ascii="Arial" w:cs="Arial" w:eastAsia="Arial" w:hAnsi="Arial"/>
          <w:sz w:val="13"/>
          <w:szCs w:val="13"/>
          <w:color w:val="auto"/>
        </w:rPr>
        <w:t>Subject to the express provisions of this Plan, the Administrator is authorized and empowered to do all things necessary or desirable in</w:t>
      </w:r>
      <w:r>
        <w:rPr>
          <w:rFonts w:ascii="Arial" w:cs="Arial" w:eastAsia="Arial" w:hAnsi="Arial"/>
          <w:sz w:val="13"/>
          <w:szCs w:val="13"/>
          <w:b w:val="1"/>
          <w:bCs w:val="1"/>
          <w:color w:val="auto"/>
        </w:rPr>
        <w:t xml:space="preserve"> </w:t>
      </w:r>
      <w:r>
        <w:rPr>
          <w:rFonts w:ascii="Arial" w:cs="Arial" w:eastAsia="Arial" w:hAnsi="Arial"/>
          <w:sz w:val="13"/>
          <w:szCs w:val="13"/>
          <w:color w:val="auto"/>
        </w:rPr>
        <w:t>connection with the authorization of awards and the administration of this Plan (in the case of a committee or delegation to one or more officers, within the authority delegated to that committee or person(s)), including, without limitation, the authority to:</w:t>
      </w:r>
    </w:p>
    <w:p>
      <w:pPr>
        <w:spacing w:after="0" w:line="149" w:lineRule="exact"/>
        <w:rPr>
          <w:rFonts w:ascii="Arial" w:cs="Arial" w:eastAsia="Arial" w:hAnsi="Arial"/>
          <w:sz w:val="13"/>
          <w:szCs w:val="13"/>
          <w:b w:val="1"/>
          <w:bCs w:val="1"/>
          <w:color w:val="23628F"/>
        </w:rPr>
      </w:pPr>
    </w:p>
    <w:p>
      <w:pPr>
        <w:ind w:left="1140" w:hanging="376"/>
        <w:spacing w:after="0"/>
        <w:tabs>
          <w:tab w:leader="none" w:pos="1140" w:val="left"/>
        </w:tabs>
        <w:numPr>
          <w:ilvl w:val="1"/>
          <w:numId w:val="250"/>
        </w:numPr>
        <w:rPr>
          <w:rFonts w:ascii="Arial" w:cs="Arial" w:eastAsia="Arial" w:hAnsi="Arial"/>
          <w:sz w:val="13"/>
          <w:szCs w:val="13"/>
          <w:color w:val="auto"/>
        </w:rPr>
      </w:pPr>
      <w:r>
        <w:rPr>
          <w:rFonts w:ascii="Arial" w:cs="Arial" w:eastAsia="Arial" w:hAnsi="Arial"/>
          <w:sz w:val="13"/>
          <w:szCs w:val="13"/>
          <w:color w:val="auto"/>
        </w:rPr>
        <w:t>determine eligibility and, from among those persons determined to be eligible, the particular Eligible Persons who will receive an award under this Plan;</w:t>
      </w:r>
    </w:p>
    <w:p>
      <w:pPr>
        <w:spacing w:after="0" w:line="197" w:lineRule="exact"/>
        <w:rPr>
          <w:sz w:val="20"/>
          <w:szCs w:val="20"/>
          <w:color w:val="auto"/>
        </w:rPr>
      </w:pPr>
    </w:p>
    <w:p>
      <w:pPr>
        <w:jc w:val="right"/>
        <w:spacing w:after="0"/>
        <w:tabs>
          <w:tab w:leader="none" w:pos="260" w:val="left"/>
        </w:tabs>
        <w:rPr>
          <w:sz w:val="20"/>
          <w:szCs w:val="20"/>
          <w:color w:val="auto"/>
        </w:rPr>
      </w:pPr>
      <w:r>
        <w:rPr>
          <w:rFonts w:ascii="Arial" w:cs="Arial" w:eastAsia="Arial" w:hAnsi="Arial"/>
          <w:sz w:val="13"/>
          <w:szCs w:val="13"/>
          <w:color w:val="23628F"/>
        </w:rPr>
        <w:t>2020 PROXY STATEMENT</w:t>
      </w:r>
      <w:r>
        <w:rPr>
          <w:sz w:val="20"/>
          <w:szCs w:val="20"/>
          <w:color w:val="auto"/>
        </w:rPr>
        <w:tab/>
      </w:r>
      <w:r>
        <w:rPr>
          <w:rFonts w:ascii="Arial" w:cs="Arial" w:eastAsia="Arial" w:hAnsi="Arial"/>
          <w:sz w:val="16"/>
          <w:szCs w:val="16"/>
          <w:b w:val="1"/>
          <w:bCs w:val="1"/>
          <w:color w:val="23628F"/>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153275" cy="209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23628F"/>
        </w:rPr>
        <w:t>APPENDIX B</w:t>
      </w:r>
    </w:p>
    <w:p>
      <w:pPr>
        <w:spacing w:after="0" w:line="215" w:lineRule="exact"/>
        <w:rPr>
          <w:sz w:val="20"/>
          <w:szCs w:val="20"/>
          <w:color w:val="auto"/>
        </w:rPr>
      </w:pPr>
    </w:p>
    <w:p>
      <w:pPr>
        <w:ind w:left="1140" w:hanging="376"/>
        <w:spacing w:after="0" w:line="241" w:lineRule="auto"/>
        <w:tabs>
          <w:tab w:leader="none" w:pos="1140" w:val="left"/>
        </w:tabs>
        <w:numPr>
          <w:ilvl w:val="0"/>
          <w:numId w:val="251"/>
        </w:numPr>
        <w:rPr>
          <w:rFonts w:ascii="Arial" w:cs="Arial" w:eastAsia="Arial" w:hAnsi="Arial"/>
          <w:sz w:val="13"/>
          <w:szCs w:val="13"/>
          <w:color w:val="auto"/>
        </w:rPr>
      </w:pPr>
      <w:r>
        <w:rPr>
          <w:rFonts w:ascii="Arial" w:cs="Arial" w:eastAsia="Arial" w:hAnsi="Arial"/>
          <w:sz w:val="13"/>
          <w:szCs w:val="13"/>
          <w:color w:val="auto"/>
        </w:rPr>
        <w:t>grant awards to Eligible Persons, determine the price (if any) at which securities will be offered or awarded and the number of securities to be offered or awarded to any of such persons (in the case of securities-based awards), determine the other specific terms and conditions of such awards consistent with the express limits of this Plan, establish the installment(s) (if any) in which such awards shall become exercisable or shall vest (which may include, without limitation, performance and/or time-based schedules), or determine that no delayed exercisability or vesting is required (subject to the minimum vesting rules of Section 5.1.5), establish any applicable performance-based exercisability or vesting requirements, determine the circumstances in which any performance-based goals (or the applicable measure of performance) will be adjusted and the nature and impact of any such adjustment, determine the extent (if any) to which any applicable exercise and vesting requirements have been satisfied, establish the events (if any) on which exercisability or vesting may accelerate (which may include, without limitation, retirement and other specified terminations of employment or services, or other circumstances), and establish the events (if any) of termination, expiration or reversion of such awards;</w:t>
      </w:r>
    </w:p>
    <w:p>
      <w:pPr>
        <w:spacing w:after="0" w:line="135" w:lineRule="exact"/>
        <w:rPr>
          <w:rFonts w:ascii="Arial" w:cs="Arial" w:eastAsia="Arial" w:hAnsi="Arial"/>
          <w:sz w:val="13"/>
          <w:szCs w:val="13"/>
          <w:color w:val="auto"/>
        </w:rPr>
      </w:pPr>
    </w:p>
    <w:p>
      <w:pPr>
        <w:ind w:left="1140" w:hanging="376"/>
        <w:spacing w:after="0"/>
        <w:tabs>
          <w:tab w:leader="none" w:pos="1140" w:val="left"/>
        </w:tabs>
        <w:numPr>
          <w:ilvl w:val="0"/>
          <w:numId w:val="251"/>
        </w:numPr>
        <w:rPr>
          <w:rFonts w:ascii="Arial" w:cs="Arial" w:eastAsia="Arial" w:hAnsi="Arial"/>
          <w:sz w:val="13"/>
          <w:szCs w:val="13"/>
          <w:color w:val="auto"/>
        </w:rPr>
      </w:pPr>
      <w:r>
        <w:rPr>
          <w:rFonts w:ascii="Arial" w:cs="Arial" w:eastAsia="Arial" w:hAnsi="Arial"/>
          <w:sz w:val="13"/>
          <w:szCs w:val="13"/>
          <w:color w:val="auto"/>
        </w:rPr>
        <w:t>approve the forms of award agreements (which need not be identical either as to type of award or among participants);</w:t>
      </w:r>
    </w:p>
    <w:p>
      <w:pPr>
        <w:spacing w:after="0" w:line="147" w:lineRule="exact"/>
        <w:rPr>
          <w:rFonts w:ascii="Arial" w:cs="Arial" w:eastAsia="Arial" w:hAnsi="Arial"/>
          <w:sz w:val="13"/>
          <w:szCs w:val="13"/>
          <w:color w:val="auto"/>
        </w:rPr>
      </w:pPr>
    </w:p>
    <w:p>
      <w:pPr>
        <w:ind w:left="1140" w:right="160" w:hanging="376"/>
        <w:spacing w:after="0" w:line="248" w:lineRule="auto"/>
        <w:tabs>
          <w:tab w:leader="none" w:pos="1140" w:val="left"/>
        </w:tabs>
        <w:numPr>
          <w:ilvl w:val="0"/>
          <w:numId w:val="251"/>
        </w:numPr>
        <w:rPr>
          <w:rFonts w:ascii="Arial" w:cs="Arial" w:eastAsia="Arial" w:hAnsi="Arial"/>
          <w:sz w:val="13"/>
          <w:szCs w:val="13"/>
          <w:color w:val="auto"/>
        </w:rPr>
      </w:pPr>
      <w:r>
        <w:rPr>
          <w:rFonts w:ascii="Arial" w:cs="Arial" w:eastAsia="Arial" w:hAnsi="Arial"/>
          <w:sz w:val="13"/>
          <w:szCs w:val="13"/>
          <w:color w:val="auto"/>
        </w:rPr>
        <w:t>construe and interpret this Plan and any agreements defining the rights and obligations of the Corporation, its Subsidiaries, and participants under this Plan, make any and all determinations necessary under this Plan and any such agreements, further define the terms used in this Plan, and prescribe, amend and rescind rules and regulations relating to the administration of this Plan or the awards granted under this Plan;</w:t>
      </w:r>
    </w:p>
    <w:p>
      <w:pPr>
        <w:spacing w:after="0" w:line="130" w:lineRule="exact"/>
        <w:rPr>
          <w:rFonts w:ascii="Arial" w:cs="Arial" w:eastAsia="Arial" w:hAnsi="Arial"/>
          <w:sz w:val="13"/>
          <w:szCs w:val="13"/>
          <w:color w:val="auto"/>
        </w:rPr>
      </w:pPr>
    </w:p>
    <w:p>
      <w:pPr>
        <w:ind w:left="1140" w:right="320" w:hanging="376"/>
        <w:spacing w:after="0" w:line="258" w:lineRule="auto"/>
        <w:tabs>
          <w:tab w:leader="none" w:pos="1140" w:val="left"/>
        </w:tabs>
        <w:numPr>
          <w:ilvl w:val="0"/>
          <w:numId w:val="251"/>
        </w:numPr>
        <w:rPr>
          <w:rFonts w:ascii="Arial" w:cs="Arial" w:eastAsia="Arial" w:hAnsi="Arial"/>
          <w:sz w:val="13"/>
          <w:szCs w:val="13"/>
          <w:color w:val="auto"/>
        </w:rPr>
      </w:pPr>
      <w:r>
        <w:rPr>
          <w:rFonts w:ascii="Arial" w:cs="Arial" w:eastAsia="Arial" w:hAnsi="Arial"/>
          <w:sz w:val="13"/>
          <w:szCs w:val="13"/>
          <w:color w:val="auto"/>
        </w:rPr>
        <w:t>cancel, modify, or waive the Corporation’s rights with respect to, or modify, discontinue, suspend, or terminate any or all outstanding awards, subject to any required consent under Section 8.6.5;</w:t>
      </w:r>
    </w:p>
    <w:p>
      <w:pPr>
        <w:spacing w:after="0" w:line="124" w:lineRule="exact"/>
        <w:rPr>
          <w:rFonts w:ascii="Arial" w:cs="Arial" w:eastAsia="Arial" w:hAnsi="Arial"/>
          <w:sz w:val="13"/>
          <w:szCs w:val="13"/>
          <w:color w:val="auto"/>
        </w:rPr>
      </w:pPr>
    </w:p>
    <w:p>
      <w:pPr>
        <w:ind w:left="1140" w:right="80" w:hanging="376"/>
        <w:spacing w:after="0" w:line="248" w:lineRule="auto"/>
        <w:tabs>
          <w:tab w:leader="none" w:pos="1140" w:val="left"/>
        </w:tabs>
        <w:numPr>
          <w:ilvl w:val="0"/>
          <w:numId w:val="251"/>
        </w:numPr>
        <w:rPr>
          <w:rFonts w:ascii="Arial" w:cs="Arial" w:eastAsia="Arial" w:hAnsi="Arial"/>
          <w:sz w:val="13"/>
          <w:szCs w:val="13"/>
          <w:color w:val="auto"/>
        </w:rPr>
      </w:pPr>
      <w:r>
        <w:rPr>
          <w:rFonts w:ascii="Arial" w:cs="Arial" w:eastAsia="Arial" w:hAnsi="Arial"/>
          <w:sz w:val="13"/>
          <w:szCs w:val="13"/>
          <w:color w:val="auto"/>
        </w:rPr>
        <w:t>accelerate, waive or extend the vesting or exercisability, or modify or extend the term of, any or all such outstanding awards (in the case of options or stock appreciation rights, within the maximum term of such awards) in such circumstances as the Administrator may deem appropriate (including, without limitation, in connection with a termination of employment or services or other events of a personal nature) subject to any required consent under Section 8.6.5;</w:t>
      </w:r>
    </w:p>
    <w:p>
      <w:pPr>
        <w:spacing w:after="0" w:line="130" w:lineRule="exact"/>
        <w:rPr>
          <w:rFonts w:ascii="Arial" w:cs="Arial" w:eastAsia="Arial" w:hAnsi="Arial"/>
          <w:sz w:val="13"/>
          <w:szCs w:val="13"/>
          <w:color w:val="auto"/>
        </w:rPr>
      </w:pPr>
    </w:p>
    <w:p>
      <w:pPr>
        <w:ind w:left="1140" w:right="100" w:hanging="376"/>
        <w:spacing w:after="0" w:line="248" w:lineRule="auto"/>
        <w:tabs>
          <w:tab w:leader="none" w:pos="1140" w:val="left"/>
        </w:tabs>
        <w:numPr>
          <w:ilvl w:val="0"/>
          <w:numId w:val="251"/>
        </w:numPr>
        <w:rPr>
          <w:rFonts w:ascii="Arial" w:cs="Arial" w:eastAsia="Arial" w:hAnsi="Arial"/>
          <w:sz w:val="13"/>
          <w:szCs w:val="13"/>
          <w:color w:val="auto"/>
        </w:rPr>
      </w:pPr>
      <w:r>
        <w:rPr>
          <w:rFonts w:ascii="Arial" w:cs="Arial" w:eastAsia="Arial" w:hAnsi="Arial"/>
          <w:sz w:val="13"/>
          <w:szCs w:val="13"/>
          <w:color w:val="auto"/>
        </w:rPr>
        <w:t>adjust the number of shares of Common Stock subject to any award, adjust the price of any or all outstanding awards or otherwise waive or change previously imposed terms and conditions, in such circumstances as the Administrator may deem appropriate, in each case subject to Sections 4 and 8.6 (and subject to the no repricing provision below);</w:t>
      </w:r>
    </w:p>
    <w:p>
      <w:pPr>
        <w:spacing w:after="0" w:line="130" w:lineRule="exact"/>
        <w:rPr>
          <w:rFonts w:ascii="Arial" w:cs="Arial" w:eastAsia="Arial" w:hAnsi="Arial"/>
          <w:sz w:val="13"/>
          <w:szCs w:val="13"/>
          <w:color w:val="auto"/>
        </w:rPr>
      </w:pPr>
    </w:p>
    <w:p>
      <w:pPr>
        <w:ind w:left="1140" w:right="20" w:hanging="376"/>
        <w:spacing w:after="0" w:line="248" w:lineRule="auto"/>
        <w:tabs>
          <w:tab w:leader="none" w:pos="1140" w:val="left"/>
        </w:tabs>
        <w:numPr>
          <w:ilvl w:val="0"/>
          <w:numId w:val="251"/>
        </w:numPr>
        <w:rPr>
          <w:rFonts w:ascii="Arial" w:cs="Arial" w:eastAsia="Arial" w:hAnsi="Arial"/>
          <w:sz w:val="13"/>
          <w:szCs w:val="13"/>
          <w:color w:val="auto"/>
        </w:rPr>
      </w:pPr>
      <w:r>
        <w:rPr>
          <w:rFonts w:ascii="Arial" w:cs="Arial" w:eastAsia="Arial" w:hAnsi="Arial"/>
          <w:sz w:val="13"/>
          <w:szCs w:val="13"/>
          <w:color w:val="auto"/>
        </w:rPr>
        <w:t>determine the date of grant of an award, which may be a designated date after but not before the date of the Administrator’s action (unless otherwise designated by the Administrator, the date of grant of an award shall be the date upon which the Administrator took the action granting an award); provided, that the grant date of any award may not be modified once such grant date has occurred;</w:t>
      </w:r>
    </w:p>
    <w:p>
      <w:pPr>
        <w:spacing w:after="0" w:line="130" w:lineRule="exact"/>
        <w:rPr>
          <w:rFonts w:ascii="Arial" w:cs="Arial" w:eastAsia="Arial" w:hAnsi="Arial"/>
          <w:sz w:val="13"/>
          <w:szCs w:val="13"/>
          <w:color w:val="auto"/>
        </w:rPr>
      </w:pPr>
    </w:p>
    <w:p>
      <w:pPr>
        <w:ind w:left="1140" w:right="60" w:hanging="376"/>
        <w:spacing w:after="0" w:line="258" w:lineRule="auto"/>
        <w:tabs>
          <w:tab w:leader="none" w:pos="1140" w:val="left"/>
        </w:tabs>
        <w:numPr>
          <w:ilvl w:val="0"/>
          <w:numId w:val="251"/>
        </w:numPr>
        <w:rPr>
          <w:rFonts w:ascii="Arial" w:cs="Arial" w:eastAsia="Arial" w:hAnsi="Arial"/>
          <w:sz w:val="13"/>
          <w:szCs w:val="13"/>
          <w:color w:val="auto"/>
        </w:rPr>
      </w:pPr>
      <w:r>
        <w:rPr>
          <w:rFonts w:ascii="Arial" w:cs="Arial" w:eastAsia="Arial" w:hAnsi="Arial"/>
          <w:sz w:val="13"/>
          <w:szCs w:val="13"/>
          <w:color w:val="auto"/>
        </w:rPr>
        <w:t>determine whether, and the extent to which, adjustments are required pursuant to Section 7 hereof and authorize the termination, conversion, substitution or succession of awards upon the occurrence of an event of the type described in Section 7;</w:t>
      </w:r>
    </w:p>
    <w:p>
      <w:pPr>
        <w:spacing w:after="0" w:line="124" w:lineRule="exact"/>
        <w:rPr>
          <w:rFonts w:ascii="Arial" w:cs="Arial" w:eastAsia="Arial" w:hAnsi="Arial"/>
          <w:sz w:val="13"/>
          <w:szCs w:val="13"/>
          <w:color w:val="auto"/>
        </w:rPr>
      </w:pPr>
    </w:p>
    <w:p>
      <w:pPr>
        <w:ind w:left="1140" w:right="420" w:hanging="376"/>
        <w:spacing w:after="0" w:line="258" w:lineRule="auto"/>
        <w:tabs>
          <w:tab w:leader="none" w:pos="1140" w:val="left"/>
        </w:tabs>
        <w:numPr>
          <w:ilvl w:val="0"/>
          <w:numId w:val="251"/>
        </w:numPr>
        <w:rPr>
          <w:rFonts w:ascii="Arial" w:cs="Arial" w:eastAsia="Arial" w:hAnsi="Arial"/>
          <w:sz w:val="13"/>
          <w:szCs w:val="13"/>
          <w:color w:val="auto"/>
        </w:rPr>
      </w:pPr>
      <w:r>
        <w:rPr>
          <w:rFonts w:ascii="Arial" w:cs="Arial" w:eastAsia="Arial" w:hAnsi="Arial"/>
          <w:sz w:val="13"/>
          <w:szCs w:val="13"/>
          <w:color w:val="auto"/>
        </w:rPr>
        <w:t>acquire or settle (subject to Sections 7 and 8.6) rights under awards in cash, stock of equivalent value, or other consideration (subject to the no repricing provision below); and</w:t>
      </w:r>
    </w:p>
    <w:p>
      <w:pPr>
        <w:spacing w:after="0" w:line="124" w:lineRule="exact"/>
        <w:rPr>
          <w:rFonts w:ascii="Arial" w:cs="Arial" w:eastAsia="Arial" w:hAnsi="Arial"/>
          <w:sz w:val="13"/>
          <w:szCs w:val="13"/>
          <w:color w:val="auto"/>
        </w:rPr>
      </w:pPr>
    </w:p>
    <w:p>
      <w:pPr>
        <w:ind w:left="1140" w:hanging="376"/>
        <w:spacing w:after="0"/>
        <w:tabs>
          <w:tab w:leader="none" w:pos="1140" w:val="left"/>
        </w:tabs>
        <w:numPr>
          <w:ilvl w:val="0"/>
          <w:numId w:val="251"/>
        </w:numPr>
        <w:rPr>
          <w:rFonts w:ascii="Arial" w:cs="Arial" w:eastAsia="Arial" w:hAnsi="Arial"/>
          <w:sz w:val="13"/>
          <w:szCs w:val="13"/>
          <w:color w:val="auto"/>
        </w:rPr>
      </w:pPr>
      <w:r>
        <w:rPr>
          <w:rFonts w:ascii="Arial" w:cs="Arial" w:eastAsia="Arial" w:hAnsi="Arial"/>
          <w:sz w:val="13"/>
          <w:szCs w:val="13"/>
          <w:color w:val="auto"/>
        </w:rPr>
        <w:t>determine the fair market value of the Common Stock or awards under this Plan from time to time and/or the manner in which such value will be determined.</w:t>
      </w:r>
    </w:p>
    <w:p>
      <w:pPr>
        <w:spacing w:after="0" w:line="147" w:lineRule="exact"/>
        <w:rPr>
          <w:rFonts w:ascii="Arial" w:cs="Arial" w:eastAsia="Arial" w:hAnsi="Arial"/>
          <w:sz w:val="13"/>
          <w:szCs w:val="13"/>
          <w:color w:val="auto"/>
        </w:rPr>
      </w:pPr>
    </w:p>
    <w:p>
      <w:pPr>
        <w:ind w:left="1140"/>
        <w:spacing w:after="0" w:line="245" w:lineRule="auto"/>
        <w:rPr>
          <w:rFonts w:ascii="Arial" w:cs="Arial" w:eastAsia="Arial" w:hAnsi="Arial"/>
          <w:sz w:val="13"/>
          <w:szCs w:val="13"/>
          <w:color w:val="auto"/>
        </w:rPr>
      </w:pPr>
      <w:r>
        <w:rPr>
          <w:rFonts w:ascii="Arial" w:cs="Arial" w:eastAsia="Arial" w:hAnsi="Arial"/>
          <w:sz w:val="13"/>
          <w:szCs w:val="13"/>
          <w:color w:val="auto"/>
        </w:rPr>
        <w:t>Notwithstanding the foregoing and except for an adjustment pursuant to Section 7.1 or a repricing approved by stockholders, in no case may the Administrator (1) amend an outstanding stock option or SAR to reduce the exercise price or base price of the award, (2) cancel, exchange, replace or surrender an outstanding stock option or SAR in exchange for cash or other awards for the purpose of repricing the award, or (3) cancel, exchange, or surrender an outstanding stock option or SAR in exchange for an option or SAR with an exercise or base price that is less than the exercise or base price of the original award.</w:t>
      </w:r>
    </w:p>
    <w:p>
      <w:pPr>
        <w:spacing w:after="0" w:line="116" w:lineRule="exact"/>
        <w:rPr>
          <w:sz w:val="20"/>
          <w:szCs w:val="20"/>
          <w:color w:val="auto"/>
        </w:rPr>
      </w:pPr>
    </w:p>
    <w:p>
      <w:pPr>
        <w:ind w:left="760" w:right="60" w:hanging="377"/>
        <w:spacing w:after="0" w:line="261" w:lineRule="auto"/>
        <w:tabs>
          <w:tab w:leader="none" w:pos="740" w:val="left"/>
        </w:tabs>
        <w:rPr>
          <w:sz w:val="20"/>
          <w:szCs w:val="20"/>
          <w:color w:val="auto"/>
        </w:rPr>
      </w:pPr>
      <w:r>
        <w:rPr>
          <w:rFonts w:ascii="Arial" w:cs="Arial" w:eastAsia="Arial" w:hAnsi="Arial"/>
          <w:sz w:val="13"/>
          <w:szCs w:val="13"/>
          <w:b w:val="1"/>
          <w:bCs w:val="1"/>
          <w:color w:val="auto"/>
        </w:rPr>
        <w:t>3.3</w:t>
      </w:r>
      <w:r>
        <w:rPr>
          <w:sz w:val="20"/>
          <w:szCs w:val="20"/>
          <w:color w:val="auto"/>
        </w:rPr>
        <w:tab/>
      </w:r>
      <w:r>
        <w:rPr>
          <w:rFonts w:ascii="Arial" w:cs="Arial" w:eastAsia="Arial" w:hAnsi="Arial"/>
          <w:sz w:val="13"/>
          <w:szCs w:val="13"/>
          <w:b w:val="1"/>
          <w:bCs w:val="1"/>
          <w:i w:val="1"/>
          <w:iCs w:val="1"/>
          <w:color w:val="auto"/>
        </w:rPr>
        <w:t xml:space="preserve">Binding Determinations. </w:t>
      </w:r>
      <w:r>
        <w:rPr>
          <w:rFonts w:ascii="Arial" w:cs="Arial" w:eastAsia="Arial" w:hAnsi="Arial"/>
          <w:sz w:val="13"/>
          <w:szCs w:val="13"/>
          <w:color w:val="auto"/>
        </w:rPr>
        <w:t>Any determination or other action taken by, or inaction of, the Corporation, any Subsidiary, or the Administrator relating or pursuant to this Plan (or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any award made under this Plan) and within its authority hereunder or under applicable law shall be within the absolute discretion of that entity or body and shall be conclusive and binding upon all persons. Neither the Board nor any Board committee,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23628F"/>
        </w:rPr>
        <w:t xml:space="preserve">B-2  </w:t>
      </w:r>
      <w:r>
        <w:rPr>
          <w:rFonts w:ascii="Arial" w:cs="Arial" w:eastAsia="Arial" w:hAnsi="Arial"/>
          <w:sz w:val="13"/>
          <w:szCs w:val="13"/>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53275" cy="215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ind w:left="10420"/>
        <w:spacing w:after="0"/>
        <w:rPr>
          <w:sz w:val="20"/>
          <w:szCs w:val="20"/>
          <w:color w:val="auto"/>
        </w:rPr>
      </w:pPr>
      <w:r>
        <w:rPr>
          <w:rFonts w:ascii="Arial" w:cs="Arial" w:eastAsia="Arial" w:hAnsi="Arial"/>
          <w:sz w:val="13"/>
          <w:szCs w:val="13"/>
          <w:color w:val="23628F"/>
        </w:rPr>
        <w:t>APPENDIX B</w:t>
      </w:r>
    </w:p>
    <w:p>
      <w:pPr>
        <w:spacing w:after="0" w:line="215" w:lineRule="exact"/>
        <w:rPr>
          <w:sz w:val="20"/>
          <w:szCs w:val="20"/>
          <w:color w:val="auto"/>
        </w:rPr>
      </w:pPr>
    </w:p>
    <w:p>
      <w:pPr>
        <w:ind w:left="760" w:right="20"/>
        <w:spacing w:after="0"/>
        <w:rPr>
          <w:sz w:val="20"/>
          <w:szCs w:val="20"/>
          <w:color w:val="auto"/>
        </w:rPr>
      </w:pPr>
      <w:r>
        <w:rPr>
          <w:rFonts w:ascii="Arial" w:cs="Arial" w:eastAsia="Arial" w:hAnsi="Arial"/>
          <w:sz w:val="13"/>
          <w:szCs w:val="13"/>
          <w:color w:val="auto"/>
        </w:rPr>
        <w:t>nor any member thereof or person acting at the direction thereof, shall be liable for any act, omission, interpretation, construction or determination made in good faith in connection with this Plan (or any award made under this Plan), and all such persons shall be entitled to indemnification and reimbursement by the Corporation in respect of any claim, loss, damage or expense (including, without limitation, attorneys’ fees) arising or resulting therefrom to the fullest extent permitted by law and/or under any directors and officers liability insurance coverage that may be in effect from time to time. Neither the Board nor any Board committee, nor any member thereof or person acting at the direction thereof, nor the Corporation or any of its Subsidiaries, shall be liable for any damages of a participant should an award or other action with respect thereto not satisfy Rule 16b-3 promulgated under the Securities Exchange Act of 1934, as amended (the “</w:t>
      </w:r>
      <w:r>
        <w:rPr>
          <w:rFonts w:ascii="Arial" w:cs="Arial" w:eastAsia="Arial" w:hAnsi="Arial"/>
          <w:sz w:val="13"/>
          <w:szCs w:val="13"/>
          <w:b w:val="1"/>
          <w:bCs w:val="1"/>
          <w:color w:val="auto"/>
        </w:rPr>
        <w:t>Exchange Act</w:t>
      </w:r>
      <w:r>
        <w:rPr>
          <w:rFonts w:ascii="Arial" w:cs="Arial" w:eastAsia="Arial" w:hAnsi="Arial"/>
          <w:sz w:val="13"/>
          <w:szCs w:val="13"/>
          <w:color w:val="auto"/>
        </w:rPr>
        <w:t>”), should an option intended as an ISO (as defined below) fail to actually meet the requirements of the Internal Revenue Code of 1986, as amended (the “</w:t>
      </w:r>
      <w:r>
        <w:rPr>
          <w:rFonts w:ascii="Arial" w:cs="Arial" w:eastAsia="Arial" w:hAnsi="Arial"/>
          <w:sz w:val="13"/>
          <w:szCs w:val="13"/>
          <w:b w:val="1"/>
          <w:bCs w:val="1"/>
          <w:color w:val="auto"/>
        </w:rPr>
        <w:t>Code</w:t>
      </w:r>
      <w:r>
        <w:rPr>
          <w:rFonts w:ascii="Arial" w:cs="Arial" w:eastAsia="Arial" w:hAnsi="Arial"/>
          <w:sz w:val="13"/>
          <w:szCs w:val="13"/>
          <w:color w:val="auto"/>
        </w:rPr>
        <w:t>”), applicable to ISOs, should any award fail to qualify for any intended tax treatment or be subject to tax, penalty, or interest under Section 409A of the Code or other tax penalties, or otherwise for any tax or other liability imposed on a participant with respect to an award.</w:t>
      </w:r>
    </w:p>
    <w:p>
      <w:pPr>
        <w:spacing w:after="0" w:line="273" w:lineRule="exact"/>
        <w:rPr>
          <w:sz w:val="20"/>
          <w:szCs w:val="20"/>
          <w:color w:val="auto"/>
        </w:rPr>
      </w:pPr>
    </w:p>
    <w:p>
      <w:pPr>
        <w:ind w:left="760" w:right="20" w:hanging="377"/>
        <w:spacing w:after="0" w:line="261" w:lineRule="auto"/>
        <w:tabs>
          <w:tab w:leader="none" w:pos="740" w:val="left"/>
        </w:tabs>
        <w:rPr>
          <w:sz w:val="20"/>
          <w:szCs w:val="20"/>
          <w:color w:val="auto"/>
        </w:rPr>
      </w:pPr>
      <w:r>
        <w:rPr>
          <w:rFonts w:ascii="Arial" w:cs="Arial" w:eastAsia="Arial" w:hAnsi="Arial"/>
          <w:sz w:val="13"/>
          <w:szCs w:val="13"/>
          <w:b w:val="1"/>
          <w:bCs w:val="1"/>
          <w:color w:val="auto"/>
        </w:rPr>
        <w:t>3.4</w:t>
      </w:r>
      <w:r>
        <w:rPr>
          <w:sz w:val="20"/>
          <w:szCs w:val="20"/>
          <w:color w:val="auto"/>
        </w:rPr>
        <w:tab/>
      </w:r>
      <w:r>
        <w:rPr>
          <w:rFonts w:ascii="Arial" w:cs="Arial" w:eastAsia="Arial" w:hAnsi="Arial"/>
          <w:sz w:val="13"/>
          <w:szCs w:val="13"/>
          <w:b w:val="1"/>
          <w:bCs w:val="1"/>
          <w:i w:val="1"/>
          <w:iCs w:val="1"/>
          <w:color w:val="auto"/>
        </w:rPr>
        <w:t>Reliance on Experts</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 making any determination or in taking or not taking any action under this Plan, the Board or a committee, as the case may be, may obtain and may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rely upon the advice of experts, including employees and professional advisors to the Corporation. No director, officer or agent of the Corporation or any of its Subsidiaries shall be liable for any such action or determination taken or made or omitted in good faith.</w:t>
      </w:r>
    </w:p>
    <w:p>
      <w:pPr>
        <w:spacing w:after="0" w:line="106" w:lineRule="exact"/>
        <w:rPr>
          <w:sz w:val="20"/>
          <w:szCs w:val="20"/>
          <w:color w:val="auto"/>
        </w:rPr>
      </w:pPr>
    </w:p>
    <w:p>
      <w:pPr>
        <w:ind w:left="760" w:right="20" w:hanging="377"/>
        <w:spacing w:after="0" w:line="284" w:lineRule="auto"/>
        <w:tabs>
          <w:tab w:leader="none" w:pos="740" w:val="left"/>
        </w:tabs>
        <w:rPr>
          <w:sz w:val="20"/>
          <w:szCs w:val="20"/>
          <w:color w:val="auto"/>
        </w:rPr>
      </w:pPr>
      <w:r>
        <w:rPr>
          <w:rFonts w:ascii="Arial" w:cs="Arial" w:eastAsia="Arial" w:hAnsi="Arial"/>
          <w:sz w:val="13"/>
          <w:szCs w:val="13"/>
          <w:b w:val="1"/>
          <w:bCs w:val="1"/>
          <w:color w:val="auto"/>
        </w:rPr>
        <w:t>3.5</w:t>
      </w:r>
      <w:r>
        <w:rPr>
          <w:sz w:val="20"/>
          <w:szCs w:val="20"/>
          <w:color w:val="auto"/>
        </w:rPr>
        <w:tab/>
      </w:r>
      <w:r>
        <w:rPr>
          <w:rFonts w:ascii="Arial" w:cs="Arial" w:eastAsia="Arial" w:hAnsi="Arial"/>
          <w:sz w:val="13"/>
          <w:szCs w:val="13"/>
          <w:b w:val="1"/>
          <w:bCs w:val="1"/>
          <w:i w:val="1"/>
          <w:iCs w:val="1"/>
          <w:color w:val="auto"/>
        </w:rPr>
        <w:t>Delegation</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Administrator may delegate ministerial, non-discretionary functions to individuals who are officers or employees of the Corporation or any of its Subsidiaries 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to third parties.</w:t>
      </w:r>
    </w:p>
    <w:p>
      <w:pPr>
        <w:spacing w:after="0" w:line="92" w:lineRule="exact"/>
        <w:rPr>
          <w:sz w:val="20"/>
          <w:szCs w:val="20"/>
          <w:color w:val="auto"/>
        </w:rPr>
      </w:pPr>
    </w:p>
    <w:p>
      <w:pPr>
        <w:ind w:left="380" w:hanging="372"/>
        <w:spacing w:after="0"/>
        <w:tabs>
          <w:tab w:leader="none" w:pos="380" w:val="left"/>
        </w:tabs>
        <w:numPr>
          <w:ilvl w:val="0"/>
          <w:numId w:val="252"/>
        </w:numPr>
        <w:rPr>
          <w:rFonts w:ascii="Arial" w:cs="Arial" w:eastAsia="Arial" w:hAnsi="Arial"/>
          <w:sz w:val="13"/>
          <w:szCs w:val="13"/>
          <w:b w:val="1"/>
          <w:bCs w:val="1"/>
          <w:color w:val="23628F"/>
        </w:rPr>
      </w:pPr>
      <w:r>
        <w:rPr>
          <w:rFonts w:ascii="Arial" w:cs="Arial" w:eastAsia="Arial" w:hAnsi="Arial"/>
          <w:sz w:val="13"/>
          <w:szCs w:val="13"/>
          <w:b w:val="1"/>
          <w:bCs w:val="1"/>
          <w:color w:val="23628F"/>
        </w:rPr>
        <w:t>SHARES OF COMMON STOCK SUBJECT TO THE PLAN; SHARE LIMITS</w:t>
      </w:r>
    </w:p>
    <w:p>
      <w:pPr>
        <w:spacing w:after="0" w:line="148" w:lineRule="exact"/>
        <w:rPr>
          <w:sz w:val="20"/>
          <w:szCs w:val="20"/>
          <w:color w:val="auto"/>
        </w:rPr>
      </w:pPr>
    </w:p>
    <w:p>
      <w:pPr>
        <w:ind w:left="760" w:right="40" w:hanging="377"/>
        <w:spacing w:after="0" w:line="255" w:lineRule="auto"/>
        <w:tabs>
          <w:tab w:leader="none" w:pos="740" w:val="left"/>
        </w:tabs>
        <w:rPr>
          <w:sz w:val="20"/>
          <w:szCs w:val="20"/>
          <w:color w:val="auto"/>
        </w:rPr>
      </w:pPr>
      <w:r>
        <w:rPr>
          <w:rFonts w:ascii="Arial" w:cs="Arial" w:eastAsia="Arial" w:hAnsi="Arial"/>
          <w:sz w:val="13"/>
          <w:szCs w:val="13"/>
          <w:b w:val="1"/>
          <w:bCs w:val="1"/>
          <w:color w:val="auto"/>
        </w:rPr>
        <w:t>4.1</w:t>
      </w:r>
      <w:r>
        <w:rPr>
          <w:sz w:val="20"/>
          <w:szCs w:val="20"/>
          <w:color w:val="auto"/>
        </w:rPr>
        <w:tab/>
      </w:r>
      <w:r>
        <w:rPr>
          <w:rFonts w:ascii="Arial" w:cs="Arial" w:eastAsia="Arial" w:hAnsi="Arial"/>
          <w:sz w:val="13"/>
          <w:szCs w:val="13"/>
          <w:b w:val="1"/>
          <w:bCs w:val="1"/>
          <w:i w:val="1"/>
          <w:iCs w:val="1"/>
          <w:color w:val="auto"/>
        </w:rPr>
        <w:t xml:space="preserve">Shares Available. </w:t>
      </w:r>
      <w:r>
        <w:rPr>
          <w:rFonts w:ascii="Arial" w:cs="Arial" w:eastAsia="Arial" w:hAnsi="Arial"/>
          <w:sz w:val="13"/>
          <w:szCs w:val="13"/>
          <w:color w:val="auto"/>
        </w:rPr>
        <w:t>Subject to the provisions of Section 7.1, the capital stock that may be delivered under this Plan shall be shares of the Corporation’s authorized but unissued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Common Stock and any shares of its Common Stock held as treasury shares. For purposes of this Plan, “</w:t>
      </w:r>
      <w:r>
        <w:rPr>
          <w:rFonts w:ascii="Arial" w:cs="Arial" w:eastAsia="Arial" w:hAnsi="Arial"/>
          <w:sz w:val="13"/>
          <w:szCs w:val="13"/>
          <w:b w:val="1"/>
          <w:bCs w:val="1"/>
          <w:color w:val="auto"/>
        </w:rPr>
        <w:t>Common Stock</w:t>
      </w:r>
      <w:r>
        <w:rPr>
          <w:rFonts w:ascii="Arial" w:cs="Arial" w:eastAsia="Arial" w:hAnsi="Arial"/>
          <w:sz w:val="13"/>
          <w:szCs w:val="13"/>
          <w:color w:val="auto"/>
        </w:rPr>
        <w:t>” shall mean the common stock of the Corporation and such other securities or property as may become the subject of awards under this Plan, or may become subject to such awards, pursuant to an adjustment made under Section 7.1.</w:t>
      </w:r>
    </w:p>
    <w:p>
      <w:pPr>
        <w:spacing w:after="0" w:line="266" w:lineRule="exact"/>
        <w:rPr>
          <w:sz w:val="20"/>
          <w:szCs w:val="20"/>
          <w:color w:val="auto"/>
        </w:rPr>
      </w:pPr>
    </w:p>
    <w:p>
      <w:pPr>
        <w:ind w:left="380"/>
        <w:spacing w:after="0"/>
        <w:tabs>
          <w:tab w:leader="none" w:pos="740" w:val="left"/>
        </w:tabs>
        <w:rPr>
          <w:sz w:val="20"/>
          <w:szCs w:val="20"/>
          <w:color w:val="auto"/>
        </w:rPr>
      </w:pPr>
      <w:r>
        <w:rPr>
          <w:rFonts w:ascii="Arial" w:cs="Arial" w:eastAsia="Arial" w:hAnsi="Arial"/>
          <w:sz w:val="13"/>
          <w:szCs w:val="13"/>
          <w:b w:val="1"/>
          <w:bCs w:val="1"/>
          <w:color w:val="auto"/>
        </w:rPr>
        <w:t>4.2</w:t>
      </w:r>
      <w:r>
        <w:rPr>
          <w:sz w:val="20"/>
          <w:szCs w:val="20"/>
          <w:color w:val="auto"/>
        </w:rPr>
        <w:tab/>
      </w:r>
      <w:r>
        <w:rPr>
          <w:rFonts w:ascii="Arial" w:cs="Arial" w:eastAsia="Arial" w:hAnsi="Arial"/>
          <w:sz w:val="13"/>
          <w:szCs w:val="13"/>
          <w:b w:val="1"/>
          <w:bCs w:val="1"/>
          <w:i w:val="1"/>
          <w:iCs w:val="1"/>
          <w:color w:val="auto"/>
        </w:rPr>
        <w:t>Share Limits.</w:t>
      </w:r>
    </w:p>
    <w:p>
      <w:pPr>
        <w:spacing w:after="0" w:line="148" w:lineRule="exact"/>
        <w:rPr>
          <w:sz w:val="20"/>
          <w:szCs w:val="20"/>
          <w:color w:val="auto"/>
        </w:rPr>
      </w:pPr>
    </w:p>
    <w:p>
      <w:pPr>
        <w:ind w:left="760" w:right="200"/>
        <w:spacing w:after="0" w:line="284" w:lineRule="auto"/>
        <w:rPr>
          <w:sz w:val="20"/>
          <w:szCs w:val="20"/>
          <w:color w:val="auto"/>
        </w:rPr>
      </w:pPr>
      <w:r>
        <w:rPr>
          <w:rFonts w:ascii="Arial" w:cs="Arial" w:eastAsia="Arial" w:hAnsi="Arial"/>
          <w:sz w:val="13"/>
          <w:szCs w:val="13"/>
          <w:b w:val="1"/>
          <w:bCs w:val="1"/>
          <w:color w:val="auto"/>
        </w:rPr>
        <w:t xml:space="preserve">4.2.1 </w:t>
      </w:r>
      <w:r>
        <w:rPr>
          <w:rFonts w:ascii="Arial" w:cs="Arial" w:eastAsia="Arial" w:hAnsi="Arial"/>
          <w:sz w:val="13"/>
          <w:szCs w:val="13"/>
          <w:b w:val="1"/>
          <w:bCs w:val="1"/>
          <w:i w:val="1"/>
          <w:iCs w:val="1"/>
          <w:color w:val="auto"/>
        </w:rPr>
        <w:t>Aggregate Share Limit</w:t>
      </w:r>
      <w:r>
        <w:rPr>
          <w:rFonts w:ascii="Arial" w:cs="Arial" w:eastAsia="Arial" w:hAnsi="Arial"/>
          <w:sz w:val="13"/>
          <w:szCs w:val="13"/>
          <w:color w:val="auto"/>
        </w:rPr>
        <w:t>. The maximum number of shares of Common Stock that may be delivered pursuant to awards granted to Eligible Persons under this Plan (the</w:t>
      </w:r>
      <w:r>
        <w:rPr>
          <w:rFonts w:ascii="Arial" w:cs="Arial" w:eastAsia="Arial" w:hAnsi="Arial"/>
          <w:sz w:val="13"/>
          <w:szCs w:val="13"/>
          <w:b w:val="1"/>
          <w:bCs w:val="1"/>
          <w:color w:val="auto"/>
        </w:rPr>
        <w:t xml:space="preserve"> </w:t>
      </w:r>
      <w:r>
        <w:rPr>
          <w:rFonts w:ascii="Arial" w:cs="Arial" w:eastAsia="Arial" w:hAnsi="Arial"/>
          <w:sz w:val="13"/>
          <w:szCs w:val="13"/>
          <w:color w:val="auto"/>
        </w:rPr>
        <w:t>“</w:t>
      </w:r>
      <w:r>
        <w:rPr>
          <w:rFonts w:ascii="Arial" w:cs="Arial" w:eastAsia="Arial" w:hAnsi="Arial"/>
          <w:sz w:val="13"/>
          <w:szCs w:val="13"/>
          <w:b w:val="1"/>
          <w:bCs w:val="1"/>
          <w:color w:val="auto"/>
        </w:rPr>
        <w:t>Share Limit”</w:t>
      </w:r>
      <w:r>
        <w:rPr>
          <w:rFonts w:ascii="Arial" w:cs="Arial" w:eastAsia="Arial" w:hAnsi="Arial"/>
          <w:sz w:val="13"/>
          <w:szCs w:val="13"/>
          <w:color w:val="auto"/>
        </w:rPr>
        <w:t>) is equal to the sum of the following:</w:t>
      </w:r>
    </w:p>
    <w:p>
      <w:pPr>
        <w:spacing w:after="0" w:line="108" w:lineRule="exact"/>
        <w:rPr>
          <w:sz w:val="20"/>
          <w:szCs w:val="20"/>
          <w:color w:val="auto"/>
        </w:rPr>
      </w:pPr>
    </w:p>
    <w:p>
      <w:pPr>
        <w:ind w:left="1140" w:hanging="376"/>
        <w:spacing w:after="0"/>
        <w:tabs>
          <w:tab w:leader="none" w:pos="1140" w:val="left"/>
        </w:tabs>
        <w:numPr>
          <w:ilvl w:val="0"/>
          <w:numId w:val="253"/>
        </w:numPr>
        <w:rPr>
          <w:rFonts w:ascii="Arial" w:cs="Arial" w:eastAsia="Arial" w:hAnsi="Arial"/>
          <w:sz w:val="13"/>
          <w:szCs w:val="13"/>
          <w:color w:val="auto"/>
        </w:rPr>
      </w:pPr>
      <w:r>
        <w:rPr>
          <w:rFonts w:ascii="Arial" w:cs="Arial" w:eastAsia="Arial" w:hAnsi="Arial"/>
          <w:sz w:val="13"/>
          <w:szCs w:val="13"/>
          <w:color w:val="auto"/>
        </w:rPr>
        <w:t>105,580,215 shares of Common Stock, plus</w:t>
      </w:r>
    </w:p>
    <w:p>
      <w:pPr>
        <w:spacing w:after="0" w:line="131" w:lineRule="exact"/>
        <w:rPr>
          <w:rFonts w:ascii="Arial" w:cs="Arial" w:eastAsia="Arial" w:hAnsi="Arial"/>
          <w:sz w:val="13"/>
          <w:szCs w:val="13"/>
          <w:color w:val="auto"/>
        </w:rPr>
      </w:pPr>
    </w:p>
    <w:p>
      <w:pPr>
        <w:ind w:left="1140" w:right="180" w:hanging="376"/>
        <w:spacing w:after="0" w:line="261" w:lineRule="auto"/>
        <w:tabs>
          <w:tab w:leader="none" w:pos="1140" w:val="left"/>
        </w:tabs>
        <w:numPr>
          <w:ilvl w:val="0"/>
          <w:numId w:val="253"/>
        </w:numPr>
        <w:rPr>
          <w:rFonts w:ascii="Arial" w:cs="Arial" w:eastAsia="Arial" w:hAnsi="Arial"/>
          <w:sz w:val="13"/>
          <w:szCs w:val="13"/>
          <w:color w:val="auto"/>
        </w:rPr>
      </w:pPr>
      <w:r>
        <w:rPr>
          <w:rFonts w:ascii="Arial" w:cs="Arial" w:eastAsia="Arial" w:hAnsi="Arial"/>
          <w:sz w:val="13"/>
          <w:szCs w:val="13"/>
          <w:color w:val="auto"/>
        </w:rPr>
        <w:t>the number of any shares of Common Stock subject to stock options outstanding under the SanDisk 2013 Incentive Plan (the “</w:t>
      </w:r>
      <w:r>
        <w:rPr>
          <w:rFonts w:ascii="Arial" w:cs="Arial" w:eastAsia="Arial" w:hAnsi="Arial"/>
          <w:sz w:val="13"/>
          <w:szCs w:val="13"/>
          <w:b w:val="1"/>
          <w:bCs w:val="1"/>
          <w:color w:val="auto"/>
        </w:rPr>
        <w:t>SanDisk Plan</w:t>
      </w:r>
      <w:r>
        <w:rPr>
          <w:rFonts w:ascii="Arial" w:cs="Arial" w:eastAsia="Arial" w:hAnsi="Arial"/>
          <w:sz w:val="13"/>
          <w:szCs w:val="13"/>
          <w:color w:val="auto"/>
        </w:rPr>
        <w:t>”) as of the Effective Date (as defined below) which expire, or for any reason are cancelled or terminated, after the Effective Date without being exercised (which, for purposes of clarity, shall become available for award grants under this Plan on a one-for-one basis), plus</w:t>
      </w:r>
    </w:p>
    <w:p>
      <w:pPr>
        <w:spacing w:after="0" w:line="122" w:lineRule="exact"/>
        <w:rPr>
          <w:rFonts w:ascii="Arial" w:cs="Arial" w:eastAsia="Arial" w:hAnsi="Arial"/>
          <w:sz w:val="13"/>
          <w:szCs w:val="13"/>
          <w:color w:val="auto"/>
        </w:rPr>
      </w:pPr>
    </w:p>
    <w:p>
      <w:pPr>
        <w:ind w:left="1140" w:right="40" w:hanging="376"/>
        <w:spacing w:after="0" w:line="248" w:lineRule="auto"/>
        <w:tabs>
          <w:tab w:leader="none" w:pos="1140" w:val="left"/>
        </w:tabs>
        <w:numPr>
          <w:ilvl w:val="0"/>
          <w:numId w:val="253"/>
        </w:numPr>
        <w:rPr>
          <w:rFonts w:ascii="Arial" w:cs="Arial" w:eastAsia="Arial" w:hAnsi="Arial"/>
          <w:sz w:val="13"/>
          <w:szCs w:val="13"/>
          <w:color w:val="auto"/>
        </w:rPr>
      </w:pPr>
      <w:r>
        <w:rPr>
          <w:rFonts w:ascii="Arial" w:cs="Arial" w:eastAsia="Arial" w:hAnsi="Arial"/>
          <w:sz w:val="13"/>
          <w:szCs w:val="13"/>
          <w:color w:val="auto"/>
        </w:rPr>
        <w:t>1.72 times the number of any shares of Common Stock subject to restricted stock unit awards outstanding and unvested under the SanDisk Plan as of the Effective Date (including any dividend equivalents thereon) that are forfeited, terminated, cancelled or otherwise reacquired by the Corporation after the Effective Date without having become vested (for clarity, with the 1.72:1 ratio to reflect the “Full-Value Award” ratio below);</w:t>
      </w:r>
    </w:p>
    <w:p>
      <w:pPr>
        <w:spacing w:after="0" w:line="131" w:lineRule="exact"/>
        <w:rPr>
          <w:sz w:val="20"/>
          <w:szCs w:val="20"/>
          <w:color w:val="auto"/>
        </w:rPr>
      </w:pPr>
    </w:p>
    <w:p>
      <w:pPr>
        <w:ind w:left="760" w:right="160"/>
        <w:spacing w:after="0" w:line="245" w:lineRule="auto"/>
        <w:rPr>
          <w:sz w:val="20"/>
          <w:szCs w:val="20"/>
          <w:color w:val="auto"/>
        </w:rPr>
      </w:pPr>
      <w:r>
        <w:rPr>
          <w:rFonts w:ascii="Arial" w:cs="Arial" w:eastAsia="Arial" w:hAnsi="Arial"/>
          <w:sz w:val="13"/>
          <w:szCs w:val="13"/>
          <w:color w:val="auto"/>
        </w:rPr>
        <w:t>provided that in no event shall the Share Limit exceed the sum of (i) the 105,580,215 shares set forth above, plus (ii) the number of shares of Common Stock subject to stock options outstanding under the SanDisk Plan as of the Effective Date that could become available for award grants under this Plan pursuant to clause (2) above, plus (iii) the number of shares of Common Stock subject to restricted stock unit awards outstanding and unvested under the SanDisk Plan as of the Effective Date that could become available for award grants under this Plan pursuant to clause (3) above).</w:t>
      </w:r>
    </w:p>
    <w:p>
      <w:pPr>
        <w:spacing w:after="0" w:line="132" w:lineRule="exact"/>
        <w:rPr>
          <w:sz w:val="20"/>
          <w:szCs w:val="20"/>
          <w:color w:val="auto"/>
        </w:rPr>
      </w:pPr>
    </w:p>
    <w:p>
      <w:pPr>
        <w:ind w:left="760" w:right="260"/>
        <w:spacing w:after="0" w:line="251" w:lineRule="auto"/>
        <w:rPr>
          <w:sz w:val="20"/>
          <w:szCs w:val="20"/>
          <w:color w:val="auto"/>
        </w:rPr>
      </w:pPr>
      <w:r>
        <w:rPr>
          <w:rFonts w:ascii="Arial" w:cs="Arial" w:eastAsia="Arial" w:hAnsi="Arial"/>
          <w:sz w:val="13"/>
          <w:szCs w:val="13"/>
          <w:color w:val="auto"/>
        </w:rPr>
        <w:t>Shares issued in respect of any “Full-Value Award” granted under this Plan shall be counted against the foregoing Share Limit as 1.72 shares for every one share actually issued in connection with such award. For this purpose, a “</w:t>
      </w:r>
      <w:r>
        <w:rPr>
          <w:rFonts w:ascii="Arial" w:cs="Arial" w:eastAsia="Arial" w:hAnsi="Arial"/>
          <w:sz w:val="13"/>
          <w:szCs w:val="13"/>
          <w:b w:val="1"/>
          <w:bCs w:val="1"/>
          <w:color w:val="auto"/>
        </w:rPr>
        <w:t>Full-Value Award</w:t>
      </w:r>
      <w:r>
        <w:rPr>
          <w:rFonts w:ascii="Arial" w:cs="Arial" w:eastAsia="Arial" w:hAnsi="Arial"/>
          <w:sz w:val="13"/>
          <w:szCs w:val="13"/>
          <w:color w:val="auto"/>
        </w:rPr>
        <w:t xml:space="preserve">” means any award under this Plan that is </w:t>
      </w:r>
      <w:r>
        <w:rPr>
          <w:rFonts w:ascii="Arial" w:cs="Arial" w:eastAsia="Arial" w:hAnsi="Arial"/>
          <w:sz w:val="13"/>
          <w:szCs w:val="13"/>
          <w:u w:val="single" w:color="auto"/>
          <w:color w:val="auto"/>
        </w:rPr>
        <w:t>not</w:t>
      </w:r>
      <w:r>
        <w:rPr>
          <w:rFonts w:ascii="Arial" w:cs="Arial" w:eastAsia="Arial" w:hAnsi="Arial"/>
          <w:sz w:val="13"/>
          <w:szCs w:val="13"/>
          <w:color w:val="auto"/>
        </w:rPr>
        <w:t xml:space="preserve"> a stock option grant or a stock appreciation right grant.</w:t>
      </w:r>
    </w:p>
    <w:p>
      <w:pPr>
        <w:spacing w:after="0" w:line="331" w:lineRule="exact"/>
        <w:rPr>
          <w:sz w:val="20"/>
          <w:szCs w:val="20"/>
          <w:color w:val="auto"/>
        </w:rPr>
      </w:pPr>
    </w:p>
    <w:p>
      <w:pPr>
        <w:jc w:val="right"/>
        <w:spacing w:after="0"/>
        <w:tabs>
          <w:tab w:leader="none" w:pos="260" w:val="left"/>
        </w:tabs>
        <w:rPr>
          <w:sz w:val="20"/>
          <w:szCs w:val="20"/>
          <w:color w:val="auto"/>
        </w:rPr>
      </w:pPr>
      <w:r>
        <w:rPr>
          <w:rFonts w:ascii="Arial" w:cs="Arial" w:eastAsia="Arial" w:hAnsi="Arial"/>
          <w:sz w:val="13"/>
          <w:szCs w:val="13"/>
          <w:color w:val="23628F"/>
        </w:rPr>
        <w:t>2020 PROXY STATEMENT</w:t>
      </w:r>
      <w:r>
        <w:rPr>
          <w:sz w:val="20"/>
          <w:szCs w:val="20"/>
          <w:color w:val="auto"/>
        </w:rPr>
        <w:tab/>
      </w:r>
      <w:r>
        <w:rPr>
          <w:rFonts w:ascii="Arial" w:cs="Arial" w:eastAsia="Arial" w:hAnsi="Arial"/>
          <w:sz w:val="16"/>
          <w:szCs w:val="16"/>
          <w:b w:val="1"/>
          <w:bCs w:val="1"/>
          <w:color w:val="23628F"/>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153275" cy="209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23628F"/>
        </w:rPr>
        <w:t>APPENDIX B</w:t>
      </w:r>
    </w:p>
    <w:p>
      <w:pPr>
        <w:spacing w:after="0" w:line="199"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 xml:space="preserve">4.2.2 </w:t>
      </w:r>
      <w:r>
        <w:rPr>
          <w:rFonts w:ascii="Arial" w:cs="Arial" w:eastAsia="Arial" w:hAnsi="Arial"/>
          <w:sz w:val="13"/>
          <w:szCs w:val="13"/>
          <w:b w:val="1"/>
          <w:bCs w:val="1"/>
          <w:i w:val="1"/>
          <w:iCs w:val="1"/>
          <w:color w:val="auto"/>
        </w:rPr>
        <w:t>Aggregate Share Limit</w:t>
      </w:r>
      <w:r>
        <w:rPr>
          <w:rFonts w:ascii="Arial" w:cs="Arial" w:eastAsia="Arial" w:hAnsi="Arial"/>
          <w:sz w:val="13"/>
          <w:szCs w:val="13"/>
          <w:b w:val="1"/>
          <w:bCs w:val="1"/>
          <w:color w:val="auto"/>
        </w:rPr>
        <w:t xml:space="preserve">. </w:t>
      </w:r>
      <w:r>
        <w:rPr>
          <w:rFonts w:ascii="Arial" w:cs="Arial" w:eastAsia="Arial" w:hAnsi="Arial"/>
          <w:sz w:val="13"/>
          <w:szCs w:val="13"/>
          <w:color w:val="auto"/>
        </w:rPr>
        <w:t>The following limits also apply with respect to awards granted under this Plan:</w:t>
      </w:r>
    </w:p>
    <w:p>
      <w:pPr>
        <w:spacing w:after="0" w:line="164" w:lineRule="exact"/>
        <w:rPr>
          <w:sz w:val="20"/>
          <w:szCs w:val="20"/>
          <w:color w:val="auto"/>
        </w:rPr>
      </w:pPr>
    </w:p>
    <w:p>
      <w:pPr>
        <w:ind w:left="1140" w:right="140" w:hanging="376"/>
        <w:spacing w:after="0" w:line="258" w:lineRule="auto"/>
        <w:tabs>
          <w:tab w:leader="none" w:pos="1140" w:val="left"/>
        </w:tabs>
        <w:numPr>
          <w:ilvl w:val="0"/>
          <w:numId w:val="254"/>
        </w:numPr>
        <w:rPr>
          <w:rFonts w:ascii="Arial" w:cs="Arial" w:eastAsia="Arial" w:hAnsi="Arial"/>
          <w:sz w:val="13"/>
          <w:szCs w:val="13"/>
          <w:color w:val="auto"/>
        </w:rPr>
      </w:pPr>
      <w:r>
        <w:rPr>
          <w:rFonts w:ascii="Arial" w:cs="Arial" w:eastAsia="Arial" w:hAnsi="Arial"/>
          <w:sz w:val="13"/>
          <w:szCs w:val="13"/>
          <w:color w:val="auto"/>
        </w:rPr>
        <w:t>The maximum number of shares of Common Stock that may be delivered pursuant to options qualified as incentive stock options granted under this Plan is 91,837,248 shares.</w:t>
      </w:r>
    </w:p>
    <w:p>
      <w:pPr>
        <w:spacing w:after="0" w:line="124" w:lineRule="exact"/>
        <w:rPr>
          <w:rFonts w:ascii="Arial" w:cs="Arial" w:eastAsia="Arial" w:hAnsi="Arial"/>
          <w:sz w:val="13"/>
          <w:szCs w:val="13"/>
          <w:color w:val="auto"/>
        </w:rPr>
      </w:pPr>
    </w:p>
    <w:p>
      <w:pPr>
        <w:ind w:left="1140" w:right="320" w:hanging="376"/>
        <w:spacing w:after="0" w:line="258" w:lineRule="auto"/>
        <w:tabs>
          <w:tab w:leader="none" w:pos="1140" w:val="left"/>
        </w:tabs>
        <w:numPr>
          <w:ilvl w:val="0"/>
          <w:numId w:val="254"/>
        </w:numPr>
        <w:rPr>
          <w:rFonts w:ascii="Arial" w:cs="Arial" w:eastAsia="Arial" w:hAnsi="Arial"/>
          <w:sz w:val="13"/>
          <w:szCs w:val="13"/>
          <w:color w:val="auto"/>
        </w:rPr>
      </w:pPr>
      <w:r>
        <w:rPr>
          <w:rFonts w:ascii="Arial" w:cs="Arial" w:eastAsia="Arial" w:hAnsi="Arial"/>
          <w:sz w:val="13"/>
          <w:szCs w:val="13"/>
          <w:color w:val="auto"/>
        </w:rPr>
        <w:t>The maximum number of shares of Common Stock subject to those options and stock appreciation rights that are granted during any calendar year to any individual under this Plan is 1,000,000 shares.</w:t>
      </w:r>
    </w:p>
    <w:p>
      <w:pPr>
        <w:spacing w:after="0" w:line="124" w:lineRule="exact"/>
        <w:rPr>
          <w:rFonts w:ascii="Arial" w:cs="Arial" w:eastAsia="Arial" w:hAnsi="Arial"/>
          <w:sz w:val="13"/>
          <w:szCs w:val="13"/>
          <w:color w:val="auto"/>
        </w:rPr>
      </w:pPr>
    </w:p>
    <w:p>
      <w:pPr>
        <w:ind w:left="1140" w:right="40" w:hanging="376"/>
        <w:spacing w:after="0" w:line="242" w:lineRule="auto"/>
        <w:tabs>
          <w:tab w:leader="none" w:pos="1140" w:val="left"/>
        </w:tabs>
        <w:numPr>
          <w:ilvl w:val="0"/>
          <w:numId w:val="254"/>
        </w:numPr>
        <w:rPr>
          <w:rFonts w:ascii="Arial" w:cs="Arial" w:eastAsia="Arial" w:hAnsi="Arial"/>
          <w:sz w:val="13"/>
          <w:szCs w:val="13"/>
          <w:color w:val="auto"/>
        </w:rPr>
      </w:pPr>
      <w:r>
        <w:rPr>
          <w:rFonts w:ascii="Arial" w:cs="Arial" w:eastAsia="Arial" w:hAnsi="Arial"/>
          <w:sz w:val="13"/>
          <w:szCs w:val="13"/>
          <w:color w:val="auto"/>
        </w:rPr>
        <w:t>In no event shall the value (based on the fair market value of the shares on the date of grant of the applicable award, using such valuation principles as determined by the Administrator) of the shares of Common Stock subject to awards granted under this Plan to any one non-employee member of the Board (a “</w:t>
      </w:r>
      <w:r>
        <w:rPr>
          <w:rFonts w:ascii="Arial" w:cs="Arial" w:eastAsia="Arial" w:hAnsi="Arial"/>
          <w:sz w:val="13"/>
          <w:szCs w:val="13"/>
          <w:b w:val="1"/>
          <w:bCs w:val="1"/>
          <w:color w:val="auto"/>
        </w:rPr>
        <w:t>Non-Employee</w:t>
      </w:r>
      <w:r>
        <w:rPr>
          <w:rFonts w:ascii="Arial" w:cs="Arial" w:eastAsia="Arial" w:hAnsi="Arial"/>
          <w:sz w:val="13"/>
          <w:szCs w:val="13"/>
          <w:color w:val="auto"/>
        </w:rPr>
        <w:t xml:space="preserve"> </w:t>
      </w:r>
      <w:r>
        <w:rPr>
          <w:rFonts w:ascii="Arial" w:cs="Arial" w:eastAsia="Arial" w:hAnsi="Arial"/>
          <w:sz w:val="13"/>
          <w:szCs w:val="13"/>
          <w:b w:val="1"/>
          <w:bCs w:val="1"/>
          <w:color w:val="auto"/>
        </w:rPr>
        <w:t>Director</w:t>
      </w:r>
      <w:r>
        <w:rPr>
          <w:rFonts w:ascii="Arial" w:cs="Arial" w:eastAsia="Arial" w:hAnsi="Arial"/>
          <w:sz w:val="13"/>
          <w:szCs w:val="13"/>
          <w:color w:val="auto"/>
        </w:rPr>
        <w:t>”) in any one Grant Year exceed $900,000. The limit in the preceding sentence shall not apply as to any award granted to an individual for services in a capacity</w:t>
      </w:r>
      <w:r>
        <w:rPr>
          <w:rFonts w:ascii="Arial" w:cs="Arial" w:eastAsia="Arial" w:hAnsi="Arial"/>
          <w:sz w:val="13"/>
          <w:szCs w:val="13"/>
          <w:b w:val="1"/>
          <w:bCs w:val="1"/>
          <w:color w:val="auto"/>
        </w:rPr>
        <w:t xml:space="preserve"> </w:t>
      </w:r>
      <w:r>
        <w:rPr>
          <w:rFonts w:ascii="Arial" w:cs="Arial" w:eastAsia="Arial" w:hAnsi="Arial"/>
          <w:sz w:val="13"/>
          <w:szCs w:val="13"/>
          <w:color w:val="auto"/>
        </w:rPr>
        <w:t>other than as a Non-Employee Director, even if such individual is, was or becomes a Non-Employee Director. For this purpose, “</w:t>
      </w:r>
      <w:r>
        <w:rPr>
          <w:rFonts w:ascii="Arial" w:cs="Arial" w:eastAsia="Arial" w:hAnsi="Arial"/>
          <w:sz w:val="13"/>
          <w:szCs w:val="13"/>
          <w:b w:val="1"/>
          <w:bCs w:val="1"/>
          <w:color w:val="auto"/>
        </w:rPr>
        <w:t>Grant Year</w:t>
      </w:r>
      <w:r>
        <w:rPr>
          <w:rFonts w:ascii="Arial" w:cs="Arial" w:eastAsia="Arial" w:hAnsi="Arial"/>
          <w:sz w:val="13"/>
          <w:szCs w:val="13"/>
          <w:color w:val="auto"/>
        </w:rPr>
        <w:t>” means the annual period commencing on the date of the Corporation’s annual meeting of stockholders and concluding on the day immediately preceding the next annual meeting of stockholders, or such other annual period as the Administrator may determine in its discretion.</w:t>
      </w:r>
    </w:p>
    <w:p>
      <w:pPr>
        <w:spacing w:after="0" w:line="119" w:lineRule="exact"/>
        <w:rPr>
          <w:sz w:val="20"/>
          <w:szCs w:val="20"/>
          <w:color w:val="auto"/>
        </w:rPr>
      </w:pPr>
    </w:p>
    <w:p>
      <w:pPr>
        <w:ind w:left="380"/>
        <w:spacing w:after="0"/>
        <w:tabs>
          <w:tab w:leader="none" w:pos="740" w:val="left"/>
        </w:tabs>
        <w:rPr>
          <w:sz w:val="20"/>
          <w:szCs w:val="20"/>
          <w:color w:val="auto"/>
        </w:rPr>
      </w:pPr>
      <w:r>
        <w:rPr>
          <w:rFonts w:ascii="Arial" w:cs="Arial" w:eastAsia="Arial" w:hAnsi="Arial"/>
          <w:sz w:val="13"/>
          <w:szCs w:val="13"/>
          <w:b w:val="1"/>
          <w:bCs w:val="1"/>
          <w:color w:val="auto"/>
        </w:rPr>
        <w:t>4.3</w:t>
      </w:r>
      <w:r>
        <w:rPr>
          <w:sz w:val="20"/>
          <w:szCs w:val="20"/>
          <w:color w:val="auto"/>
        </w:rPr>
        <w:tab/>
      </w:r>
      <w:r>
        <w:rPr>
          <w:rFonts w:ascii="Arial" w:cs="Arial" w:eastAsia="Arial" w:hAnsi="Arial"/>
          <w:sz w:val="13"/>
          <w:szCs w:val="13"/>
          <w:b w:val="1"/>
          <w:bCs w:val="1"/>
          <w:i w:val="1"/>
          <w:iCs w:val="1"/>
          <w:color w:val="auto"/>
        </w:rPr>
        <w:t xml:space="preserve">Awards Settled in Cash, Reissue of Awards and Shares. </w:t>
      </w:r>
      <w:r>
        <w:rPr>
          <w:rFonts w:ascii="Arial" w:cs="Arial" w:eastAsia="Arial" w:hAnsi="Arial"/>
          <w:sz w:val="13"/>
          <w:szCs w:val="13"/>
          <w:color w:val="auto"/>
        </w:rPr>
        <w:t>The share limits of this Plan are subject to adjustment pursuant to the following provisions of this Section 4.3.</w:t>
      </w:r>
    </w:p>
    <w:p>
      <w:pPr>
        <w:spacing w:after="0" w:line="15" w:lineRule="exact"/>
        <w:rPr>
          <w:sz w:val="20"/>
          <w:szCs w:val="20"/>
          <w:color w:val="auto"/>
        </w:rPr>
      </w:pPr>
    </w:p>
    <w:p>
      <w:pPr>
        <w:ind w:left="760"/>
        <w:spacing w:after="0"/>
        <w:rPr>
          <w:sz w:val="20"/>
          <w:szCs w:val="20"/>
          <w:color w:val="auto"/>
        </w:rPr>
      </w:pPr>
      <w:r>
        <w:rPr>
          <w:rFonts w:ascii="Arial" w:cs="Arial" w:eastAsia="Arial" w:hAnsi="Arial"/>
          <w:sz w:val="13"/>
          <w:szCs w:val="13"/>
          <w:color w:val="auto"/>
        </w:rPr>
        <w:t>Refer to Section 8.10 for application of this Plan’s share limits with respect to assumed awards.</w:t>
      </w:r>
    </w:p>
    <w:p>
      <w:pPr>
        <w:spacing w:after="0" w:line="148" w:lineRule="exact"/>
        <w:rPr>
          <w:sz w:val="20"/>
          <w:szCs w:val="20"/>
          <w:color w:val="auto"/>
        </w:rPr>
      </w:pPr>
    </w:p>
    <w:p>
      <w:pPr>
        <w:ind w:left="1140" w:right="160" w:hanging="376"/>
        <w:spacing w:after="0" w:line="258" w:lineRule="auto"/>
        <w:tabs>
          <w:tab w:leader="none" w:pos="1140" w:val="left"/>
        </w:tabs>
        <w:numPr>
          <w:ilvl w:val="0"/>
          <w:numId w:val="255"/>
        </w:numPr>
        <w:rPr>
          <w:rFonts w:ascii="Arial" w:cs="Arial" w:eastAsia="Arial" w:hAnsi="Arial"/>
          <w:sz w:val="13"/>
          <w:szCs w:val="13"/>
          <w:color w:val="auto"/>
        </w:rPr>
      </w:pPr>
      <w:r>
        <w:rPr>
          <w:rFonts w:ascii="Arial" w:cs="Arial" w:eastAsia="Arial" w:hAnsi="Arial"/>
          <w:sz w:val="13"/>
          <w:szCs w:val="13"/>
          <w:color w:val="auto"/>
        </w:rPr>
        <w:t>Shares that are subject to or underlie awards granted under this Plan which expire or for any reason are cancelled or terminated, are forfeited, fail to vest, or for any other reason are not paid or delivered under this Plan shall not be counted against the Share Limit and shall again be available for subsequent awards under this Plan.</w:t>
      </w:r>
    </w:p>
    <w:p>
      <w:pPr>
        <w:spacing w:after="0" w:line="124" w:lineRule="exact"/>
        <w:rPr>
          <w:rFonts w:ascii="Arial" w:cs="Arial" w:eastAsia="Arial" w:hAnsi="Arial"/>
          <w:sz w:val="13"/>
          <w:szCs w:val="13"/>
          <w:color w:val="auto"/>
        </w:rPr>
      </w:pPr>
    </w:p>
    <w:p>
      <w:pPr>
        <w:ind w:left="1140" w:right="100" w:hanging="376"/>
        <w:spacing w:after="0" w:line="241" w:lineRule="auto"/>
        <w:tabs>
          <w:tab w:leader="none" w:pos="1140" w:val="left"/>
        </w:tabs>
        <w:numPr>
          <w:ilvl w:val="0"/>
          <w:numId w:val="255"/>
        </w:numPr>
        <w:rPr>
          <w:rFonts w:ascii="Arial" w:cs="Arial" w:eastAsia="Arial" w:hAnsi="Arial"/>
          <w:sz w:val="13"/>
          <w:szCs w:val="13"/>
          <w:color w:val="auto"/>
        </w:rPr>
      </w:pPr>
      <w:r>
        <w:rPr>
          <w:rFonts w:ascii="Arial" w:cs="Arial" w:eastAsia="Arial" w:hAnsi="Arial"/>
          <w:sz w:val="13"/>
          <w:szCs w:val="13"/>
          <w:color w:val="auto"/>
        </w:rPr>
        <w:t>Shares that are exchanged by a participant or withheld by the Corporation as full or partial payment in connection with any award under this Plan, or any award outstanding under the SanDisk Plan, and shares exchanged by a participant or withheld by the Corporation or one of its Subsidiaries to satisfy the tax withholding obligations related to any award under this Plan or the SanDisk Plan, shall be treated as follows: (i) to the extent that the exchange or withholding occurred with respect to a stock option or stock appreciation right, such shares shall not be available for subsequent awards under this Plan; (ii) to the extent that the exchange or withholding occurred prior to November 7, 2018 with respect to a Full-Value Award, such shares shall not be available for subsequent awards under this Plan; and (iii) to the extent that the exchange or withholding occurs on or after November 7, 2018 with respect to a Full-Value Award, such shares shall not be counted against the Share Limit and shall again be available for subsequent awards under this Plan.</w:t>
      </w:r>
    </w:p>
    <w:p>
      <w:pPr>
        <w:spacing w:after="0" w:line="137" w:lineRule="exact"/>
        <w:rPr>
          <w:rFonts w:ascii="Arial" w:cs="Arial" w:eastAsia="Arial" w:hAnsi="Arial"/>
          <w:sz w:val="13"/>
          <w:szCs w:val="13"/>
          <w:color w:val="auto"/>
        </w:rPr>
      </w:pPr>
    </w:p>
    <w:p>
      <w:pPr>
        <w:ind w:left="1140" w:hanging="376"/>
        <w:spacing w:after="0" w:line="258" w:lineRule="auto"/>
        <w:tabs>
          <w:tab w:leader="none" w:pos="1140" w:val="left"/>
        </w:tabs>
        <w:numPr>
          <w:ilvl w:val="0"/>
          <w:numId w:val="255"/>
        </w:numPr>
        <w:rPr>
          <w:rFonts w:ascii="Arial" w:cs="Arial" w:eastAsia="Arial" w:hAnsi="Arial"/>
          <w:sz w:val="13"/>
          <w:szCs w:val="13"/>
          <w:color w:val="auto"/>
        </w:rPr>
      </w:pPr>
      <w:r>
        <w:rPr>
          <w:rFonts w:ascii="Arial" w:cs="Arial" w:eastAsia="Arial" w:hAnsi="Arial"/>
          <w:sz w:val="13"/>
          <w:szCs w:val="13"/>
          <w:color w:val="auto"/>
        </w:rPr>
        <w:t>To the extent that an award granted under this Plan is settled in cash or a form other than shares of Common Stock, the shares that would have been delivered had there been no such cash or other settlement shall not be counted against the Share Limit and shall again be available for subsequent awards under this Plan.</w:t>
      </w:r>
    </w:p>
    <w:p>
      <w:pPr>
        <w:spacing w:after="0" w:line="124" w:lineRule="exact"/>
        <w:rPr>
          <w:rFonts w:ascii="Arial" w:cs="Arial" w:eastAsia="Arial" w:hAnsi="Arial"/>
          <w:sz w:val="13"/>
          <w:szCs w:val="13"/>
          <w:color w:val="auto"/>
        </w:rPr>
      </w:pPr>
    </w:p>
    <w:p>
      <w:pPr>
        <w:ind w:left="1140" w:right="60" w:hanging="376"/>
        <w:spacing w:after="0" w:line="242" w:lineRule="auto"/>
        <w:tabs>
          <w:tab w:leader="none" w:pos="1140" w:val="left"/>
        </w:tabs>
        <w:numPr>
          <w:ilvl w:val="0"/>
          <w:numId w:val="255"/>
        </w:numPr>
        <w:rPr>
          <w:rFonts w:ascii="Arial" w:cs="Arial" w:eastAsia="Arial" w:hAnsi="Arial"/>
          <w:sz w:val="13"/>
          <w:szCs w:val="13"/>
          <w:color w:val="auto"/>
        </w:rPr>
      </w:pPr>
      <w:r>
        <w:rPr>
          <w:rFonts w:ascii="Arial" w:cs="Arial" w:eastAsia="Arial" w:hAnsi="Arial"/>
          <w:sz w:val="13"/>
          <w:szCs w:val="13"/>
          <w:color w:val="auto"/>
        </w:rPr>
        <w:t>In the event that shares of Common Stock are delivered in respect of a dividend equivalent right granted under this Plan, only the actual number of shares delivered with respect to the award shall be counted against the share limits of this Plan. To the extent that shares of Common Stock are delivered pursuant to the exercise of a stock appreciation right or stock option, the number of underlying shares as to which the exercise related shall be counted against the applicable share limits under Section 4.2, as opposed to only counting the shares actually issued. (For purposes of clarity, if a stock appreciation right relates to 100,000 shares and is exercised at a time when the payment due to the participant is 15,000 shares, 100,000 shares shall be charged against the applicable share limits under Section 4.2 with respect to such exercise.)</w:t>
      </w:r>
    </w:p>
    <w:p>
      <w:pPr>
        <w:spacing w:after="0" w:line="286" w:lineRule="exact"/>
        <w:rPr>
          <w:sz w:val="20"/>
          <w:szCs w:val="20"/>
          <w:color w:val="auto"/>
        </w:rPr>
      </w:pPr>
    </w:p>
    <w:p>
      <w:pPr>
        <w:ind w:left="760" w:right="20"/>
        <w:spacing w:after="0" w:line="243" w:lineRule="auto"/>
        <w:rPr>
          <w:sz w:val="20"/>
          <w:szCs w:val="20"/>
          <w:color w:val="auto"/>
        </w:rPr>
      </w:pPr>
      <w:r>
        <w:rPr>
          <w:rFonts w:ascii="Arial" w:cs="Arial" w:eastAsia="Arial" w:hAnsi="Arial"/>
          <w:sz w:val="13"/>
          <w:szCs w:val="13"/>
          <w:color w:val="auto"/>
        </w:rPr>
        <w:t>Each of the numerical limits of Section 4.2 is also subject to adjustment as contemplated by Section 7.1. If any share subject to a Full-Value Award, or exchanged or withheld with respect to a Full-Value Award, becomes available for subsequent awards under this Plan pursuant to clause (a), (b) or (c) above, such share shall be credited as 1.72 shares when determining the number of shares that shall again become available for subsequent awards under this Plan if (i) upon grant of the related award, the shares underlying the award had been counted against the Share Limit at the 1.72:1 ratio applicable to Full-Value Awards or (ii) the related award had been granted under the SanDisk Plan.</w:t>
      </w:r>
    </w:p>
    <w:p>
      <w:pPr>
        <w:spacing w:after="0" w:line="286" w:lineRule="exact"/>
        <w:rPr>
          <w:sz w:val="20"/>
          <w:szCs w:val="20"/>
          <w:color w:val="auto"/>
        </w:rPr>
      </w:pPr>
    </w:p>
    <w:p>
      <w:pPr>
        <w:ind w:left="760" w:right="220"/>
        <w:spacing w:after="0" w:line="258" w:lineRule="auto"/>
        <w:rPr>
          <w:sz w:val="20"/>
          <w:szCs w:val="20"/>
          <w:color w:val="auto"/>
        </w:rPr>
      </w:pPr>
      <w:r>
        <w:rPr>
          <w:rFonts w:ascii="Arial" w:cs="Arial" w:eastAsia="Arial" w:hAnsi="Arial"/>
          <w:sz w:val="13"/>
          <w:szCs w:val="13"/>
          <w:color w:val="auto"/>
        </w:rPr>
        <w:t>The Corporation may not increase the Share Limit by repurchasing shares of Common Stock on the market (by using cash received through the exercise of stock options or otherwise).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23628F"/>
        </w:rPr>
        <w:t xml:space="preserve">B-4  </w:t>
      </w:r>
      <w:r>
        <w:rPr>
          <w:rFonts w:ascii="Arial" w:cs="Arial" w:eastAsia="Arial" w:hAnsi="Arial"/>
          <w:sz w:val="13"/>
          <w:szCs w:val="13"/>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53275" cy="209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ind w:left="10420"/>
        <w:spacing w:after="0"/>
        <w:rPr>
          <w:sz w:val="20"/>
          <w:szCs w:val="20"/>
          <w:color w:val="auto"/>
        </w:rPr>
      </w:pPr>
      <w:r>
        <w:rPr>
          <w:rFonts w:ascii="Arial" w:cs="Arial" w:eastAsia="Arial" w:hAnsi="Arial"/>
          <w:sz w:val="13"/>
          <w:szCs w:val="13"/>
          <w:color w:val="23628F"/>
        </w:rPr>
        <w:t>APPENDIX B</w:t>
      </w:r>
    </w:p>
    <w:p>
      <w:pPr>
        <w:spacing w:after="0" w:line="199" w:lineRule="exact"/>
        <w:rPr>
          <w:sz w:val="20"/>
          <w:szCs w:val="20"/>
          <w:color w:val="auto"/>
        </w:rPr>
      </w:pPr>
    </w:p>
    <w:p>
      <w:pPr>
        <w:ind w:left="760" w:right="200" w:hanging="377"/>
        <w:spacing w:after="0" w:line="284" w:lineRule="auto"/>
        <w:tabs>
          <w:tab w:leader="none" w:pos="740" w:val="left"/>
        </w:tabs>
        <w:rPr>
          <w:sz w:val="20"/>
          <w:szCs w:val="20"/>
          <w:color w:val="auto"/>
        </w:rPr>
      </w:pPr>
      <w:r>
        <w:rPr>
          <w:rFonts w:ascii="Arial" w:cs="Arial" w:eastAsia="Arial" w:hAnsi="Arial"/>
          <w:sz w:val="13"/>
          <w:szCs w:val="13"/>
          <w:b w:val="1"/>
          <w:bCs w:val="1"/>
          <w:color w:val="auto"/>
        </w:rPr>
        <w:t>4.4</w:t>
      </w:r>
      <w:r>
        <w:rPr>
          <w:sz w:val="20"/>
          <w:szCs w:val="20"/>
          <w:color w:val="auto"/>
        </w:rPr>
        <w:tab/>
      </w:r>
      <w:r>
        <w:rPr>
          <w:rFonts w:ascii="Arial" w:cs="Arial" w:eastAsia="Arial" w:hAnsi="Arial"/>
          <w:sz w:val="13"/>
          <w:szCs w:val="13"/>
          <w:b w:val="1"/>
          <w:bCs w:val="1"/>
          <w:i w:val="1"/>
          <w:iCs w:val="1"/>
          <w:color w:val="auto"/>
        </w:rPr>
        <w:t>No Fractional Shares</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Unless otherwise expressly provided by the Administrator, no fractional shares shall be delivered under this Plan. The Administrator may pay cash 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lieu of any fractional shares in settlements of awards under this Plan.</w:t>
      </w:r>
    </w:p>
    <w:p>
      <w:pPr>
        <w:spacing w:after="0" w:line="92" w:lineRule="exact"/>
        <w:rPr>
          <w:sz w:val="20"/>
          <w:szCs w:val="20"/>
          <w:color w:val="auto"/>
        </w:rPr>
      </w:pPr>
    </w:p>
    <w:p>
      <w:pPr>
        <w:ind w:left="380" w:hanging="372"/>
        <w:spacing w:after="0"/>
        <w:tabs>
          <w:tab w:leader="none" w:pos="380" w:val="left"/>
        </w:tabs>
        <w:numPr>
          <w:ilvl w:val="0"/>
          <w:numId w:val="256"/>
        </w:numPr>
        <w:rPr>
          <w:rFonts w:ascii="Arial" w:cs="Arial" w:eastAsia="Arial" w:hAnsi="Arial"/>
          <w:sz w:val="13"/>
          <w:szCs w:val="13"/>
          <w:b w:val="1"/>
          <w:bCs w:val="1"/>
          <w:color w:val="23628F"/>
        </w:rPr>
      </w:pPr>
      <w:r>
        <w:rPr>
          <w:rFonts w:ascii="Arial" w:cs="Arial" w:eastAsia="Arial" w:hAnsi="Arial"/>
          <w:sz w:val="13"/>
          <w:szCs w:val="13"/>
          <w:b w:val="1"/>
          <w:bCs w:val="1"/>
          <w:color w:val="23628F"/>
        </w:rPr>
        <w:t>AWARDS</w:t>
      </w:r>
    </w:p>
    <w:p>
      <w:pPr>
        <w:spacing w:after="0" w:line="147" w:lineRule="exact"/>
        <w:rPr>
          <w:rFonts w:ascii="Arial" w:cs="Arial" w:eastAsia="Arial" w:hAnsi="Arial"/>
          <w:sz w:val="13"/>
          <w:szCs w:val="13"/>
          <w:b w:val="1"/>
          <w:bCs w:val="1"/>
          <w:color w:val="23628F"/>
        </w:rPr>
      </w:pPr>
    </w:p>
    <w:p>
      <w:pPr>
        <w:ind w:left="760" w:right="140" w:hanging="378"/>
        <w:spacing w:after="0" w:line="261" w:lineRule="auto"/>
        <w:rPr>
          <w:rFonts w:ascii="Arial" w:cs="Arial" w:eastAsia="Arial" w:hAnsi="Arial"/>
          <w:sz w:val="13"/>
          <w:szCs w:val="13"/>
          <w:b w:val="1"/>
          <w:bCs w:val="1"/>
          <w:color w:val="23628F"/>
        </w:rPr>
      </w:pPr>
      <w:r>
        <w:rPr>
          <w:rFonts w:ascii="Arial" w:cs="Arial" w:eastAsia="Arial" w:hAnsi="Arial"/>
          <w:sz w:val="13"/>
          <w:szCs w:val="13"/>
          <w:b w:val="1"/>
          <w:bCs w:val="1"/>
          <w:color w:val="auto"/>
        </w:rPr>
        <w:t xml:space="preserve">5.1 </w:t>
      </w:r>
      <w:r>
        <w:rPr>
          <w:rFonts w:ascii="Arial" w:cs="Arial" w:eastAsia="Arial" w:hAnsi="Arial"/>
          <w:sz w:val="13"/>
          <w:szCs w:val="13"/>
          <w:b w:val="1"/>
          <w:bCs w:val="1"/>
          <w:i w:val="1"/>
          <w:iCs w:val="1"/>
          <w:color w:val="auto"/>
        </w:rPr>
        <w:t>Type and Form of Awards</w:t>
      </w:r>
      <w:r>
        <w:rPr>
          <w:rFonts w:ascii="Arial" w:cs="Arial" w:eastAsia="Arial" w:hAnsi="Arial"/>
          <w:sz w:val="13"/>
          <w:szCs w:val="13"/>
          <w:b w:val="1"/>
          <w:bCs w:val="1"/>
          <w:color w:val="auto"/>
        </w:rPr>
        <w:t xml:space="preserve">. </w:t>
      </w:r>
      <w:r>
        <w:rPr>
          <w:rFonts w:ascii="Arial" w:cs="Arial" w:eastAsia="Arial" w:hAnsi="Arial"/>
          <w:sz w:val="13"/>
          <w:szCs w:val="13"/>
          <w:color w:val="auto"/>
        </w:rPr>
        <w:t>The Administrator shall determine the type or types of award(s) to be made to each selected Eligible Person. Awards may be granted singly, in</w:t>
      </w:r>
      <w:r>
        <w:rPr>
          <w:rFonts w:ascii="Arial" w:cs="Arial" w:eastAsia="Arial" w:hAnsi="Arial"/>
          <w:sz w:val="13"/>
          <w:szCs w:val="13"/>
          <w:b w:val="1"/>
          <w:bCs w:val="1"/>
          <w:color w:val="auto"/>
        </w:rPr>
        <w:t xml:space="preserve"> </w:t>
      </w:r>
      <w:r>
        <w:rPr>
          <w:rFonts w:ascii="Arial" w:cs="Arial" w:eastAsia="Arial" w:hAnsi="Arial"/>
          <w:sz w:val="13"/>
          <w:szCs w:val="13"/>
          <w:color w:val="auto"/>
        </w:rPr>
        <w:t>combination or in tandem. Awards also may be made in combination or in tandem with, in replacement of, as alternatives to, or as the payment form for grants or rights under any other employee or compensation plan of the Corporation or one of its Subsidiaries. The types of awards that may be granted under this Plan are:</w:t>
      </w:r>
    </w:p>
    <w:p>
      <w:pPr>
        <w:spacing w:after="0" w:line="106" w:lineRule="exact"/>
        <w:rPr>
          <w:sz w:val="20"/>
          <w:szCs w:val="20"/>
          <w:color w:val="auto"/>
        </w:rPr>
      </w:pPr>
    </w:p>
    <w:p>
      <w:pPr>
        <w:ind w:left="760" w:right="60"/>
        <w:spacing w:after="0" w:line="247" w:lineRule="auto"/>
        <w:rPr>
          <w:sz w:val="20"/>
          <w:szCs w:val="20"/>
          <w:color w:val="auto"/>
        </w:rPr>
      </w:pPr>
      <w:r>
        <w:rPr>
          <w:rFonts w:ascii="Arial" w:cs="Arial" w:eastAsia="Arial" w:hAnsi="Arial"/>
          <w:sz w:val="13"/>
          <w:szCs w:val="13"/>
          <w:b w:val="1"/>
          <w:bCs w:val="1"/>
          <w:color w:val="auto"/>
        </w:rPr>
        <w:t xml:space="preserve">5.1.1 </w:t>
      </w:r>
      <w:r>
        <w:rPr>
          <w:rFonts w:ascii="Arial" w:cs="Arial" w:eastAsia="Arial" w:hAnsi="Arial"/>
          <w:sz w:val="13"/>
          <w:szCs w:val="13"/>
          <w:b w:val="1"/>
          <w:bCs w:val="1"/>
          <w:i w:val="1"/>
          <w:iCs w:val="1"/>
          <w:color w:val="auto"/>
        </w:rPr>
        <w:t>Stock Options.</w:t>
      </w:r>
      <w:r>
        <w:rPr>
          <w:rFonts w:ascii="Arial" w:cs="Arial" w:eastAsia="Arial" w:hAnsi="Arial"/>
          <w:sz w:val="13"/>
          <w:szCs w:val="13"/>
          <w:b w:val="1"/>
          <w:bCs w:val="1"/>
          <w:color w:val="auto"/>
        </w:rPr>
        <w:t xml:space="preserve"> </w:t>
      </w:r>
      <w:r>
        <w:rPr>
          <w:rFonts w:ascii="Arial" w:cs="Arial" w:eastAsia="Arial" w:hAnsi="Arial"/>
          <w:sz w:val="13"/>
          <w:szCs w:val="13"/>
          <w:color w:val="auto"/>
        </w:rPr>
        <w:t>A stock option is the grant of a right to purchase a specified number of shares of Common Stock during a specified period as determined by the</w:t>
      </w:r>
      <w:r>
        <w:rPr>
          <w:rFonts w:ascii="Arial" w:cs="Arial" w:eastAsia="Arial" w:hAnsi="Arial"/>
          <w:sz w:val="13"/>
          <w:szCs w:val="13"/>
          <w:b w:val="1"/>
          <w:bCs w:val="1"/>
          <w:color w:val="auto"/>
        </w:rPr>
        <w:t xml:space="preserve"> </w:t>
      </w:r>
      <w:r>
        <w:rPr>
          <w:rFonts w:ascii="Arial" w:cs="Arial" w:eastAsia="Arial" w:hAnsi="Arial"/>
          <w:sz w:val="13"/>
          <w:szCs w:val="13"/>
          <w:color w:val="auto"/>
        </w:rPr>
        <w:t>Administrator. An option may be intended as an incentive stock option within the meaning of Section 422 of the Code (an “</w:t>
      </w:r>
      <w:r>
        <w:rPr>
          <w:rFonts w:ascii="Arial" w:cs="Arial" w:eastAsia="Arial" w:hAnsi="Arial"/>
          <w:sz w:val="13"/>
          <w:szCs w:val="13"/>
          <w:b w:val="1"/>
          <w:bCs w:val="1"/>
          <w:color w:val="auto"/>
        </w:rPr>
        <w:t>ISO</w:t>
      </w:r>
      <w:r>
        <w:rPr>
          <w:rFonts w:ascii="Arial" w:cs="Arial" w:eastAsia="Arial" w:hAnsi="Arial"/>
          <w:sz w:val="13"/>
          <w:szCs w:val="13"/>
          <w:color w:val="auto"/>
        </w:rPr>
        <w:t>”) or a nonqualified stock option (an option not intended to be an ISO). The award agreement for an option will indicate if the option is intended as an ISO; otherwise it will be deemed to be a nonqualified stock option. The maximum term of each option (ISO or nonqualified) shall be ten (10) years. The per share exercise price for each option shall be not less than 100% of the fair market value of a share of Common Stock on the date of grant of the option. When an option is exercised, the exercise price for the shares to be purchased shall be paid in full in cash or such other method permitted by the Administrator consistent with Section 5.4.</w:t>
      </w:r>
    </w:p>
    <w:p>
      <w:pPr>
        <w:spacing w:after="0" w:line="116" w:lineRule="exact"/>
        <w:rPr>
          <w:sz w:val="20"/>
          <w:szCs w:val="20"/>
          <w:color w:val="auto"/>
        </w:rPr>
      </w:pPr>
    </w:p>
    <w:p>
      <w:pPr>
        <w:ind w:left="760" w:right="20"/>
        <w:spacing w:after="0" w:line="242" w:lineRule="auto"/>
        <w:rPr>
          <w:sz w:val="20"/>
          <w:szCs w:val="20"/>
          <w:color w:val="auto"/>
        </w:rPr>
      </w:pPr>
      <w:r>
        <w:rPr>
          <w:rFonts w:ascii="Arial" w:cs="Arial" w:eastAsia="Arial" w:hAnsi="Arial"/>
          <w:sz w:val="13"/>
          <w:szCs w:val="13"/>
          <w:b w:val="1"/>
          <w:bCs w:val="1"/>
          <w:color w:val="auto"/>
        </w:rPr>
        <w:t xml:space="preserve">5.1.2 </w:t>
      </w:r>
      <w:r>
        <w:rPr>
          <w:rFonts w:ascii="Arial" w:cs="Arial" w:eastAsia="Arial" w:hAnsi="Arial"/>
          <w:sz w:val="13"/>
          <w:szCs w:val="13"/>
          <w:b w:val="1"/>
          <w:bCs w:val="1"/>
          <w:i w:val="1"/>
          <w:iCs w:val="1"/>
          <w:color w:val="auto"/>
        </w:rPr>
        <w:t>Additional Rules Applicable to ISOs.</w:t>
      </w:r>
      <w:r>
        <w:rPr>
          <w:rFonts w:ascii="Arial" w:cs="Arial" w:eastAsia="Arial" w:hAnsi="Arial"/>
          <w:sz w:val="13"/>
          <w:szCs w:val="13"/>
          <w:b w:val="1"/>
          <w:bCs w:val="1"/>
          <w:color w:val="auto"/>
        </w:rPr>
        <w:t xml:space="preserve"> </w:t>
      </w:r>
      <w:r>
        <w:rPr>
          <w:rFonts w:ascii="Arial" w:cs="Arial" w:eastAsia="Arial" w:hAnsi="Arial"/>
          <w:sz w:val="13"/>
          <w:szCs w:val="13"/>
          <w:color w:val="auto"/>
        </w:rPr>
        <w:t>To the extent that the aggregate fair market value (determined at the time of grant of the applicable option) of stock with respect to</w:t>
      </w:r>
      <w:r>
        <w:rPr>
          <w:rFonts w:ascii="Arial" w:cs="Arial" w:eastAsia="Arial" w:hAnsi="Arial"/>
          <w:sz w:val="13"/>
          <w:szCs w:val="13"/>
          <w:b w:val="1"/>
          <w:bCs w:val="1"/>
          <w:color w:val="auto"/>
        </w:rPr>
        <w:t xml:space="preserve"> </w:t>
      </w:r>
      <w:r>
        <w:rPr>
          <w:rFonts w:ascii="Arial" w:cs="Arial" w:eastAsia="Arial" w:hAnsi="Arial"/>
          <w:sz w:val="13"/>
          <w:szCs w:val="13"/>
          <w:color w:val="auto"/>
        </w:rPr>
        <w:t>which ISOs first become exercisable by a participant in any calendar year exceeds $100,000, taking into account both Common Stock subject to ISOs under this Plan and stock subject to ISOs under all other plans of the Corporation or one of its Subsidiaries (or any parent or predecessor corporation to the extent required by and within the meaning of Section 422 of the Code and the regulations promulgated thereunder), such options shall be treated as nonqualified stock options. In reducing the number of options treated as ISOs to meet the $100,000 limit, the most recently granted options shall be reduced first. To the extent a reduction of simultaneously granted options is necessary to meet the $100,000 limit, the Administrator may, in the manner and to the extent permitted by law, designate which shares of Common Stock are to be treated as shares acquired pursuant to the exercise of an ISO. ISOs may only be granted to employees of the Corporation or one of its subsidiaries (for this purpose, the term “subsidiary” is used as defined in Section 424(f) of the Code, which generally requires an unbroken chain of ownership of at least 50% of the total combined voting power of all classes of stock of each subsidiary in the chain beginning with the Corporation and ending with the subsidiary in question). No ISO may be granted to any person who, at the time the option is granted, owns (or is deemed to own under Section 424(d) of the Code) shares of outstanding Common Stock possessing more than 10% of the total combined voting power of all classes of stock of the Corporation, unless the exercise price of such option is at least 110% of the fair market value of the stock subject to the option and such option by its terms is not exercisable after the expiration of five years from the date such option is granted. If an otherwise intended ISO fails to meet the applicable requirements of Section 422 of the Code, the option shall be rendered a nonqualified stock option.</w:t>
      </w:r>
    </w:p>
    <w:p>
      <w:pPr>
        <w:spacing w:after="0" w:line="119" w:lineRule="exact"/>
        <w:rPr>
          <w:sz w:val="20"/>
          <w:szCs w:val="20"/>
          <w:color w:val="auto"/>
        </w:rPr>
      </w:pPr>
    </w:p>
    <w:p>
      <w:pPr>
        <w:jc w:val="both"/>
        <w:ind w:left="760" w:right="220"/>
        <w:spacing w:after="0" w:line="253" w:lineRule="auto"/>
        <w:rPr>
          <w:sz w:val="20"/>
          <w:szCs w:val="20"/>
          <w:color w:val="auto"/>
        </w:rPr>
      </w:pPr>
      <w:r>
        <w:rPr>
          <w:rFonts w:ascii="Arial" w:cs="Arial" w:eastAsia="Arial" w:hAnsi="Arial"/>
          <w:sz w:val="13"/>
          <w:szCs w:val="13"/>
          <w:b w:val="1"/>
          <w:bCs w:val="1"/>
          <w:color w:val="auto"/>
        </w:rPr>
        <w:t xml:space="preserve">5.1.3 </w:t>
      </w:r>
      <w:r>
        <w:rPr>
          <w:rFonts w:ascii="Arial" w:cs="Arial" w:eastAsia="Arial" w:hAnsi="Arial"/>
          <w:sz w:val="13"/>
          <w:szCs w:val="13"/>
          <w:b w:val="1"/>
          <w:bCs w:val="1"/>
          <w:i w:val="1"/>
          <w:iCs w:val="1"/>
          <w:color w:val="auto"/>
        </w:rPr>
        <w:t>Stock Appreciation Rights.</w:t>
      </w:r>
      <w:r>
        <w:rPr>
          <w:rFonts w:ascii="Arial" w:cs="Arial" w:eastAsia="Arial" w:hAnsi="Arial"/>
          <w:sz w:val="13"/>
          <w:szCs w:val="13"/>
          <w:b w:val="1"/>
          <w:bCs w:val="1"/>
          <w:color w:val="auto"/>
        </w:rPr>
        <w:t xml:space="preserve"> </w:t>
      </w:r>
      <w:r>
        <w:rPr>
          <w:rFonts w:ascii="Arial" w:cs="Arial" w:eastAsia="Arial" w:hAnsi="Arial"/>
          <w:sz w:val="13"/>
          <w:szCs w:val="13"/>
          <w:color w:val="auto"/>
        </w:rPr>
        <w:t>A stock appreciation right or “</w:t>
      </w:r>
      <w:r>
        <w:rPr>
          <w:rFonts w:ascii="Arial" w:cs="Arial" w:eastAsia="Arial" w:hAnsi="Arial"/>
          <w:sz w:val="13"/>
          <w:szCs w:val="13"/>
          <w:b w:val="1"/>
          <w:bCs w:val="1"/>
          <w:color w:val="auto"/>
        </w:rPr>
        <w:t>SAR</w:t>
      </w:r>
      <w:r>
        <w:rPr>
          <w:rFonts w:ascii="Arial" w:cs="Arial" w:eastAsia="Arial" w:hAnsi="Arial"/>
          <w:sz w:val="13"/>
          <w:szCs w:val="13"/>
          <w:color w:val="auto"/>
        </w:rPr>
        <w:t>” is a right to receive a payment, in cash and/or Common Stock, equal to the excess of the fair market</w:t>
      </w:r>
      <w:r>
        <w:rPr>
          <w:rFonts w:ascii="Arial" w:cs="Arial" w:eastAsia="Arial" w:hAnsi="Arial"/>
          <w:sz w:val="13"/>
          <w:szCs w:val="13"/>
          <w:b w:val="1"/>
          <w:bCs w:val="1"/>
          <w:color w:val="auto"/>
        </w:rPr>
        <w:t xml:space="preserve"> </w:t>
      </w:r>
      <w:r>
        <w:rPr>
          <w:rFonts w:ascii="Arial" w:cs="Arial" w:eastAsia="Arial" w:hAnsi="Arial"/>
          <w:sz w:val="13"/>
          <w:szCs w:val="13"/>
          <w:color w:val="auto"/>
        </w:rPr>
        <w:t>value of a specified number of shares of Common Stock on the date the SAR is exercised over the “base price” of the award, which base price shall not be less than the fair market value of a share of Common Stock on the date the SAR was granted and shall be set forth in the applicable award agreement. The maximum term of a SAR shall be ten (10) years.</w:t>
      </w:r>
    </w:p>
    <w:p>
      <w:pPr>
        <w:spacing w:after="0" w:line="112" w:lineRule="exact"/>
        <w:rPr>
          <w:sz w:val="20"/>
          <w:szCs w:val="20"/>
          <w:color w:val="auto"/>
        </w:rPr>
      </w:pPr>
    </w:p>
    <w:p>
      <w:pPr>
        <w:ind w:left="760" w:right="40"/>
        <w:spacing w:after="0" w:line="244" w:lineRule="auto"/>
        <w:rPr>
          <w:sz w:val="20"/>
          <w:szCs w:val="20"/>
          <w:color w:val="auto"/>
        </w:rPr>
      </w:pPr>
      <w:r>
        <w:rPr>
          <w:rFonts w:ascii="Arial" w:cs="Arial" w:eastAsia="Arial" w:hAnsi="Arial"/>
          <w:sz w:val="13"/>
          <w:szCs w:val="13"/>
          <w:b w:val="1"/>
          <w:bCs w:val="1"/>
          <w:color w:val="auto"/>
        </w:rPr>
        <w:t xml:space="preserve">5.1.4 </w:t>
      </w:r>
      <w:r>
        <w:rPr>
          <w:rFonts w:ascii="Arial" w:cs="Arial" w:eastAsia="Arial" w:hAnsi="Arial"/>
          <w:sz w:val="13"/>
          <w:szCs w:val="13"/>
          <w:b w:val="1"/>
          <w:bCs w:val="1"/>
          <w:i w:val="1"/>
          <w:iCs w:val="1"/>
          <w:color w:val="auto"/>
        </w:rPr>
        <w:t>Other Awards.</w:t>
      </w:r>
      <w:r>
        <w:rPr>
          <w:rFonts w:ascii="Arial" w:cs="Arial" w:eastAsia="Arial" w:hAnsi="Arial"/>
          <w:sz w:val="13"/>
          <w:szCs w:val="13"/>
          <w:b w:val="1"/>
          <w:bCs w:val="1"/>
          <w:color w:val="auto"/>
        </w:rPr>
        <w:t xml:space="preserve"> </w:t>
      </w:r>
      <w:r>
        <w:rPr>
          <w:rFonts w:ascii="Arial" w:cs="Arial" w:eastAsia="Arial" w:hAnsi="Arial"/>
          <w:sz w:val="13"/>
          <w:szCs w:val="13"/>
          <w:color w:val="auto"/>
        </w:rPr>
        <w:t>The other types of awards that may be granted under this Plan include: (a) stock bonuses, restricted stock, performance stock, stock units, phantom</w:t>
      </w:r>
      <w:r>
        <w:rPr>
          <w:rFonts w:ascii="Arial" w:cs="Arial" w:eastAsia="Arial" w:hAnsi="Arial"/>
          <w:sz w:val="13"/>
          <w:szCs w:val="13"/>
          <w:b w:val="1"/>
          <w:bCs w:val="1"/>
          <w:color w:val="auto"/>
        </w:rPr>
        <w:t xml:space="preserve"> </w:t>
      </w:r>
      <w:r>
        <w:rPr>
          <w:rFonts w:ascii="Arial" w:cs="Arial" w:eastAsia="Arial" w:hAnsi="Arial"/>
          <w:sz w:val="13"/>
          <w:szCs w:val="13"/>
          <w:color w:val="auto"/>
        </w:rPr>
        <w:t>stock, dividend equivalents, or similar rights to purchase or acquire shares, whether at a fixed or variable price (or no price) or fixed or variable ratio related to the Common Stock, and any of which may (but need not) be fully vested at grant (except as provided below with respect to dividend equivalent rights) or vest upon the passage of time, the occurrence of one or more events, or the satisfaction of performance criteria or other conditions, or any combination thereof; or (b) cash awards. The types of cash awards that may be granted under this Plan include the opportunity to receive a payment for the achievement of one or more goals established by the Administrator, on such terms as the Administrator may provide, as well as discretionary cash awards. Dividend equivalent rights may be granted as a separate award or in connection with another award under this Plan; provided, however, that dividend equivalent rights may not be granted in connection with a stock option or SAR granted under this Plan. In addition, any dividends and/or dividend equivalents as to the portion of an award that is subject to unsatisfied vesting requirements will be subject to termination and forfeiture to the same extent as the corresponding portion of the award to which they relate in the event the applicable vesting requirements are not satisfied.</w:t>
      </w:r>
    </w:p>
    <w:p>
      <w:pPr>
        <w:spacing w:after="0" w:line="182" w:lineRule="exact"/>
        <w:rPr>
          <w:sz w:val="20"/>
          <w:szCs w:val="20"/>
          <w:color w:val="auto"/>
        </w:rPr>
      </w:pPr>
    </w:p>
    <w:p>
      <w:pPr>
        <w:jc w:val="right"/>
        <w:spacing w:after="0"/>
        <w:tabs>
          <w:tab w:leader="none" w:pos="260" w:val="left"/>
        </w:tabs>
        <w:rPr>
          <w:sz w:val="20"/>
          <w:szCs w:val="20"/>
          <w:color w:val="auto"/>
        </w:rPr>
      </w:pPr>
      <w:r>
        <w:rPr>
          <w:rFonts w:ascii="Arial" w:cs="Arial" w:eastAsia="Arial" w:hAnsi="Arial"/>
          <w:sz w:val="13"/>
          <w:szCs w:val="13"/>
          <w:color w:val="23628F"/>
        </w:rPr>
        <w:t>2020 PROXY STATEMENT</w:t>
      </w:r>
      <w:r>
        <w:rPr>
          <w:sz w:val="20"/>
          <w:szCs w:val="20"/>
          <w:color w:val="auto"/>
        </w:rPr>
        <w:tab/>
      </w:r>
      <w:r>
        <w:rPr>
          <w:rFonts w:ascii="Arial" w:cs="Arial" w:eastAsia="Arial" w:hAnsi="Arial"/>
          <w:sz w:val="16"/>
          <w:szCs w:val="16"/>
          <w:b w:val="1"/>
          <w:bCs w:val="1"/>
          <w:color w:val="23628F"/>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153275" cy="209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23628F"/>
        </w:rPr>
        <w:t>APPENDIX B</w:t>
      </w:r>
    </w:p>
    <w:p>
      <w:pPr>
        <w:spacing w:after="0" w:line="199" w:lineRule="exact"/>
        <w:rPr>
          <w:sz w:val="20"/>
          <w:szCs w:val="20"/>
          <w:color w:val="auto"/>
        </w:rPr>
      </w:pPr>
    </w:p>
    <w:p>
      <w:pPr>
        <w:ind w:left="760"/>
        <w:spacing w:after="0" w:line="249" w:lineRule="auto"/>
        <w:rPr>
          <w:sz w:val="20"/>
          <w:szCs w:val="20"/>
          <w:color w:val="auto"/>
        </w:rPr>
      </w:pPr>
      <w:r>
        <w:rPr>
          <w:rFonts w:ascii="Arial" w:cs="Arial" w:eastAsia="Arial" w:hAnsi="Arial"/>
          <w:sz w:val="13"/>
          <w:szCs w:val="13"/>
          <w:b w:val="1"/>
          <w:bCs w:val="1"/>
          <w:color w:val="auto"/>
        </w:rPr>
        <w:t xml:space="preserve">5.1.5 </w:t>
      </w:r>
      <w:r>
        <w:rPr>
          <w:rFonts w:ascii="Arial" w:cs="Arial" w:eastAsia="Arial" w:hAnsi="Arial"/>
          <w:sz w:val="13"/>
          <w:szCs w:val="13"/>
          <w:b w:val="1"/>
          <w:bCs w:val="1"/>
          <w:i w:val="1"/>
          <w:iCs w:val="1"/>
          <w:color w:val="auto"/>
        </w:rPr>
        <w:t>Minimum Vesting Requirements.</w:t>
      </w:r>
      <w:r>
        <w:rPr>
          <w:rFonts w:ascii="Arial" w:cs="Arial" w:eastAsia="Arial" w:hAnsi="Arial"/>
          <w:sz w:val="13"/>
          <w:szCs w:val="13"/>
          <w:b w:val="1"/>
          <w:bCs w:val="1"/>
          <w:color w:val="auto"/>
        </w:rPr>
        <w:t xml:space="preserve"> </w:t>
      </w:r>
      <w:r>
        <w:rPr>
          <w:rFonts w:ascii="Arial" w:cs="Arial" w:eastAsia="Arial" w:hAnsi="Arial"/>
          <w:sz w:val="13"/>
          <w:szCs w:val="13"/>
          <w:color w:val="auto"/>
        </w:rPr>
        <w:t>Except for any accelerated vesting required pursuant to Section 7 or as provided in the next sentence, each award granted under this</w:t>
      </w:r>
      <w:r>
        <w:rPr>
          <w:rFonts w:ascii="Arial" w:cs="Arial" w:eastAsia="Arial" w:hAnsi="Arial"/>
          <w:sz w:val="13"/>
          <w:szCs w:val="13"/>
          <w:b w:val="1"/>
          <w:bCs w:val="1"/>
          <w:color w:val="auto"/>
        </w:rPr>
        <w:t xml:space="preserve"> </w:t>
      </w:r>
      <w:r>
        <w:rPr>
          <w:rFonts w:ascii="Arial" w:cs="Arial" w:eastAsia="Arial" w:hAnsi="Arial"/>
          <w:sz w:val="13"/>
          <w:szCs w:val="13"/>
          <w:color w:val="auto"/>
        </w:rPr>
        <w:t>Plan that is granted or payable in shares of Common Stock shall be subject to a minimum vesting requirement of one-year and no portion of any such award may vest earlier than the first anniversary of the grant date of the award (the “</w:t>
      </w:r>
      <w:r>
        <w:rPr>
          <w:rFonts w:ascii="Arial" w:cs="Arial" w:eastAsia="Arial" w:hAnsi="Arial"/>
          <w:sz w:val="13"/>
          <w:szCs w:val="13"/>
          <w:b w:val="1"/>
          <w:bCs w:val="1"/>
          <w:color w:val="auto"/>
        </w:rPr>
        <w:t>Minimum Vesting Requirement</w:t>
      </w:r>
      <w:r>
        <w:rPr>
          <w:rFonts w:ascii="Arial" w:cs="Arial" w:eastAsia="Arial" w:hAnsi="Arial"/>
          <w:sz w:val="13"/>
          <w:szCs w:val="13"/>
          <w:color w:val="auto"/>
        </w:rPr>
        <w:t>”). The Minimum Vesting Requirement shall not apply to 5% of the total number of shares available under this Plan (which shares may be used for awards that do not include a one year vesting period or may provide for no vesting requirement) and shall not limit or restrict the Administrator’s discretion to accelerate or provide for the acceleration of vesting of any award in circumstances it determines to be appropriate.</w:t>
      </w:r>
    </w:p>
    <w:p>
      <w:pPr>
        <w:spacing w:after="0" w:line="115" w:lineRule="exact"/>
        <w:rPr>
          <w:sz w:val="20"/>
          <w:szCs w:val="20"/>
          <w:color w:val="auto"/>
        </w:rPr>
      </w:pPr>
    </w:p>
    <w:p>
      <w:pPr>
        <w:ind w:left="760"/>
        <w:spacing w:after="0" w:line="242" w:lineRule="auto"/>
        <w:rPr>
          <w:sz w:val="20"/>
          <w:szCs w:val="20"/>
          <w:color w:val="auto"/>
        </w:rPr>
      </w:pPr>
      <w:r>
        <w:rPr>
          <w:rFonts w:ascii="Arial" w:cs="Arial" w:eastAsia="Arial" w:hAnsi="Arial"/>
          <w:sz w:val="13"/>
          <w:szCs w:val="13"/>
          <w:b w:val="1"/>
          <w:bCs w:val="1"/>
          <w:color w:val="auto"/>
        </w:rPr>
        <w:t xml:space="preserve">5.1.6 </w:t>
      </w:r>
      <w:r>
        <w:rPr>
          <w:rFonts w:ascii="Arial" w:cs="Arial" w:eastAsia="Arial" w:hAnsi="Arial"/>
          <w:sz w:val="13"/>
          <w:szCs w:val="13"/>
          <w:b w:val="1"/>
          <w:bCs w:val="1"/>
          <w:i w:val="1"/>
          <w:iCs w:val="1"/>
          <w:color w:val="auto"/>
        </w:rPr>
        <w:t>Performance Goals.</w:t>
      </w:r>
      <w:r>
        <w:rPr>
          <w:rFonts w:ascii="Arial" w:cs="Arial" w:eastAsia="Arial" w:hAnsi="Arial"/>
          <w:sz w:val="13"/>
          <w:szCs w:val="13"/>
          <w:b w:val="1"/>
          <w:bCs w:val="1"/>
          <w:color w:val="auto"/>
        </w:rPr>
        <w:t xml:space="preserve"> </w:t>
      </w:r>
      <w:r>
        <w:rPr>
          <w:rFonts w:ascii="Arial" w:cs="Arial" w:eastAsia="Arial" w:hAnsi="Arial"/>
          <w:sz w:val="13"/>
          <w:szCs w:val="13"/>
          <w:color w:val="auto"/>
        </w:rPr>
        <w:t>The grant, vesting, exercisability or payment of an award may (but need not) depend on the degree of achievement of one or more performance</w:t>
      </w:r>
      <w:r>
        <w:rPr>
          <w:rFonts w:ascii="Arial" w:cs="Arial" w:eastAsia="Arial" w:hAnsi="Arial"/>
          <w:sz w:val="13"/>
          <w:szCs w:val="13"/>
          <w:b w:val="1"/>
          <w:bCs w:val="1"/>
          <w:color w:val="auto"/>
        </w:rPr>
        <w:t xml:space="preserve"> </w:t>
      </w:r>
      <w:r>
        <w:rPr>
          <w:rFonts w:ascii="Arial" w:cs="Arial" w:eastAsia="Arial" w:hAnsi="Arial"/>
          <w:sz w:val="13"/>
          <w:szCs w:val="13"/>
          <w:color w:val="auto"/>
        </w:rPr>
        <w:t>goals relative to a pre-established targeted level or levels using one or more of the Business Criteria set forth below (on an absolute or relative (including, without limitation, relative to the performance of one or more other companies or upon comparisons of any of the indicators of performance relative to one or more other companies) basis, any of which may also be expressed as a growth or decline measure relative to an amount or performance for a prior date or period) for the Corporation on a consolidated basis or for one or more of the Corporation’s subsidiaries, segments, divisions or business units, or any combination of the foregoing, or any other basis for measurement as established by the Administrator. The “</w:t>
      </w:r>
      <w:r>
        <w:rPr>
          <w:rFonts w:ascii="Arial" w:cs="Arial" w:eastAsia="Arial" w:hAnsi="Arial"/>
          <w:sz w:val="13"/>
          <w:szCs w:val="13"/>
          <w:b w:val="1"/>
          <w:bCs w:val="1"/>
          <w:color w:val="auto"/>
        </w:rPr>
        <w:t>Business Criteria</w:t>
      </w:r>
      <w:r>
        <w:rPr>
          <w:rFonts w:ascii="Arial" w:cs="Arial" w:eastAsia="Arial" w:hAnsi="Arial"/>
          <w:sz w:val="13"/>
          <w:szCs w:val="13"/>
          <w:color w:val="auto"/>
        </w:rPr>
        <w:t>” as selected by the Administrator in its sole discretion may be: (i) earnings per share, (ii) adjusted earnings per share, (iii) cash flow (which means cash and cash equivalents derived from either net cash flow from operations or net cash flow from operations, financing and investing activities), (iv) stock price,</w:t>
      </w:r>
    </w:p>
    <w:p>
      <w:pPr>
        <w:ind w:left="760" w:right="20" w:firstLine="4"/>
        <w:spacing w:after="0" w:line="239" w:lineRule="auto"/>
        <w:tabs>
          <w:tab w:leader="none" w:pos="955" w:val="left"/>
        </w:tabs>
        <w:numPr>
          <w:ilvl w:val="0"/>
          <w:numId w:val="257"/>
        </w:numPr>
        <w:rPr>
          <w:rFonts w:ascii="Arial" w:cs="Arial" w:eastAsia="Arial" w:hAnsi="Arial"/>
          <w:sz w:val="13"/>
          <w:szCs w:val="13"/>
          <w:color w:val="auto"/>
        </w:rPr>
      </w:pPr>
      <w:r>
        <w:rPr>
          <w:rFonts w:ascii="Arial" w:cs="Arial" w:eastAsia="Arial" w:hAnsi="Arial"/>
          <w:sz w:val="13"/>
          <w:szCs w:val="13"/>
          <w:color w:val="auto"/>
        </w:rPr>
        <w:t>total stockholder return, (vi) gross or net sales or revenue, (vii) revenue growth, (viii) operating income (before or after taxes), (ix) net earnings (before or after interest, taxes, depreciation and/or amortization), (x) return on equity, assets, capital or net investment, (xi) cost or expense containment or reduction, (xii) market share or total available market, (xiii) economic value added, (xiv) gross margin or adjusted gross margin, (xv) net income, or any combination thereof, or any other criterion or criteria established by the Administrator. Unless otherwise approved by the Administrator, the specific performance formula, goal or goals (“targets”) as to such a performance-based award must be established during the first 90 days of the performance period (and, in the case of performance periods of less than one year, in no event after 25% or more of the performance period has elapsed). The Administrator may provide that any performance-based goals (or the applicable measure of performance) will be adjusted to mitigate the unbudgeted impact of significant, material, unusual or nonrecurring items, accounting changes, extraordinary events not foreseen at the time the targets were set, or other circumstances determined by the Administrator. By way of example, such adjustment items may include, but are not limited to, one or more of the following: (i) items related to a change in accounting principle, (ii) items relating to financing activities, (iii) expenses for restructuring or productivity initiatives, (iv) other non-operating items, (v) items related to acquisitions, (vi) items attributable to the business operations of any entity acquired by the Corporation during the performance period, (vii) items related to the disposal of a business or segment of a business, (viii) items related to discontinued operations that do not qualify as a segment of a business under applicable accounting standards, (ix) items attributable to any stock dividend, stock split, combination or exchange of stock occurring during the performance period, (x) any other items of significant income or expense, (xi) items relating to unusual or extraordinary corporate transactions, events or developments, (xii) items related to amortization of acquired intangible assets, (xiii) items that are outside the scope of core, on-going business activities, (xiv) items related to acquired in-process research and development, (xv) items relating to changes in tax laws, (xvi) items relating to licensing or partnership arrangements, (xvii) items relating to asset impairment charges, (xviii) items relating to gains or losses for litigation, arbitration and contractual settlements, or (xix) items relating to any other unusual or nonrecurring events or changes in applicable law or business conditions.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23628F"/>
        </w:rPr>
        <w:t xml:space="preserve">B-6  </w:t>
      </w:r>
      <w:r>
        <w:rPr>
          <w:rFonts w:ascii="Arial" w:cs="Arial" w:eastAsia="Arial" w:hAnsi="Arial"/>
          <w:sz w:val="13"/>
          <w:szCs w:val="13"/>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53275" cy="209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ind w:left="10420"/>
        <w:spacing w:after="0"/>
        <w:rPr>
          <w:sz w:val="20"/>
          <w:szCs w:val="20"/>
          <w:color w:val="auto"/>
        </w:rPr>
      </w:pPr>
      <w:r>
        <w:rPr>
          <w:rFonts w:ascii="Arial" w:cs="Arial" w:eastAsia="Arial" w:hAnsi="Arial"/>
          <w:sz w:val="13"/>
          <w:szCs w:val="13"/>
          <w:color w:val="23628F"/>
        </w:rPr>
        <w:t>APPENDIX B</w:t>
      </w:r>
    </w:p>
    <w:p>
      <w:pPr>
        <w:spacing w:after="0" w:line="199" w:lineRule="exact"/>
        <w:rPr>
          <w:sz w:val="20"/>
          <w:szCs w:val="20"/>
          <w:color w:val="auto"/>
        </w:rPr>
      </w:pPr>
    </w:p>
    <w:p>
      <w:pPr>
        <w:ind w:left="760" w:right="20" w:hanging="377"/>
        <w:spacing w:after="0" w:line="247" w:lineRule="auto"/>
        <w:tabs>
          <w:tab w:leader="none" w:pos="740" w:val="left"/>
        </w:tabs>
        <w:rPr>
          <w:sz w:val="20"/>
          <w:szCs w:val="20"/>
          <w:color w:val="auto"/>
        </w:rPr>
      </w:pPr>
      <w:r>
        <w:rPr>
          <w:rFonts w:ascii="Arial" w:cs="Arial" w:eastAsia="Arial" w:hAnsi="Arial"/>
          <w:sz w:val="13"/>
          <w:szCs w:val="13"/>
          <w:b w:val="1"/>
          <w:bCs w:val="1"/>
          <w:color w:val="auto"/>
        </w:rPr>
        <w:t>5.2</w:t>
      </w:r>
      <w:r>
        <w:rPr>
          <w:sz w:val="20"/>
          <w:szCs w:val="20"/>
          <w:color w:val="auto"/>
        </w:rPr>
        <w:tab/>
      </w:r>
      <w:r>
        <w:rPr>
          <w:rFonts w:ascii="Arial" w:cs="Arial" w:eastAsia="Arial" w:hAnsi="Arial"/>
          <w:sz w:val="13"/>
          <w:szCs w:val="13"/>
          <w:b w:val="1"/>
          <w:bCs w:val="1"/>
          <w:i w:val="1"/>
          <w:iCs w:val="1"/>
          <w:color w:val="auto"/>
        </w:rPr>
        <w:t xml:space="preserve">Award Agreements. </w:t>
      </w:r>
      <w:r>
        <w:rPr>
          <w:rFonts w:ascii="Arial" w:cs="Arial" w:eastAsia="Arial" w:hAnsi="Arial"/>
          <w:sz w:val="13"/>
          <w:szCs w:val="13"/>
          <w:color w:val="auto"/>
        </w:rPr>
        <w:t>Each award shall be evidenced by either (1) a written award agreement in a form approved by the Administrator, or (2) an electronic notice of award grant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 a form approved by the Administrator and recorded by the Corporation (or its designee) in an electronic recordkeeping system used for the purpose of tracking award grants under this Plan generally (in each case, an “award agreement”), as the Administrator may provide and, in each case and if required by the Administrator, executed or otherwise electronically accepted (including deemed acceptance) by the recipient of the award in such form and manner as the Administrator may require. The Administrator may authorize any officer of the Corporation (other than the particular award recipient) to execute any or all award agreements on behalf of the Corporation. The award agreement shall set forth the material terms and conditions of the award as established by the Administrator consistent with the express limitations of this Plan.</w:t>
      </w:r>
    </w:p>
    <w:p>
      <w:pPr>
        <w:spacing w:after="0" w:line="116" w:lineRule="exact"/>
        <w:rPr>
          <w:sz w:val="20"/>
          <w:szCs w:val="20"/>
          <w:color w:val="auto"/>
        </w:rPr>
      </w:pPr>
    </w:p>
    <w:p>
      <w:pPr>
        <w:ind w:left="760" w:right="20" w:hanging="377"/>
        <w:spacing w:after="0" w:line="249" w:lineRule="auto"/>
        <w:tabs>
          <w:tab w:leader="none" w:pos="740" w:val="left"/>
        </w:tabs>
        <w:rPr>
          <w:sz w:val="20"/>
          <w:szCs w:val="20"/>
          <w:color w:val="auto"/>
        </w:rPr>
      </w:pPr>
      <w:r>
        <w:rPr>
          <w:rFonts w:ascii="Arial" w:cs="Arial" w:eastAsia="Arial" w:hAnsi="Arial"/>
          <w:sz w:val="13"/>
          <w:szCs w:val="13"/>
          <w:b w:val="1"/>
          <w:bCs w:val="1"/>
          <w:color w:val="auto"/>
        </w:rPr>
        <w:t>5.3</w:t>
      </w:r>
      <w:r>
        <w:rPr>
          <w:sz w:val="20"/>
          <w:szCs w:val="20"/>
          <w:color w:val="auto"/>
        </w:rPr>
        <w:tab/>
      </w:r>
      <w:r>
        <w:rPr>
          <w:rFonts w:ascii="Arial" w:cs="Arial" w:eastAsia="Arial" w:hAnsi="Arial"/>
          <w:sz w:val="13"/>
          <w:szCs w:val="13"/>
          <w:b w:val="1"/>
          <w:bCs w:val="1"/>
          <w:i w:val="1"/>
          <w:iCs w:val="1"/>
          <w:color w:val="auto"/>
        </w:rPr>
        <w:t xml:space="preserve">Deferrals and Settlements. </w:t>
      </w:r>
      <w:r>
        <w:rPr>
          <w:rFonts w:ascii="Arial" w:cs="Arial" w:eastAsia="Arial" w:hAnsi="Arial"/>
          <w:sz w:val="13"/>
          <w:szCs w:val="13"/>
          <w:color w:val="auto"/>
        </w:rPr>
        <w:t>Payment of awards may be in the form of cash, Common Stock, other awards or combinations thereof as the Administrator shall determine,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with such restrictions (if any) as it may impose, as set forth in the applicable award agreement. The Administrator may also require or permit participants to elect to defer the issuance of shares or the settlement of awards in cash under such rules and procedures as it may establish under this Plan and in accordance with the applicable award agreement. The Administrator may also provide that deferred settlements include the payment or crediting of interest or other earnings on the deferral amounts, or the payment or crediting of dividend equivalents where the deferred amounts are denominated in shares.</w:t>
      </w:r>
    </w:p>
    <w:p>
      <w:pPr>
        <w:spacing w:after="0" w:line="115" w:lineRule="exact"/>
        <w:rPr>
          <w:sz w:val="20"/>
          <w:szCs w:val="20"/>
          <w:color w:val="auto"/>
        </w:rPr>
      </w:pPr>
    </w:p>
    <w:p>
      <w:pPr>
        <w:ind w:left="760" w:right="40" w:hanging="377"/>
        <w:spacing w:after="0" w:line="268" w:lineRule="auto"/>
        <w:tabs>
          <w:tab w:leader="none" w:pos="740" w:val="left"/>
        </w:tabs>
        <w:rPr>
          <w:sz w:val="20"/>
          <w:szCs w:val="20"/>
          <w:color w:val="auto"/>
        </w:rPr>
      </w:pPr>
      <w:r>
        <w:rPr>
          <w:rFonts w:ascii="Arial" w:cs="Arial" w:eastAsia="Arial" w:hAnsi="Arial"/>
          <w:sz w:val="13"/>
          <w:szCs w:val="13"/>
          <w:b w:val="1"/>
          <w:bCs w:val="1"/>
          <w:color w:val="auto"/>
        </w:rPr>
        <w:t>5.4</w:t>
      </w:r>
      <w:r>
        <w:rPr>
          <w:sz w:val="20"/>
          <w:szCs w:val="20"/>
          <w:color w:val="auto"/>
        </w:rPr>
        <w:tab/>
      </w:r>
      <w:r>
        <w:rPr>
          <w:rFonts w:ascii="Arial" w:cs="Arial" w:eastAsia="Arial" w:hAnsi="Arial"/>
          <w:sz w:val="13"/>
          <w:szCs w:val="13"/>
          <w:b w:val="1"/>
          <w:bCs w:val="1"/>
          <w:i w:val="1"/>
          <w:iCs w:val="1"/>
          <w:color w:val="auto"/>
        </w:rPr>
        <w:t xml:space="preserve">Consideration for Common Stock or Awards. </w:t>
      </w:r>
      <w:r>
        <w:rPr>
          <w:rFonts w:ascii="Arial" w:cs="Arial" w:eastAsia="Arial" w:hAnsi="Arial"/>
          <w:sz w:val="13"/>
          <w:szCs w:val="13"/>
          <w:color w:val="auto"/>
        </w:rPr>
        <w:t>The purchase price (if any) for any award granted under this Plan or the Common Stock to be delivered pursuant to an award,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as applicable, may be paid by means of any lawful consideration as determined by the Administrator, including, without limitation, one or a combination of the following methods:</w:t>
      </w:r>
    </w:p>
    <w:p>
      <w:pPr>
        <w:spacing w:after="0" w:line="276" w:lineRule="exact"/>
        <w:rPr>
          <w:sz w:val="20"/>
          <w:szCs w:val="20"/>
          <w:color w:val="auto"/>
        </w:rPr>
      </w:pPr>
    </w:p>
    <w:p>
      <w:pPr>
        <w:ind w:left="1020" w:hanging="220"/>
        <w:spacing w:after="0"/>
        <w:tabs>
          <w:tab w:leader="none" w:pos="1020" w:val="left"/>
        </w:tabs>
        <w:numPr>
          <w:ilvl w:val="0"/>
          <w:numId w:val="258"/>
        </w:numPr>
        <w:rPr>
          <w:rFonts w:ascii="Arial" w:cs="Arial" w:eastAsia="Arial" w:hAnsi="Arial"/>
          <w:sz w:val="13"/>
          <w:szCs w:val="13"/>
          <w:color w:val="61C4AF"/>
        </w:rPr>
      </w:pPr>
      <w:r>
        <w:rPr>
          <w:rFonts w:ascii="Arial" w:cs="Arial" w:eastAsia="Arial" w:hAnsi="Arial"/>
          <w:sz w:val="13"/>
          <w:szCs w:val="13"/>
          <w:color w:val="auto"/>
        </w:rPr>
        <w:t>a reduction in compensation otherwise payable to the recipient of such award or for services rendered by the recipient;</w:t>
      </w:r>
    </w:p>
    <w:p>
      <w:pPr>
        <w:spacing w:after="0" w:line="107" w:lineRule="exact"/>
        <w:rPr>
          <w:rFonts w:ascii="Arial" w:cs="Arial" w:eastAsia="Arial" w:hAnsi="Arial"/>
          <w:sz w:val="13"/>
          <w:szCs w:val="13"/>
          <w:color w:val="61C4AF"/>
        </w:rPr>
      </w:pPr>
    </w:p>
    <w:p>
      <w:pPr>
        <w:ind w:left="1020" w:hanging="220"/>
        <w:spacing w:after="0"/>
        <w:tabs>
          <w:tab w:leader="none" w:pos="1020" w:val="left"/>
        </w:tabs>
        <w:numPr>
          <w:ilvl w:val="0"/>
          <w:numId w:val="258"/>
        </w:numPr>
        <w:rPr>
          <w:rFonts w:ascii="Arial" w:cs="Arial" w:eastAsia="Arial" w:hAnsi="Arial"/>
          <w:sz w:val="13"/>
          <w:szCs w:val="13"/>
          <w:color w:val="61C4AF"/>
        </w:rPr>
      </w:pPr>
      <w:r>
        <w:rPr>
          <w:rFonts w:ascii="Arial" w:cs="Arial" w:eastAsia="Arial" w:hAnsi="Arial"/>
          <w:sz w:val="13"/>
          <w:szCs w:val="13"/>
          <w:color w:val="auto"/>
        </w:rPr>
        <w:t>cash, check payable to the order of the Corporation, or electronic funds transfer;</w:t>
      </w:r>
    </w:p>
    <w:p>
      <w:pPr>
        <w:spacing w:after="0" w:line="107" w:lineRule="exact"/>
        <w:rPr>
          <w:rFonts w:ascii="Arial" w:cs="Arial" w:eastAsia="Arial" w:hAnsi="Arial"/>
          <w:sz w:val="13"/>
          <w:szCs w:val="13"/>
          <w:color w:val="61C4AF"/>
        </w:rPr>
      </w:pPr>
    </w:p>
    <w:p>
      <w:pPr>
        <w:ind w:left="1020" w:hanging="220"/>
        <w:spacing w:after="0"/>
        <w:tabs>
          <w:tab w:leader="none" w:pos="1020" w:val="left"/>
        </w:tabs>
        <w:numPr>
          <w:ilvl w:val="0"/>
          <w:numId w:val="258"/>
        </w:numPr>
        <w:rPr>
          <w:rFonts w:ascii="Arial" w:cs="Arial" w:eastAsia="Arial" w:hAnsi="Arial"/>
          <w:sz w:val="13"/>
          <w:szCs w:val="13"/>
          <w:color w:val="61C4AF"/>
        </w:rPr>
      </w:pPr>
      <w:r>
        <w:rPr>
          <w:rFonts w:ascii="Arial" w:cs="Arial" w:eastAsia="Arial" w:hAnsi="Arial"/>
          <w:sz w:val="13"/>
          <w:szCs w:val="13"/>
          <w:color w:val="auto"/>
        </w:rPr>
        <w:t>notice and third party payment in such manner as may be authorized by the Administrator;</w:t>
      </w:r>
    </w:p>
    <w:p>
      <w:pPr>
        <w:spacing w:after="0" w:line="107" w:lineRule="exact"/>
        <w:rPr>
          <w:rFonts w:ascii="Arial" w:cs="Arial" w:eastAsia="Arial" w:hAnsi="Arial"/>
          <w:sz w:val="13"/>
          <w:szCs w:val="13"/>
          <w:color w:val="61C4AF"/>
        </w:rPr>
      </w:pPr>
    </w:p>
    <w:p>
      <w:pPr>
        <w:ind w:left="1020" w:hanging="220"/>
        <w:spacing w:after="0"/>
        <w:tabs>
          <w:tab w:leader="none" w:pos="1020" w:val="left"/>
        </w:tabs>
        <w:numPr>
          <w:ilvl w:val="0"/>
          <w:numId w:val="258"/>
        </w:numPr>
        <w:rPr>
          <w:rFonts w:ascii="Arial" w:cs="Arial" w:eastAsia="Arial" w:hAnsi="Arial"/>
          <w:sz w:val="13"/>
          <w:szCs w:val="13"/>
          <w:color w:val="61C4AF"/>
        </w:rPr>
      </w:pPr>
      <w:r>
        <w:rPr>
          <w:rFonts w:ascii="Arial" w:cs="Arial" w:eastAsia="Arial" w:hAnsi="Arial"/>
          <w:sz w:val="13"/>
          <w:szCs w:val="13"/>
          <w:color w:val="auto"/>
        </w:rPr>
        <w:t>the delivery of previously owned shares of Common Stock;</w:t>
      </w:r>
    </w:p>
    <w:p>
      <w:pPr>
        <w:spacing w:after="0" w:line="107" w:lineRule="exact"/>
        <w:rPr>
          <w:rFonts w:ascii="Arial" w:cs="Arial" w:eastAsia="Arial" w:hAnsi="Arial"/>
          <w:sz w:val="13"/>
          <w:szCs w:val="13"/>
          <w:color w:val="61C4AF"/>
        </w:rPr>
      </w:pPr>
    </w:p>
    <w:p>
      <w:pPr>
        <w:ind w:left="1020" w:hanging="220"/>
        <w:spacing w:after="0"/>
        <w:tabs>
          <w:tab w:leader="none" w:pos="1020" w:val="left"/>
        </w:tabs>
        <w:numPr>
          <w:ilvl w:val="0"/>
          <w:numId w:val="258"/>
        </w:numPr>
        <w:rPr>
          <w:rFonts w:ascii="Arial" w:cs="Arial" w:eastAsia="Arial" w:hAnsi="Arial"/>
          <w:sz w:val="13"/>
          <w:szCs w:val="13"/>
          <w:color w:val="61C4AF"/>
        </w:rPr>
      </w:pPr>
      <w:r>
        <w:rPr>
          <w:rFonts w:ascii="Arial" w:cs="Arial" w:eastAsia="Arial" w:hAnsi="Arial"/>
          <w:sz w:val="13"/>
          <w:szCs w:val="13"/>
          <w:color w:val="auto"/>
        </w:rPr>
        <w:t>by a reduction in the number of shares otherwise deliverable pursuant to the award; or</w:t>
      </w:r>
    </w:p>
    <w:p>
      <w:pPr>
        <w:spacing w:after="0" w:line="107" w:lineRule="exact"/>
        <w:rPr>
          <w:rFonts w:ascii="Arial" w:cs="Arial" w:eastAsia="Arial" w:hAnsi="Arial"/>
          <w:sz w:val="13"/>
          <w:szCs w:val="13"/>
          <w:color w:val="61C4AF"/>
        </w:rPr>
      </w:pPr>
    </w:p>
    <w:p>
      <w:pPr>
        <w:ind w:left="1040" w:right="560" w:hanging="240"/>
        <w:spacing w:after="0" w:line="258" w:lineRule="auto"/>
        <w:tabs>
          <w:tab w:leader="none" w:pos="1017" w:val="left"/>
        </w:tabs>
        <w:numPr>
          <w:ilvl w:val="0"/>
          <w:numId w:val="258"/>
        </w:numPr>
        <w:rPr>
          <w:rFonts w:ascii="Arial" w:cs="Arial" w:eastAsia="Arial" w:hAnsi="Arial"/>
          <w:sz w:val="13"/>
          <w:szCs w:val="13"/>
          <w:color w:val="61C4AF"/>
        </w:rPr>
      </w:pPr>
      <w:r>
        <w:rPr>
          <w:rFonts w:ascii="Arial" w:cs="Arial" w:eastAsia="Arial" w:hAnsi="Arial"/>
          <w:sz w:val="13"/>
          <w:szCs w:val="13"/>
          <w:color w:val="auto"/>
        </w:rPr>
        <w:t>subject to such procedures as the Administrator may adopt, pursuant to a “cashless exercise” with a third party who provides financing for the purposes of (or who otherwise facilitates) the purchase or exercise of awards, including through same-day sales.</w:t>
      </w:r>
    </w:p>
    <w:p>
      <w:pPr>
        <w:spacing w:after="0" w:line="84" w:lineRule="exact"/>
        <w:rPr>
          <w:sz w:val="20"/>
          <w:szCs w:val="20"/>
          <w:color w:val="auto"/>
        </w:rPr>
      </w:pPr>
    </w:p>
    <w:p>
      <w:pPr>
        <w:ind w:left="760" w:right="20"/>
        <w:spacing w:after="0" w:line="242" w:lineRule="auto"/>
        <w:rPr>
          <w:sz w:val="20"/>
          <w:szCs w:val="20"/>
          <w:color w:val="auto"/>
        </w:rPr>
      </w:pPr>
      <w:r>
        <w:rPr>
          <w:rFonts w:ascii="Arial" w:cs="Arial" w:eastAsia="Arial" w:hAnsi="Arial"/>
          <w:sz w:val="13"/>
          <w:szCs w:val="13"/>
          <w:color w:val="auto"/>
        </w:rPr>
        <w:t>In no event shall any shares newly-issued by the Corporation be issued for less than the minimum lawful consideration for such shares or for consideration other than consideration permitted by applicable state law. Shares of Common Stock used to satisfy the exercise price of an option shall be valued at their fair market value. The Corporation will not be obligated to deliver any shares unless and until it receives full payment of the exercise or purchase price therefor and any related withholding obligations under Section 8.5 and any other conditions to exercise or purchase have been satisfied. Unless otherwise expressly provided in the applicable award agreement, the Administrator may at any time eliminate or limit a participant’s ability to pay any purchase or exercise price of any award or shares by any method other than cash payment to the Corporation.</w:t>
      </w:r>
    </w:p>
    <w:p>
      <w:pPr>
        <w:spacing w:after="0" w:line="270" w:lineRule="exact"/>
        <w:rPr>
          <w:sz w:val="20"/>
          <w:szCs w:val="20"/>
          <w:color w:val="auto"/>
        </w:rPr>
      </w:pPr>
    </w:p>
    <w:p>
      <w:pPr>
        <w:ind w:left="760" w:hanging="377"/>
        <w:spacing w:after="0" w:line="244" w:lineRule="auto"/>
        <w:tabs>
          <w:tab w:leader="none" w:pos="740" w:val="left"/>
        </w:tabs>
        <w:rPr>
          <w:sz w:val="20"/>
          <w:szCs w:val="20"/>
          <w:color w:val="auto"/>
        </w:rPr>
      </w:pPr>
      <w:r>
        <w:rPr>
          <w:rFonts w:ascii="Arial" w:cs="Arial" w:eastAsia="Arial" w:hAnsi="Arial"/>
          <w:sz w:val="13"/>
          <w:szCs w:val="13"/>
          <w:b w:val="1"/>
          <w:bCs w:val="1"/>
          <w:color w:val="auto"/>
        </w:rPr>
        <w:t>5.5</w:t>
      </w:r>
      <w:r>
        <w:rPr>
          <w:sz w:val="20"/>
          <w:szCs w:val="20"/>
          <w:color w:val="auto"/>
        </w:rPr>
        <w:tab/>
      </w:r>
      <w:r>
        <w:rPr>
          <w:rFonts w:ascii="Arial" w:cs="Arial" w:eastAsia="Arial" w:hAnsi="Arial"/>
          <w:sz w:val="13"/>
          <w:szCs w:val="13"/>
          <w:b w:val="1"/>
          <w:bCs w:val="1"/>
          <w:i w:val="1"/>
          <w:iCs w:val="1"/>
          <w:color w:val="auto"/>
        </w:rPr>
        <w:t xml:space="preserve">Definition of Fair Market Value. </w:t>
      </w:r>
      <w:r>
        <w:rPr>
          <w:rFonts w:ascii="Arial" w:cs="Arial" w:eastAsia="Arial" w:hAnsi="Arial"/>
          <w:sz w:val="13"/>
          <w:szCs w:val="13"/>
          <w:color w:val="auto"/>
        </w:rPr>
        <w:t>For purposes of this Plan, “fair market value” shall mean, unless otherwise determined or provided by the Administrator in the circumstances,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 closing price (in regular trading) of a share of Common Stock on the Nasdaq Stock Market (or, if the Common Stock is not then traded on the Nasdaq Stock Market, on the principal national securities exchange on which the Common Stock is then listed or admitted to trade) (the “</w:t>
      </w:r>
      <w:r>
        <w:rPr>
          <w:rFonts w:ascii="Arial" w:cs="Arial" w:eastAsia="Arial" w:hAnsi="Arial"/>
          <w:sz w:val="13"/>
          <w:szCs w:val="13"/>
          <w:b w:val="1"/>
          <w:bCs w:val="1"/>
          <w:color w:val="auto"/>
        </w:rPr>
        <w:t>Exchange</w:t>
      </w:r>
      <w:r>
        <w:rPr>
          <w:rFonts w:ascii="Arial" w:cs="Arial" w:eastAsia="Arial" w:hAnsi="Arial"/>
          <w:sz w:val="13"/>
          <w:szCs w:val="13"/>
          <w:color w:val="auto"/>
        </w:rPr>
        <w:t>”) for the date in question or, if no sales of Common Stock were made on the Exchange on that date, the closing price (in regular trading) of a share of Common Stock on the Exchange for the next preceding day on which sales of Common Stock were made on the Exchange. The Administrator may, however, provide with respect to one or more awards that the fair market value shall equal the last closing price (in regular trading) of a share of Common Stock on the Exchange available at the relevant time or the average of the high and low trading prices of a share of Common Stock on the Exchange for the date in question or the most recent trading day. If the Common Stock is no longer listed or is no longer actively traded on the Exchange as of the applicable date, the fair market value of the Common Stock shall be the</w:t>
      </w:r>
    </w:p>
    <w:p>
      <w:pPr>
        <w:spacing w:after="0" w:line="186" w:lineRule="exact"/>
        <w:rPr>
          <w:sz w:val="20"/>
          <w:szCs w:val="20"/>
          <w:color w:val="auto"/>
        </w:rPr>
      </w:pPr>
    </w:p>
    <w:p>
      <w:pPr>
        <w:jc w:val="right"/>
        <w:spacing w:after="0"/>
        <w:tabs>
          <w:tab w:leader="none" w:pos="260" w:val="left"/>
        </w:tabs>
        <w:rPr>
          <w:sz w:val="20"/>
          <w:szCs w:val="20"/>
          <w:color w:val="auto"/>
        </w:rPr>
      </w:pPr>
      <w:r>
        <w:rPr>
          <w:rFonts w:ascii="Arial" w:cs="Arial" w:eastAsia="Arial" w:hAnsi="Arial"/>
          <w:sz w:val="13"/>
          <w:szCs w:val="13"/>
          <w:color w:val="23628F"/>
        </w:rPr>
        <w:t>2020 PROXY STATEMENT</w:t>
      </w:r>
      <w:r>
        <w:rPr>
          <w:sz w:val="20"/>
          <w:szCs w:val="20"/>
          <w:color w:val="auto"/>
        </w:rPr>
        <w:tab/>
      </w:r>
      <w:r>
        <w:rPr>
          <w:rFonts w:ascii="Arial" w:cs="Arial" w:eastAsia="Arial" w:hAnsi="Arial"/>
          <w:sz w:val="16"/>
          <w:szCs w:val="16"/>
          <w:b w:val="1"/>
          <w:bCs w:val="1"/>
          <w:color w:val="23628F"/>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153275" cy="209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23628F"/>
        </w:rPr>
        <w:t>APPENDIX B</w:t>
      </w:r>
    </w:p>
    <w:p>
      <w:pPr>
        <w:spacing w:after="0" w:line="215" w:lineRule="exact"/>
        <w:rPr>
          <w:sz w:val="20"/>
          <w:szCs w:val="20"/>
          <w:color w:val="auto"/>
        </w:rPr>
      </w:pPr>
    </w:p>
    <w:p>
      <w:pPr>
        <w:ind w:left="760" w:right="20"/>
        <w:spacing w:after="0" w:line="245" w:lineRule="auto"/>
        <w:rPr>
          <w:sz w:val="20"/>
          <w:szCs w:val="20"/>
          <w:color w:val="auto"/>
        </w:rPr>
      </w:pPr>
      <w:r>
        <w:rPr>
          <w:rFonts w:ascii="Arial" w:cs="Arial" w:eastAsia="Arial" w:hAnsi="Arial"/>
          <w:sz w:val="13"/>
          <w:szCs w:val="13"/>
          <w:color w:val="auto"/>
        </w:rPr>
        <w:t>value as reasonably determined by the Administrator for purposes of the award in the circumstances. The Administrator also may adopt a different methodology for determining fair market value with respect to one or more awards if a different methodology is necessary or advisable to secure any intended favorable tax, legal or other treatment for the particular award(s) (for example, and without limitation, the Administrator may provide that fair market value for purposes of one or more awards will be based on an average of closing prices (or the average of high and low daily trading prices) for a specified period preceding the relevant date).</w:t>
      </w:r>
    </w:p>
    <w:p>
      <w:pPr>
        <w:spacing w:after="0" w:line="116" w:lineRule="exact"/>
        <w:rPr>
          <w:sz w:val="20"/>
          <w:szCs w:val="20"/>
          <w:color w:val="auto"/>
        </w:rPr>
      </w:pPr>
    </w:p>
    <w:p>
      <w:pPr>
        <w:ind w:left="380"/>
        <w:spacing w:after="0"/>
        <w:tabs>
          <w:tab w:leader="none" w:pos="740" w:val="left"/>
        </w:tabs>
        <w:rPr>
          <w:sz w:val="20"/>
          <w:szCs w:val="20"/>
          <w:color w:val="auto"/>
        </w:rPr>
      </w:pPr>
      <w:r>
        <w:rPr>
          <w:rFonts w:ascii="Arial" w:cs="Arial" w:eastAsia="Arial" w:hAnsi="Arial"/>
          <w:sz w:val="13"/>
          <w:szCs w:val="13"/>
          <w:b w:val="1"/>
          <w:bCs w:val="1"/>
          <w:color w:val="auto"/>
        </w:rPr>
        <w:t>5.6</w:t>
      </w:r>
      <w:r>
        <w:rPr>
          <w:sz w:val="20"/>
          <w:szCs w:val="20"/>
          <w:color w:val="auto"/>
        </w:rPr>
        <w:tab/>
      </w:r>
      <w:r>
        <w:rPr>
          <w:rFonts w:ascii="Arial" w:cs="Arial" w:eastAsia="Arial" w:hAnsi="Arial"/>
          <w:sz w:val="13"/>
          <w:szCs w:val="13"/>
          <w:b w:val="1"/>
          <w:bCs w:val="1"/>
          <w:i w:val="1"/>
          <w:iCs w:val="1"/>
          <w:color w:val="auto"/>
        </w:rPr>
        <w:t>Transfer Restrictions.</w:t>
      </w:r>
    </w:p>
    <w:p>
      <w:pPr>
        <w:spacing w:after="0" w:line="148" w:lineRule="exact"/>
        <w:rPr>
          <w:sz w:val="20"/>
          <w:szCs w:val="20"/>
          <w:color w:val="auto"/>
        </w:rPr>
      </w:pPr>
    </w:p>
    <w:p>
      <w:pPr>
        <w:ind w:left="760"/>
        <w:spacing w:after="0" w:line="253" w:lineRule="auto"/>
        <w:rPr>
          <w:sz w:val="20"/>
          <w:szCs w:val="20"/>
          <w:color w:val="auto"/>
        </w:rPr>
      </w:pPr>
      <w:r>
        <w:rPr>
          <w:rFonts w:ascii="Arial" w:cs="Arial" w:eastAsia="Arial" w:hAnsi="Arial"/>
          <w:sz w:val="13"/>
          <w:szCs w:val="13"/>
          <w:b w:val="1"/>
          <w:bCs w:val="1"/>
          <w:color w:val="auto"/>
        </w:rPr>
        <w:t xml:space="preserve">5.6.1 </w:t>
      </w:r>
      <w:r>
        <w:rPr>
          <w:rFonts w:ascii="Arial" w:cs="Arial" w:eastAsia="Arial" w:hAnsi="Arial"/>
          <w:sz w:val="13"/>
          <w:szCs w:val="13"/>
          <w:b w:val="1"/>
          <w:bCs w:val="1"/>
          <w:i w:val="1"/>
          <w:iCs w:val="1"/>
          <w:color w:val="auto"/>
        </w:rPr>
        <w:t>Limitations on Exercise and Transfer</w:t>
      </w:r>
      <w:r>
        <w:rPr>
          <w:rFonts w:ascii="Arial" w:cs="Arial" w:eastAsia="Arial" w:hAnsi="Arial"/>
          <w:sz w:val="13"/>
          <w:szCs w:val="13"/>
          <w:b w:val="1"/>
          <w:bCs w:val="1"/>
          <w:color w:val="auto"/>
        </w:rPr>
        <w:t xml:space="preserve">. </w:t>
      </w:r>
      <w:r>
        <w:rPr>
          <w:rFonts w:ascii="Arial" w:cs="Arial" w:eastAsia="Arial" w:hAnsi="Arial"/>
          <w:sz w:val="13"/>
          <w:szCs w:val="13"/>
          <w:color w:val="auto"/>
        </w:rPr>
        <w:t>Unless otherwise expressly provided in (or pursuant to) this Section 5.6, by applicable law and by the award agreement, as the</w:t>
      </w:r>
      <w:r>
        <w:rPr>
          <w:rFonts w:ascii="Arial" w:cs="Arial" w:eastAsia="Arial" w:hAnsi="Arial"/>
          <w:sz w:val="13"/>
          <w:szCs w:val="13"/>
          <w:b w:val="1"/>
          <w:bCs w:val="1"/>
          <w:color w:val="auto"/>
        </w:rPr>
        <w:t xml:space="preserve"> </w:t>
      </w:r>
      <w:r>
        <w:rPr>
          <w:rFonts w:ascii="Arial" w:cs="Arial" w:eastAsia="Arial" w:hAnsi="Arial"/>
          <w:sz w:val="13"/>
          <w:szCs w:val="13"/>
          <w:color w:val="auto"/>
        </w:rPr>
        <w:t>same may be amended, (a) all awards are non-transferable and shall not be subject in any manner to sale, transfer, anticipation, alienation, assignment, pledge, encumbrance or charge; (b) awards shall be exercised only by the participant; and (c) amounts payable or shares issuable pursuant to any award shall be delivered only to (or for the account of) the participant.</w:t>
      </w:r>
    </w:p>
    <w:p>
      <w:pPr>
        <w:spacing w:after="0" w:line="112" w:lineRule="exact"/>
        <w:rPr>
          <w:sz w:val="20"/>
          <w:szCs w:val="20"/>
          <w:color w:val="auto"/>
        </w:rPr>
      </w:pPr>
    </w:p>
    <w:p>
      <w:pPr>
        <w:ind w:left="760" w:right="140"/>
        <w:spacing w:after="0" w:line="253" w:lineRule="auto"/>
        <w:rPr>
          <w:sz w:val="20"/>
          <w:szCs w:val="20"/>
          <w:color w:val="auto"/>
        </w:rPr>
      </w:pPr>
      <w:r>
        <w:rPr>
          <w:rFonts w:ascii="Arial" w:cs="Arial" w:eastAsia="Arial" w:hAnsi="Arial"/>
          <w:sz w:val="13"/>
          <w:szCs w:val="13"/>
          <w:b w:val="1"/>
          <w:bCs w:val="1"/>
          <w:color w:val="auto"/>
        </w:rPr>
        <w:t xml:space="preserve">5.6.2 </w:t>
      </w:r>
      <w:r>
        <w:rPr>
          <w:rFonts w:ascii="Arial" w:cs="Arial" w:eastAsia="Arial" w:hAnsi="Arial"/>
          <w:sz w:val="13"/>
          <w:szCs w:val="13"/>
          <w:b w:val="1"/>
          <w:bCs w:val="1"/>
          <w:i w:val="1"/>
          <w:iCs w:val="1"/>
          <w:color w:val="auto"/>
        </w:rPr>
        <w:t>Exceptions</w:t>
      </w:r>
      <w:r>
        <w:rPr>
          <w:rFonts w:ascii="Arial" w:cs="Arial" w:eastAsia="Arial" w:hAnsi="Arial"/>
          <w:sz w:val="13"/>
          <w:szCs w:val="13"/>
          <w:b w:val="1"/>
          <w:bCs w:val="1"/>
          <w:color w:val="auto"/>
        </w:rPr>
        <w:t xml:space="preserve">. </w:t>
      </w:r>
      <w:r>
        <w:rPr>
          <w:rFonts w:ascii="Arial" w:cs="Arial" w:eastAsia="Arial" w:hAnsi="Arial"/>
          <w:sz w:val="13"/>
          <w:szCs w:val="13"/>
          <w:color w:val="auto"/>
        </w:rPr>
        <w:t>The Administrator may permit awards to be transferred to other persons or entities pursuant to such conditions and procedures, including limitations on</w:t>
      </w:r>
      <w:r>
        <w:rPr>
          <w:rFonts w:ascii="Arial" w:cs="Arial" w:eastAsia="Arial" w:hAnsi="Arial"/>
          <w:sz w:val="13"/>
          <w:szCs w:val="13"/>
          <w:b w:val="1"/>
          <w:bCs w:val="1"/>
          <w:color w:val="auto"/>
        </w:rPr>
        <w:t xml:space="preserve"> </w:t>
      </w:r>
      <w:r>
        <w:rPr>
          <w:rFonts w:ascii="Arial" w:cs="Arial" w:eastAsia="Arial" w:hAnsi="Arial"/>
          <w:sz w:val="13"/>
          <w:szCs w:val="13"/>
          <w:color w:val="auto"/>
        </w:rPr>
        <w:t>subsequent transfers, as the Administrator may, in its sole discretion, establish in writing; provided, however, that any such transfer shall only be permitted if it is made by the participant for estate or tax planning or charitable purposes for no (or nominal; i.e. the minimum consideration required by applicable law) consideration, as determined by the Administrator. Any permitted transfer shall be subject to compliance with applicable federal and state securities laws.</w:t>
      </w:r>
    </w:p>
    <w:p>
      <w:pPr>
        <w:spacing w:after="0" w:line="112"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 xml:space="preserve">5.6.3 </w:t>
      </w:r>
      <w:r>
        <w:rPr>
          <w:rFonts w:ascii="Arial" w:cs="Arial" w:eastAsia="Arial" w:hAnsi="Arial"/>
          <w:sz w:val="13"/>
          <w:szCs w:val="13"/>
          <w:b w:val="1"/>
          <w:bCs w:val="1"/>
          <w:i w:val="1"/>
          <w:iCs w:val="1"/>
          <w:color w:val="auto"/>
        </w:rPr>
        <w:t>Further Exceptions to Limits on Transfer.</w:t>
      </w:r>
      <w:r>
        <w:rPr>
          <w:rFonts w:ascii="Arial" w:cs="Arial" w:eastAsia="Arial" w:hAnsi="Arial"/>
          <w:sz w:val="13"/>
          <w:szCs w:val="13"/>
          <w:b w:val="1"/>
          <w:bCs w:val="1"/>
          <w:color w:val="auto"/>
        </w:rPr>
        <w:t xml:space="preserve"> </w:t>
      </w:r>
      <w:r>
        <w:rPr>
          <w:rFonts w:ascii="Arial" w:cs="Arial" w:eastAsia="Arial" w:hAnsi="Arial"/>
          <w:sz w:val="13"/>
          <w:szCs w:val="13"/>
          <w:color w:val="auto"/>
        </w:rPr>
        <w:t>The exercise and transfer restrictions in Section 5.6.1 shall not apply to:</w:t>
      </w:r>
    </w:p>
    <w:p>
      <w:pPr>
        <w:spacing w:after="0" w:line="164" w:lineRule="exact"/>
        <w:rPr>
          <w:sz w:val="20"/>
          <w:szCs w:val="20"/>
          <w:color w:val="auto"/>
        </w:rPr>
      </w:pPr>
    </w:p>
    <w:p>
      <w:pPr>
        <w:ind w:left="1140" w:hanging="376"/>
        <w:spacing w:after="0"/>
        <w:tabs>
          <w:tab w:leader="none" w:pos="1140" w:val="left"/>
        </w:tabs>
        <w:numPr>
          <w:ilvl w:val="0"/>
          <w:numId w:val="259"/>
        </w:numPr>
        <w:rPr>
          <w:rFonts w:ascii="Arial" w:cs="Arial" w:eastAsia="Arial" w:hAnsi="Arial"/>
          <w:sz w:val="13"/>
          <w:szCs w:val="13"/>
          <w:color w:val="auto"/>
        </w:rPr>
      </w:pPr>
      <w:r>
        <w:rPr>
          <w:rFonts w:ascii="Arial" w:cs="Arial" w:eastAsia="Arial" w:hAnsi="Arial"/>
          <w:sz w:val="13"/>
          <w:szCs w:val="13"/>
          <w:color w:val="auto"/>
        </w:rPr>
        <w:t>transfers to the Corporation,</w:t>
      </w:r>
    </w:p>
    <w:p>
      <w:pPr>
        <w:spacing w:after="0" w:line="147" w:lineRule="exact"/>
        <w:rPr>
          <w:rFonts w:ascii="Arial" w:cs="Arial" w:eastAsia="Arial" w:hAnsi="Arial"/>
          <w:sz w:val="13"/>
          <w:szCs w:val="13"/>
          <w:color w:val="auto"/>
        </w:rPr>
      </w:pPr>
    </w:p>
    <w:p>
      <w:pPr>
        <w:ind w:left="1140" w:right="520" w:hanging="376"/>
        <w:spacing w:after="0" w:line="258" w:lineRule="auto"/>
        <w:tabs>
          <w:tab w:leader="none" w:pos="1140" w:val="left"/>
        </w:tabs>
        <w:numPr>
          <w:ilvl w:val="0"/>
          <w:numId w:val="259"/>
        </w:numPr>
        <w:rPr>
          <w:rFonts w:ascii="Arial" w:cs="Arial" w:eastAsia="Arial" w:hAnsi="Arial"/>
          <w:sz w:val="13"/>
          <w:szCs w:val="13"/>
          <w:color w:val="auto"/>
        </w:rPr>
      </w:pPr>
      <w:r>
        <w:rPr>
          <w:rFonts w:ascii="Arial" w:cs="Arial" w:eastAsia="Arial" w:hAnsi="Arial"/>
          <w:sz w:val="13"/>
          <w:szCs w:val="13"/>
          <w:color w:val="auto"/>
        </w:rPr>
        <w:t>the designation of a beneficiary to receive benefits in the event of the participant’s death or, if the participant has died, transfers to or exercise by the participant’s beneficiary, or, in the absence of a validly designated beneficiary, transfers by will or the laws of descent and distribution,</w:t>
      </w:r>
    </w:p>
    <w:p>
      <w:pPr>
        <w:spacing w:after="0" w:line="124" w:lineRule="exact"/>
        <w:rPr>
          <w:rFonts w:ascii="Arial" w:cs="Arial" w:eastAsia="Arial" w:hAnsi="Arial"/>
          <w:sz w:val="13"/>
          <w:szCs w:val="13"/>
          <w:color w:val="auto"/>
        </w:rPr>
      </w:pPr>
    </w:p>
    <w:p>
      <w:pPr>
        <w:ind w:left="1140" w:right="500" w:hanging="376"/>
        <w:spacing w:after="0" w:line="258" w:lineRule="auto"/>
        <w:tabs>
          <w:tab w:leader="none" w:pos="1140" w:val="left"/>
        </w:tabs>
        <w:numPr>
          <w:ilvl w:val="0"/>
          <w:numId w:val="259"/>
        </w:numPr>
        <w:rPr>
          <w:rFonts w:ascii="Arial" w:cs="Arial" w:eastAsia="Arial" w:hAnsi="Arial"/>
          <w:sz w:val="13"/>
          <w:szCs w:val="13"/>
          <w:color w:val="auto"/>
        </w:rPr>
      </w:pPr>
      <w:r>
        <w:rPr>
          <w:rFonts w:ascii="Arial" w:cs="Arial" w:eastAsia="Arial" w:hAnsi="Arial"/>
          <w:sz w:val="13"/>
          <w:szCs w:val="13"/>
          <w:color w:val="auto"/>
        </w:rPr>
        <w:t>subject to any applicable limitations on ISOs and to such procedures as the Administrator may prescribe, transfers to a family member (or former family member) pursuant to a domestic relations order,</w:t>
      </w:r>
    </w:p>
    <w:p>
      <w:pPr>
        <w:spacing w:after="0" w:line="124" w:lineRule="exact"/>
        <w:rPr>
          <w:rFonts w:ascii="Arial" w:cs="Arial" w:eastAsia="Arial" w:hAnsi="Arial"/>
          <w:sz w:val="13"/>
          <w:szCs w:val="13"/>
          <w:color w:val="auto"/>
        </w:rPr>
      </w:pPr>
    </w:p>
    <w:p>
      <w:pPr>
        <w:ind w:left="1140" w:hanging="376"/>
        <w:spacing w:after="0"/>
        <w:tabs>
          <w:tab w:leader="none" w:pos="1140" w:val="left"/>
        </w:tabs>
        <w:numPr>
          <w:ilvl w:val="0"/>
          <w:numId w:val="259"/>
        </w:numPr>
        <w:rPr>
          <w:rFonts w:ascii="Arial" w:cs="Arial" w:eastAsia="Arial" w:hAnsi="Arial"/>
          <w:sz w:val="13"/>
          <w:szCs w:val="13"/>
          <w:color w:val="auto"/>
        </w:rPr>
      </w:pPr>
      <w:r>
        <w:rPr>
          <w:rFonts w:ascii="Arial" w:cs="Arial" w:eastAsia="Arial" w:hAnsi="Arial"/>
          <w:sz w:val="13"/>
          <w:szCs w:val="13"/>
          <w:color w:val="auto"/>
        </w:rPr>
        <w:t>if the participant has suffered a disability, permitted transfers or exercises on behalf of the participant by his or her legal representative, or</w:t>
      </w:r>
    </w:p>
    <w:p>
      <w:pPr>
        <w:spacing w:after="0" w:line="147" w:lineRule="exact"/>
        <w:rPr>
          <w:rFonts w:ascii="Arial" w:cs="Arial" w:eastAsia="Arial" w:hAnsi="Arial"/>
          <w:sz w:val="13"/>
          <w:szCs w:val="13"/>
          <w:color w:val="auto"/>
        </w:rPr>
      </w:pPr>
    </w:p>
    <w:p>
      <w:pPr>
        <w:ind w:left="1140" w:right="440" w:hanging="376"/>
        <w:spacing w:after="0" w:line="258" w:lineRule="auto"/>
        <w:tabs>
          <w:tab w:leader="none" w:pos="1140" w:val="left"/>
        </w:tabs>
        <w:numPr>
          <w:ilvl w:val="0"/>
          <w:numId w:val="259"/>
        </w:numPr>
        <w:rPr>
          <w:rFonts w:ascii="Arial" w:cs="Arial" w:eastAsia="Arial" w:hAnsi="Arial"/>
          <w:sz w:val="13"/>
          <w:szCs w:val="13"/>
          <w:color w:val="auto"/>
        </w:rPr>
      </w:pPr>
      <w:r>
        <w:rPr>
          <w:rFonts w:ascii="Arial" w:cs="Arial" w:eastAsia="Arial" w:hAnsi="Arial"/>
          <w:sz w:val="13"/>
          <w:szCs w:val="13"/>
          <w:color w:val="auto"/>
        </w:rPr>
        <w:t>the authorization by the Administrator of “cashless exercise” procedures with third parties who provide financing for the purpose of (or who otherwise facilitate) the exercise of awards consistent with applicable laws and the express authorization of the Administrator.</w:t>
      </w:r>
    </w:p>
    <w:p>
      <w:pPr>
        <w:spacing w:after="0" w:line="108" w:lineRule="exact"/>
        <w:rPr>
          <w:sz w:val="20"/>
          <w:szCs w:val="20"/>
          <w:color w:val="auto"/>
        </w:rPr>
      </w:pPr>
    </w:p>
    <w:p>
      <w:pPr>
        <w:ind w:left="760" w:right="40" w:hanging="377"/>
        <w:spacing w:after="0" w:line="253" w:lineRule="auto"/>
        <w:tabs>
          <w:tab w:leader="none" w:pos="740" w:val="left"/>
        </w:tabs>
        <w:rPr>
          <w:sz w:val="20"/>
          <w:szCs w:val="20"/>
          <w:color w:val="auto"/>
        </w:rPr>
      </w:pPr>
      <w:r>
        <w:rPr>
          <w:rFonts w:ascii="Arial" w:cs="Arial" w:eastAsia="Arial" w:hAnsi="Arial"/>
          <w:sz w:val="13"/>
          <w:szCs w:val="13"/>
          <w:b w:val="1"/>
          <w:bCs w:val="1"/>
          <w:color w:val="auto"/>
        </w:rPr>
        <w:t>5.7</w:t>
      </w:r>
      <w:r>
        <w:rPr>
          <w:sz w:val="20"/>
          <w:szCs w:val="20"/>
          <w:color w:val="auto"/>
        </w:rPr>
        <w:tab/>
      </w:r>
      <w:r>
        <w:rPr>
          <w:rFonts w:ascii="Arial" w:cs="Arial" w:eastAsia="Arial" w:hAnsi="Arial"/>
          <w:sz w:val="13"/>
          <w:szCs w:val="13"/>
          <w:b w:val="1"/>
          <w:bCs w:val="1"/>
          <w:i w:val="1"/>
          <w:iCs w:val="1"/>
          <w:color w:val="auto"/>
        </w:rPr>
        <w:t xml:space="preserve">International Awards. </w:t>
      </w:r>
      <w:r>
        <w:rPr>
          <w:rFonts w:ascii="Arial" w:cs="Arial" w:eastAsia="Arial" w:hAnsi="Arial"/>
          <w:sz w:val="13"/>
          <w:szCs w:val="13"/>
          <w:color w:val="auto"/>
        </w:rPr>
        <w:t>One or more awards may be granted to Eligible Persons who provide services to the Corporation or one of its Subsidiaries outside of the United States.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Any awards granted to such persons may be granted pursuant to the terms and conditions of any applicable sub-plans, if any, appended to this Plan and approved by the Administrator. The awards so granted need not comply with other specific terms of this Plan, provided that stockholder approval of any deviation from the specific terms of this Plan is not required by applicable law or any applicable listing agency.</w:t>
      </w:r>
    </w:p>
    <w:p>
      <w:pPr>
        <w:spacing w:after="0" w:line="112" w:lineRule="exact"/>
        <w:rPr>
          <w:sz w:val="20"/>
          <w:szCs w:val="20"/>
          <w:color w:val="auto"/>
        </w:rPr>
      </w:pPr>
    </w:p>
    <w:p>
      <w:pPr>
        <w:ind w:left="380" w:hanging="372"/>
        <w:spacing w:after="0"/>
        <w:tabs>
          <w:tab w:leader="none" w:pos="380" w:val="left"/>
        </w:tabs>
        <w:numPr>
          <w:ilvl w:val="0"/>
          <w:numId w:val="260"/>
        </w:numPr>
        <w:rPr>
          <w:rFonts w:ascii="Arial" w:cs="Arial" w:eastAsia="Arial" w:hAnsi="Arial"/>
          <w:sz w:val="13"/>
          <w:szCs w:val="13"/>
          <w:b w:val="1"/>
          <w:bCs w:val="1"/>
          <w:color w:val="23628F"/>
        </w:rPr>
      </w:pPr>
      <w:r>
        <w:rPr>
          <w:rFonts w:ascii="Arial" w:cs="Arial" w:eastAsia="Arial" w:hAnsi="Arial"/>
          <w:sz w:val="13"/>
          <w:szCs w:val="13"/>
          <w:b w:val="1"/>
          <w:bCs w:val="1"/>
          <w:color w:val="23628F"/>
        </w:rPr>
        <w:t>EFFECT OF TERMINATION OF SERVICE ON AWARDS</w:t>
      </w:r>
    </w:p>
    <w:p>
      <w:pPr>
        <w:spacing w:after="0" w:line="147" w:lineRule="exact"/>
        <w:rPr>
          <w:rFonts w:ascii="Arial" w:cs="Arial" w:eastAsia="Arial" w:hAnsi="Arial"/>
          <w:sz w:val="13"/>
          <w:szCs w:val="13"/>
          <w:b w:val="1"/>
          <w:bCs w:val="1"/>
          <w:color w:val="23628F"/>
        </w:rPr>
      </w:pPr>
    </w:p>
    <w:p>
      <w:pPr>
        <w:ind w:left="760" w:right="180" w:hanging="378"/>
        <w:spacing w:after="0" w:line="249" w:lineRule="auto"/>
        <w:rPr>
          <w:rFonts w:ascii="Arial" w:cs="Arial" w:eastAsia="Arial" w:hAnsi="Arial"/>
          <w:sz w:val="13"/>
          <w:szCs w:val="13"/>
          <w:b w:val="1"/>
          <w:bCs w:val="1"/>
          <w:color w:val="23628F"/>
        </w:rPr>
      </w:pPr>
      <w:r>
        <w:rPr>
          <w:rFonts w:ascii="Arial" w:cs="Arial" w:eastAsia="Arial" w:hAnsi="Arial"/>
          <w:sz w:val="13"/>
          <w:szCs w:val="13"/>
          <w:b w:val="1"/>
          <w:bCs w:val="1"/>
          <w:color w:val="auto"/>
        </w:rPr>
        <w:t xml:space="preserve">6.1 </w:t>
      </w:r>
      <w:r>
        <w:rPr>
          <w:rFonts w:ascii="Arial" w:cs="Arial" w:eastAsia="Arial" w:hAnsi="Arial"/>
          <w:sz w:val="13"/>
          <w:szCs w:val="13"/>
          <w:b w:val="1"/>
          <w:bCs w:val="1"/>
          <w:i w:val="1"/>
          <w:iCs w:val="1"/>
          <w:color w:val="auto"/>
        </w:rPr>
        <w:t>General.</w:t>
      </w:r>
      <w:r>
        <w:rPr>
          <w:rFonts w:ascii="Arial" w:cs="Arial" w:eastAsia="Arial" w:hAnsi="Arial"/>
          <w:sz w:val="13"/>
          <w:szCs w:val="13"/>
          <w:b w:val="1"/>
          <w:bCs w:val="1"/>
          <w:color w:val="auto"/>
        </w:rPr>
        <w:t xml:space="preserve"> </w:t>
      </w:r>
      <w:r>
        <w:rPr>
          <w:rFonts w:ascii="Arial" w:cs="Arial" w:eastAsia="Arial" w:hAnsi="Arial"/>
          <w:sz w:val="13"/>
          <w:szCs w:val="13"/>
          <w:color w:val="auto"/>
        </w:rPr>
        <w:t>The Administrator shall establish the effect (if any) of a termination of employment or service on the rights and benefits under each award under this Plan and in so</w:t>
      </w:r>
      <w:r>
        <w:rPr>
          <w:rFonts w:ascii="Arial" w:cs="Arial" w:eastAsia="Arial" w:hAnsi="Arial"/>
          <w:sz w:val="13"/>
          <w:szCs w:val="13"/>
          <w:b w:val="1"/>
          <w:bCs w:val="1"/>
          <w:color w:val="auto"/>
        </w:rPr>
        <w:t xml:space="preserve"> </w:t>
      </w:r>
      <w:r>
        <w:rPr>
          <w:rFonts w:ascii="Arial" w:cs="Arial" w:eastAsia="Arial" w:hAnsi="Arial"/>
          <w:sz w:val="13"/>
          <w:szCs w:val="13"/>
          <w:color w:val="auto"/>
        </w:rPr>
        <w:t>doing may make distinctions based upon, inter alia, the cause of termination and type of award. If the participant is not an employee of the Corporation or one of its Subsidiaries and provides other services to the Corporation or one of its Subsidiaries, the Administrator shall be the sole judge for purposes of this Plan (unless a contract or the award otherwise provides) of whether the participant continues to render services to the Corporation or one of its Subsidiaries and the date, if any, upon which such services shall be deemed to have terminated.</w:t>
      </w:r>
    </w:p>
    <w:p>
      <w:pPr>
        <w:spacing w:after="0" w:line="115" w:lineRule="exact"/>
        <w:rPr>
          <w:rFonts w:ascii="Arial" w:cs="Arial" w:eastAsia="Arial" w:hAnsi="Arial"/>
          <w:sz w:val="13"/>
          <w:szCs w:val="13"/>
          <w:b w:val="1"/>
          <w:bCs w:val="1"/>
          <w:color w:val="23628F"/>
        </w:rPr>
      </w:pPr>
    </w:p>
    <w:p>
      <w:pPr>
        <w:ind w:left="760" w:right="140" w:hanging="378"/>
        <w:spacing w:after="0" w:line="261" w:lineRule="auto"/>
        <w:rPr>
          <w:rFonts w:ascii="Arial" w:cs="Arial" w:eastAsia="Arial" w:hAnsi="Arial"/>
          <w:sz w:val="13"/>
          <w:szCs w:val="13"/>
          <w:b w:val="1"/>
          <w:bCs w:val="1"/>
          <w:color w:val="23628F"/>
        </w:rPr>
      </w:pPr>
      <w:r>
        <w:rPr>
          <w:rFonts w:ascii="Arial" w:cs="Arial" w:eastAsia="Arial" w:hAnsi="Arial"/>
          <w:sz w:val="13"/>
          <w:szCs w:val="13"/>
          <w:b w:val="1"/>
          <w:bCs w:val="1"/>
          <w:color w:val="auto"/>
        </w:rPr>
        <w:t xml:space="preserve">6.2 </w:t>
      </w:r>
      <w:r>
        <w:rPr>
          <w:rFonts w:ascii="Arial" w:cs="Arial" w:eastAsia="Arial" w:hAnsi="Arial"/>
          <w:sz w:val="13"/>
          <w:szCs w:val="13"/>
          <w:b w:val="1"/>
          <w:bCs w:val="1"/>
          <w:i w:val="1"/>
          <w:iCs w:val="1"/>
          <w:color w:val="auto"/>
        </w:rPr>
        <w:t>Events Not Deemed Terminations of Service.</w:t>
      </w:r>
      <w:r>
        <w:rPr>
          <w:rFonts w:ascii="Arial" w:cs="Arial" w:eastAsia="Arial" w:hAnsi="Arial"/>
          <w:sz w:val="13"/>
          <w:szCs w:val="13"/>
          <w:b w:val="1"/>
          <w:bCs w:val="1"/>
          <w:color w:val="auto"/>
        </w:rPr>
        <w:t xml:space="preserve"> </w:t>
      </w:r>
      <w:r>
        <w:rPr>
          <w:rFonts w:ascii="Arial" w:cs="Arial" w:eastAsia="Arial" w:hAnsi="Arial"/>
          <w:sz w:val="13"/>
          <w:szCs w:val="13"/>
          <w:color w:val="auto"/>
        </w:rPr>
        <w:t>Unless the express policy of the Corporation or one of its Subsidiaries, or the Administrator, otherwise provides, or except as</w:t>
      </w:r>
      <w:r>
        <w:rPr>
          <w:rFonts w:ascii="Arial" w:cs="Arial" w:eastAsia="Arial" w:hAnsi="Arial"/>
          <w:sz w:val="13"/>
          <w:szCs w:val="13"/>
          <w:b w:val="1"/>
          <w:bCs w:val="1"/>
          <w:color w:val="auto"/>
        </w:rPr>
        <w:t xml:space="preserve"> </w:t>
      </w:r>
      <w:r>
        <w:rPr>
          <w:rFonts w:ascii="Arial" w:cs="Arial" w:eastAsia="Arial" w:hAnsi="Arial"/>
          <w:sz w:val="13"/>
          <w:szCs w:val="13"/>
          <w:color w:val="auto"/>
        </w:rPr>
        <w:t>otherwise required by applicable law, the employment relationship shall not be considered terminated in the case of (a) sick leave, (b) military leave, or (c) any other leave of absence authorized by the Corporation or one of its Subsidiaries, or the Administrator;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23628F"/>
        </w:rPr>
        <w:t xml:space="preserve">B-8  </w:t>
      </w:r>
      <w:r>
        <w:rPr>
          <w:rFonts w:ascii="Arial" w:cs="Arial" w:eastAsia="Arial" w:hAnsi="Arial"/>
          <w:sz w:val="13"/>
          <w:szCs w:val="13"/>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53275" cy="215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ind w:left="10420"/>
        <w:spacing w:after="0"/>
        <w:rPr>
          <w:sz w:val="20"/>
          <w:szCs w:val="20"/>
          <w:color w:val="auto"/>
        </w:rPr>
      </w:pPr>
      <w:r>
        <w:rPr>
          <w:rFonts w:ascii="Arial" w:cs="Arial" w:eastAsia="Arial" w:hAnsi="Arial"/>
          <w:sz w:val="13"/>
          <w:szCs w:val="13"/>
          <w:color w:val="23628F"/>
        </w:rPr>
        <w:t>APPENDIX B</w:t>
      </w:r>
    </w:p>
    <w:p>
      <w:pPr>
        <w:spacing w:after="0" w:line="215" w:lineRule="exact"/>
        <w:rPr>
          <w:sz w:val="20"/>
          <w:szCs w:val="20"/>
          <w:color w:val="auto"/>
        </w:rPr>
      </w:pPr>
    </w:p>
    <w:p>
      <w:pPr>
        <w:ind w:left="760" w:right="80"/>
        <w:spacing w:after="0" w:line="245" w:lineRule="auto"/>
        <w:rPr>
          <w:sz w:val="20"/>
          <w:szCs w:val="20"/>
          <w:color w:val="auto"/>
        </w:rPr>
      </w:pPr>
      <w:r>
        <w:rPr>
          <w:rFonts w:ascii="Arial" w:cs="Arial" w:eastAsia="Arial" w:hAnsi="Arial"/>
          <w:sz w:val="13"/>
          <w:szCs w:val="13"/>
          <w:color w:val="auto"/>
        </w:rPr>
        <w:t>provided that unless reemployment upon the expiration of such leave is guaranteed by contract or law or the Administrator otherwise provides, such leave is for a period of not more than three months. In the case of any employee of the Corporation or one of its Subsidiaries on an approved leave of absence, continued vesting of the award while on leave from the employ of the Corporation or one of its Subsidiaries may be suspended until the employee returns to service, unless the Administrator otherwise provides or applicable law otherwise requires. In no event shall an award be exercised after the expiration of the term set forth in the award agreement.</w:t>
      </w:r>
    </w:p>
    <w:p>
      <w:pPr>
        <w:spacing w:after="0" w:line="116" w:lineRule="exact"/>
        <w:rPr>
          <w:sz w:val="20"/>
          <w:szCs w:val="20"/>
          <w:color w:val="auto"/>
        </w:rPr>
      </w:pPr>
    </w:p>
    <w:p>
      <w:pPr>
        <w:ind w:left="760" w:right="140" w:hanging="377"/>
        <w:spacing w:after="0" w:line="250" w:lineRule="auto"/>
        <w:tabs>
          <w:tab w:leader="none" w:pos="740" w:val="left"/>
        </w:tabs>
        <w:rPr>
          <w:sz w:val="20"/>
          <w:szCs w:val="20"/>
          <w:color w:val="auto"/>
        </w:rPr>
      </w:pPr>
      <w:r>
        <w:rPr>
          <w:rFonts w:ascii="Arial" w:cs="Arial" w:eastAsia="Arial" w:hAnsi="Arial"/>
          <w:sz w:val="13"/>
          <w:szCs w:val="13"/>
          <w:b w:val="1"/>
          <w:bCs w:val="1"/>
          <w:color w:val="auto"/>
        </w:rPr>
        <w:t>6.3</w:t>
      </w:r>
      <w:r>
        <w:rPr>
          <w:sz w:val="20"/>
          <w:szCs w:val="20"/>
          <w:color w:val="auto"/>
        </w:rPr>
        <w:tab/>
      </w:r>
      <w:r>
        <w:rPr>
          <w:rFonts w:ascii="Arial" w:cs="Arial" w:eastAsia="Arial" w:hAnsi="Arial"/>
          <w:sz w:val="13"/>
          <w:szCs w:val="13"/>
          <w:b w:val="1"/>
          <w:bCs w:val="1"/>
          <w:i w:val="1"/>
          <w:iCs w:val="1"/>
          <w:color w:val="auto"/>
        </w:rPr>
        <w:t xml:space="preserve">Effect of Change of Subsidiary Status. </w:t>
      </w:r>
      <w:r>
        <w:rPr>
          <w:rFonts w:ascii="Arial" w:cs="Arial" w:eastAsia="Arial" w:hAnsi="Arial"/>
          <w:sz w:val="13"/>
          <w:szCs w:val="13"/>
          <w:color w:val="auto"/>
        </w:rPr>
        <w:t>For purposes of this Plan and any award, if an entity ceases to be a Subsidiary of the Corporation a termination of employment 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service shall be deemed to have occurred with respect to each Eligible Person in respect of such Subsidiary who does not continue as an Eligible Person in respect of the Corporation or another Subsidiary that continues as such after giving effect to the transaction or other event giving rise to the change in status unless the Subsidiary that is sold, spun-off or otherwise divested (or its successor or a direct or indirect parent of such Subsidiary or successor) assumes the Eligible Person’s award(s) in connection with such transaction.</w:t>
      </w:r>
    </w:p>
    <w:p>
      <w:pPr>
        <w:spacing w:after="0" w:line="268" w:lineRule="exact"/>
        <w:rPr>
          <w:sz w:val="20"/>
          <w:szCs w:val="20"/>
          <w:color w:val="auto"/>
        </w:rPr>
      </w:pPr>
    </w:p>
    <w:p>
      <w:pPr>
        <w:ind w:left="380" w:hanging="372"/>
        <w:spacing w:after="0"/>
        <w:tabs>
          <w:tab w:leader="none" w:pos="380" w:val="left"/>
        </w:tabs>
        <w:numPr>
          <w:ilvl w:val="0"/>
          <w:numId w:val="261"/>
        </w:numPr>
        <w:rPr>
          <w:rFonts w:ascii="Arial" w:cs="Arial" w:eastAsia="Arial" w:hAnsi="Arial"/>
          <w:sz w:val="13"/>
          <w:szCs w:val="13"/>
          <w:b w:val="1"/>
          <w:bCs w:val="1"/>
          <w:color w:val="23628F"/>
        </w:rPr>
      </w:pPr>
      <w:r>
        <w:rPr>
          <w:rFonts w:ascii="Arial" w:cs="Arial" w:eastAsia="Arial" w:hAnsi="Arial"/>
          <w:sz w:val="13"/>
          <w:szCs w:val="13"/>
          <w:b w:val="1"/>
          <w:bCs w:val="1"/>
          <w:color w:val="23628F"/>
        </w:rPr>
        <w:t>ADJUSTMENTS; ACCELERATION</w:t>
      </w:r>
    </w:p>
    <w:p>
      <w:pPr>
        <w:spacing w:after="0" w:line="147" w:lineRule="exact"/>
        <w:rPr>
          <w:rFonts w:ascii="Arial" w:cs="Arial" w:eastAsia="Arial" w:hAnsi="Arial"/>
          <w:sz w:val="13"/>
          <w:szCs w:val="13"/>
          <w:b w:val="1"/>
          <w:bCs w:val="1"/>
          <w:color w:val="23628F"/>
        </w:rPr>
      </w:pPr>
    </w:p>
    <w:p>
      <w:pPr>
        <w:ind w:left="760" w:right="20" w:hanging="378"/>
        <w:spacing w:after="0" w:line="243" w:lineRule="auto"/>
        <w:rPr>
          <w:rFonts w:ascii="Arial" w:cs="Arial" w:eastAsia="Arial" w:hAnsi="Arial"/>
          <w:sz w:val="13"/>
          <w:szCs w:val="13"/>
          <w:b w:val="1"/>
          <w:bCs w:val="1"/>
          <w:color w:val="23628F"/>
        </w:rPr>
      </w:pPr>
      <w:r>
        <w:rPr>
          <w:rFonts w:ascii="Arial" w:cs="Arial" w:eastAsia="Arial" w:hAnsi="Arial"/>
          <w:sz w:val="13"/>
          <w:szCs w:val="13"/>
          <w:b w:val="1"/>
          <w:bCs w:val="1"/>
          <w:color w:val="auto"/>
        </w:rPr>
        <w:t xml:space="preserve">7.1 </w:t>
      </w:r>
      <w:r>
        <w:rPr>
          <w:rFonts w:ascii="Arial" w:cs="Arial" w:eastAsia="Arial" w:hAnsi="Arial"/>
          <w:sz w:val="13"/>
          <w:szCs w:val="13"/>
          <w:b w:val="1"/>
          <w:bCs w:val="1"/>
          <w:i w:val="1"/>
          <w:iCs w:val="1"/>
          <w:color w:val="auto"/>
        </w:rPr>
        <w:t>Adjustments.</w:t>
      </w:r>
      <w:r>
        <w:rPr>
          <w:rFonts w:ascii="Arial" w:cs="Arial" w:eastAsia="Arial" w:hAnsi="Arial"/>
          <w:sz w:val="13"/>
          <w:szCs w:val="13"/>
          <w:b w:val="1"/>
          <w:bCs w:val="1"/>
          <w:color w:val="auto"/>
        </w:rPr>
        <w:t xml:space="preserve"> </w:t>
      </w:r>
      <w:r>
        <w:rPr>
          <w:rFonts w:ascii="Arial" w:cs="Arial" w:eastAsia="Arial" w:hAnsi="Arial"/>
          <w:sz w:val="13"/>
          <w:szCs w:val="13"/>
          <w:color w:val="auto"/>
        </w:rPr>
        <w:t>Subject to Section 7.2, upon (or, as may be necessary to effect the adjustment, immediately prior to): any reclassification, recapitalization, stock split (including a</w:t>
      </w:r>
      <w:r>
        <w:rPr>
          <w:rFonts w:ascii="Arial" w:cs="Arial" w:eastAsia="Arial" w:hAnsi="Arial"/>
          <w:sz w:val="13"/>
          <w:szCs w:val="13"/>
          <w:b w:val="1"/>
          <w:bCs w:val="1"/>
          <w:color w:val="auto"/>
        </w:rPr>
        <w:t xml:space="preserve"> </w:t>
      </w:r>
      <w:r>
        <w:rPr>
          <w:rFonts w:ascii="Arial" w:cs="Arial" w:eastAsia="Arial" w:hAnsi="Arial"/>
          <w:sz w:val="13"/>
          <w:szCs w:val="13"/>
          <w:color w:val="auto"/>
        </w:rPr>
        <w:t>stock split in the form of a stock dividend) or reverse stock split; any merger, combination, consolidation, or other reorganization; any spin-off, split-up, or similar extraordinary dividend distribution in respect of the Common Stock; or any exchange of Common Stock or other securities of the Corporation, or any similar, unusual or extraordinary corporate transaction in respect of the Common Stock; then the Administrator shall equitably and proportionately adjust (1) the number and type of shares of Common Stock (or other securities) that thereafter may be made the subject of awards (including the specific share limits, maximums and numbers of shares set forth elsewhere in this Plan),</w:t>
      </w:r>
    </w:p>
    <w:p>
      <w:pPr>
        <w:spacing w:after="0" w:line="1" w:lineRule="exact"/>
        <w:rPr>
          <w:rFonts w:ascii="Arial" w:cs="Arial" w:eastAsia="Arial" w:hAnsi="Arial"/>
          <w:sz w:val="13"/>
          <w:szCs w:val="13"/>
          <w:b w:val="1"/>
          <w:bCs w:val="1"/>
          <w:color w:val="23628F"/>
        </w:rPr>
      </w:pPr>
    </w:p>
    <w:p>
      <w:pPr>
        <w:ind w:left="760" w:right="120" w:firstLine="4"/>
        <w:spacing w:after="0" w:line="245" w:lineRule="auto"/>
        <w:tabs>
          <w:tab w:leader="none" w:pos="962" w:val="left"/>
        </w:tabs>
        <w:numPr>
          <w:ilvl w:val="1"/>
          <w:numId w:val="261"/>
        </w:numPr>
        <w:rPr>
          <w:rFonts w:ascii="Arial" w:cs="Arial" w:eastAsia="Arial" w:hAnsi="Arial"/>
          <w:sz w:val="13"/>
          <w:szCs w:val="13"/>
          <w:color w:val="auto"/>
        </w:rPr>
      </w:pPr>
      <w:r>
        <w:rPr>
          <w:rFonts w:ascii="Arial" w:cs="Arial" w:eastAsia="Arial" w:hAnsi="Arial"/>
          <w:sz w:val="13"/>
          <w:szCs w:val="13"/>
          <w:color w:val="auto"/>
        </w:rPr>
        <w:t>the number, amount and type of shares of Common Stock (or other securities or property) subject to any outstanding awards, (3) the grant, purchase, or exercise price (which term includes the base price of any SAR or similar right) of any outstanding awards, and/or (4) the securities, cash or other property deliverable upon exercise or payment of any outstanding awards, in each case to the extent necessary to preserve (but not increase) the level of incentives intended by this Plan and the then-outstanding awards.</w:t>
      </w:r>
    </w:p>
    <w:p>
      <w:pPr>
        <w:spacing w:after="0" w:line="285" w:lineRule="exact"/>
        <w:rPr>
          <w:sz w:val="20"/>
          <w:szCs w:val="20"/>
          <w:color w:val="auto"/>
        </w:rPr>
      </w:pPr>
    </w:p>
    <w:p>
      <w:pPr>
        <w:ind w:left="760" w:right="200"/>
        <w:spacing w:after="0" w:line="258" w:lineRule="auto"/>
        <w:rPr>
          <w:sz w:val="20"/>
          <w:szCs w:val="20"/>
          <w:color w:val="auto"/>
        </w:rPr>
      </w:pPr>
      <w:r>
        <w:rPr>
          <w:rFonts w:ascii="Arial" w:cs="Arial" w:eastAsia="Arial" w:hAnsi="Arial"/>
          <w:sz w:val="13"/>
          <w:szCs w:val="13"/>
          <w:color w:val="auto"/>
        </w:rPr>
        <w:t>Without limiting the generality of Section 3.3, any good faith determination by the Administrator as to whether an adjustment is required in the circumstances pursuant to this Section 7.1, and the extent and nature of any such adjustment, shall be conclusive and binding on all persons.</w:t>
      </w:r>
    </w:p>
    <w:p>
      <w:pPr>
        <w:spacing w:after="0" w:line="108" w:lineRule="exact"/>
        <w:rPr>
          <w:sz w:val="20"/>
          <w:szCs w:val="20"/>
          <w:color w:val="auto"/>
        </w:rPr>
      </w:pPr>
    </w:p>
    <w:p>
      <w:pPr>
        <w:ind w:left="760" w:right="40" w:hanging="377"/>
        <w:spacing w:after="0" w:line="241" w:lineRule="auto"/>
        <w:tabs>
          <w:tab w:leader="none" w:pos="740" w:val="left"/>
        </w:tabs>
        <w:rPr>
          <w:sz w:val="20"/>
          <w:szCs w:val="20"/>
          <w:color w:val="auto"/>
        </w:rPr>
      </w:pPr>
      <w:r>
        <w:rPr>
          <w:rFonts w:ascii="Arial" w:cs="Arial" w:eastAsia="Arial" w:hAnsi="Arial"/>
          <w:sz w:val="13"/>
          <w:szCs w:val="13"/>
          <w:b w:val="1"/>
          <w:bCs w:val="1"/>
          <w:color w:val="auto"/>
        </w:rPr>
        <w:t>7.2</w:t>
      </w:r>
      <w:r>
        <w:rPr>
          <w:sz w:val="20"/>
          <w:szCs w:val="20"/>
          <w:color w:val="auto"/>
        </w:rPr>
        <w:tab/>
      </w:r>
      <w:r>
        <w:rPr>
          <w:rFonts w:ascii="Arial" w:cs="Arial" w:eastAsia="Arial" w:hAnsi="Arial"/>
          <w:sz w:val="13"/>
          <w:szCs w:val="13"/>
          <w:b w:val="1"/>
          <w:bCs w:val="1"/>
          <w:i w:val="1"/>
          <w:iCs w:val="1"/>
          <w:color w:val="auto"/>
        </w:rPr>
        <w:t xml:space="preserve">Corporate Transactions - Assumption and Termination of Awards. </w:t>
      </w:r>
      <w:r>
        <w:rPr>
          <w:rFonts w:ascii="Arial" w:cs="Arial" w:eastAsia="Arial" w:hAnsi="Arial"/>
          <w:sz w:val="13"/>
          <w:szCs w:val="13"/>
          <w:color w:val="auto"/>
        </w:rPr>
        <w:t>Upon any event in which the Corporation does not survive, or does not survive as a public company 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respect of its Common Stock (including, without limitation, a merger, combination, consolidation, or other reorganization; any exchange of Common Stock or other securities of the Corporation; a sale of all or substantially all the business, stock or assets of the Corporation; a dissolution of the Corporation; or other event in which the Corporation does not survive or does not survive as a public company in respect of its Common Stock), then the Administrator may make provision for a cash payment in settlement of, or for the assumption, substitution or exchange of any or all outstanding share-based awards or the cash, securities or property deliverable to the holder of any or all outstanding share-based awards, based upon, to the extent relevant under the circumstances, the distribution or consideration payable to holders of the Common Stock upon or in respect of such event. Upon the occurrence of (or, as may be necessary to effect such action, immediately prior to) any event described in the preceding sentence, then, unless the Administrator has made a provision for the substitution, assumption, exchange or other continuation or settlement of the award or the award would otherwise continue in accordance with its terms in the circumstances: (1) unless otherwise provided in the applicable award agreement, each then-outstanding option and SAR shall become fully vested, all shares of restricted stock then outstanding shall fully vest free of restrictions, and each other award granted under this Plan that is then outstanding shall become payable to the holder of such award (with any performance goals applicable to the award in each case being deemed met, unless otherwise provided in the award agreement, at the “target” performance level); and (2) each award shall terminate upon the related event; provided that the holder of an option or SAR shall be given reasonable advance notice of the impending termination and a reasonable opportunity to exercise his or her outstanding vested options and SARs (after giving effect to any accelerated vesting required in the circumstances) in accordance with their terms before the termination of such awards (except that in no case shall more than ten days’ notice of the impending termination be required and any acceleration of vesting and any exercise of any portion of an award that is so accelerated may be made contingent upon the actual occurrence of the event).</w:t>
      </w:r>
    </w:p>
    <w:p>
      <w:pPr>
        <w:spacing w:after="0" w:line="338" w:lineRule="exact"/>
        <w:rPr>
          <w:sz w:val="20"/>
          <w:szCs w:val="20"/>
          <w:color w:val="auto"/>
        </w:rPr>
      </w:pPr>
    </w:p>
    <w:p>
      <w:pPr>
        <w:jc w:val="right"/>
        <w:spacing w:after="0"/>
        <w:tabs>
          <w:tab w:leader="none" w:pos="260" w:val="left"/>
        </w:tabs>
        <w:rPr>
          <w:sz w:val="20"/>
          <w:szCs w:val="20"/>
          <w:color w:val="auto"/>
        </w:rPr>
      </w:pPr>
      <w:r>
        <w:rPr>
          <w:rFonts w:ascii="Arial" w:cs="Arial" w:eastAsia="Arial" w:hAnsi="Arial"/>
          <w:sz w:val="13"/>
          <w:szCs w:val="13"/>
          <w:color w:val="23628F"/>
        </w:rPr>
        <w:t>2020 PROXY STATEMENT</w:t>
      </w:r>
      <w:r>
        <w:rPr>
          <w:sz w:val="20"/>
          <w:szCs w:val="20"/>
          <w:color w:val="auto"/>
        </w:rPr>
        <w:tab/>
      </w:r>
      <w:r>
        <w:rPr>
          <w:rFonts w:ascii="Arial" w:cs="Arial" w:eastAsia="Arial" w:hAnsi="Arial"/>
          <w:sz w:val="16"/>
          <w:szCs w:val="16"/>
          <w:b w:val="1"/>
          <w:bCs w:val="1"/>
          <w:color w:val="23628F"/>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153275" cy="215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23628F"/>
        </w:rPr>
        <w:t>APPENDIX B</w:t>
      </w:r>
    </w:p>
    <w:p>
      <w:pPr>
        <w:spacing w:after="0" w:line="215" w:lineRule="exact"/>
        <w:rPr>
          <w:sz w:val="20"/>
          <w:szCs w:val="20"/>
          <w:color w:val="auto"/>
        </w:rPr>
      </w:pPr>
    </w:p>
    <w:p>
      <w:pPr>
        <w:ind w:left="760" w:right="20"/>
        <w:spacing w:after="0"/>
        <w:rPr>
          <w:sz w:val="20"/>
          <w:szCs w:val="20"/>
          <w:color w:val="auto"/>
        </w:rPr>
      </w:pPr>
      <w:r>
        <w:rPr>
          <w:rFonts w:ascii="Arial" w:cs="Arial" w:eastAsia="Arial" w:hAnsi="Arial"/>
          <w:sz w:val="13"/>
          <w:szCs w:val="13"/>
          <w:color w:val="auto"/>
        </w:rPr>
        <w:t>For purposes of this Section 7.2, an award shall be deemed to have been “assumed” if (without limiting other circumstances in which an award is assumed) the award continues after an event referred to above in this Section 7.2, and/or is assumed and continued by the surviving entity following such event (including, without limitation, an entity that, as a result of such event, owns the Corporation or all or substantially all of the Corporation’s assets directly or through one or more subsidiaries (a “</w:t>
      </w:r>
      <w:r>
        <w:rPr>
          <w:rFonts w:ascii="Arial" w:cs="Arial" w:eastAsia="Arial" w:hAnsi="Arial"/>
          <w:sz w:val="13"/>
          <w:szCs w:val="13"/>
          <w:b w:val="1"/>
          <w:bCs w:val="1"/>
          <w:color w:val="auto"/>
        </w:rPr>
        <w:t>Parent</w:t>
      </w:r>
      <w:r>
        <w:rPr>
          <w:rFonts w:ascii="Arial" w:cs="Arial" w:eastAsia="Arial" w:hAnsi="Arial"/>
          <w:sz w:val="13"/>
          <w:szCs w:val="13"/>
          <w:color w:val="auto"/>
        </w:rPr>
        <w:t>”)), and confers the right to purchase or receive, as applicable and subject to vesting and the other terms and conditions of the award, for each share of Common Stock subject to the award immediately prior to the event, the consideration (whether cash, shares, or other securities or property) received in the event by the stockholders of the Corporation for each share of Common Stock sold or exchanged in such event (or the consideration received by a majority of the stockholders participating in such event if the stockholders were offered a choice of consideration); provided, however, that if the consideration offered for a share of Common Stock in the event is not solely the ordinary common stock of a successor corporation or a Parent, the Administrator may provide for the consideration to be received upon exercise or payment of the award, for each share subject to the award, to be solely ordinary common stock of the successor corporation or a Parent equal in fair market value to the per share consideration received by the stockholders participating in the event.</w:t>
      </w:r>
    </w:p>
    <w:p>
      <w:pPr>
        <w:spacing w:after="0" w:line="288" w:lineRule="exact"/>
        <w:rPr>
          <w:sz w:val="20"/>
          <w:szCs w:val="20"/>
          <w:color w:val="auto"/>
        </w:rPr>
      </w:pPr>
    </w:p>
    <w:p>
      <w:pPr>
        <w:ind w:left="760"/>
        <w:spacing w:after="0" w:line="243" w:lineRule="auto"/>
        <w:rPr>
          <w:sz w:val="20"/>
          <w:szCs w:val="20"/>
          <w:color w:val="auto"/>
        </w:rPr>
      </w:pPr>
      <w:r>
        <w:rPr>
          <w:rFonts w:ascii="Arial" w:cs="Arial" w:eastAsia="Arial" w:hAnsi="Arial"/>
          <w:sz w:val="13"/>
          <w:szCs w:val="13"/>
          <w:color w:val="auto"/>
        </w:rPr>
        <w:t>The Administrator may adopt such valuation methodologies for outstanding awards as it deems reasonable in the event of a cash or property settlement and, in the case of options, SARs or similar rights, but without limitation on other methodologies, may base such settlement solely upon the excess if any of the per share amount payable upon or in respect of such event over the exercise or base price of the award. In the case of an option, SAR or similar right as to which the per share amount payable upon or in respect of such event is less than or equal to the exercise or base price of the award, the Administrator may terminate such award in connection with an event referred to in this Section 7.2 without any payment in respect of such award.</w:t>
      </w:r>
    </w:p>
    <w:p>
      <w:pPr>
        <w:spacing w:after="0" w:line="134" w:lineRule="exact"/>
        <w:rPr>
          <w:sz w:val="20"/>
          <w:szCs w:val="20"/>
          <w:color w:val="auto"/>
        </w:rPr>
      </w:pPr>
    </w:p>
    <w:p>
      <w:pPr>
        <w:ind w:left="760" w:right="140"/>
        <w:spacing w:after="0" w:line="258" w:lineRule="auto"/>
        <w:rPr>
          <w:sz w:val="20"/>
          <w:szCs w:val="20"/>
          <w:color w:val="auto"/>
        </w:rPr>
      </w:pPr>
      <w:r>
        <w:rPr>
          <w:rFonts w:ascii="Arial" w:cs="Arial" w:eastAsia="Arial" w:hAnsi="Arial"/>
          <w:sz w:val="13"/>
          <w:szCs w:val="13"/>
          <w:color w:val="auto"/>
        </w:rPr>
        <w:t>Without limiting the generality of Section 3.3, any good faith determination by the Administrator pursuant to its authority under this Section 7.2 shall be conclusive and binding on all persons.</w:t>
      </w:r>
    </w:p>
    <w:p>
      <w:pPr>
        <w:spacing w:after="0" w:line="108" w:lineRule="exact"/>
        <w:rPr>
          <w:sz w:val="20"/>
          <w:szCs w:val="20"/>
          <w:color w:val="auto"/>
        </w:rPr>
      </w:pPr>
    </w:p>
    <w:p>
      <w:pPr>
        <w:ind w:left="760" w:right="60" w:hanging="377"/>
        <w:spacing w:after="0" w:line="247" w:lineRule="auto"/>
        <w:tabs>
          <w:tab w:leader="none" w:pos="740" w:val="left"/>
        </w:tabs>
        <w:rPr>
          <w:sz w:val="20"/>
          <w:szCs w:val="20"/>
          <w:color w:val="auto"/>
        </w:rPr>
      </w:pPr>
      <w:r>
        <w:rPr>
          <w:rFonts w:ascii="Arial" w:cs="Arial" w:eastAsia="Arial" w:hAnsi="Arial"/>
          <w:sz w:val="13"/>
          <w:szCs w:val="13"/>
          <w:b w:val="1"/>
          <w:bCs w:val="1"/>
          <w:color w:val="auto"/>
        </w:rPr>
        <w:t>7.3</w:t>
      </w:r>
      <w:r>
        <w:rPr>
          <w:sz w:val="20"/>
          <w:szCs w:val="20"/>
          <w:color w:val="auto"/>
        </w:rPr>
        <w:tab/>
      </w:r>
      <w:r>
        <w:rPr>
          <w:rFonts w:ascii="Arial" w:cs="Arial" w:eastAsia="Arial" w:hAnsi="Arial"/>
          <w:sz w:val="13"/>
          <w:szCs w:val="13"/>
          <w:b w:val="1"/>
          <w:bCs w:val="1"/>
          <w:i w:val="1"/>
          <w:iCs w:val="1"/>
          <w:color w:val="auto"/>
        </w:rPr>
        <w:t xml:space="preserve">Possible Acceleration of Awards. </w:t>
      </w:r>
      <w:r>
        <w:rPr>
          <w:rFonts w:ascii="Arial" w:cs="Arial" w:eastAsia="Arial" w:hAnsi="Arial"/>
          <w:sz w:val="13"/>
          <w:szCs w:val="13"/>
          <w:color w:val="auto"/>
        </w:rPr>
        <w:t>Without limiting Section 7.2 or the Administrator’s broad authority to establish vesting provisions, in the event of a Change in Control Event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(as defined below), the Administrator may, in its discretion, provide that any outstanding option or SAR shall become fully vested, that any share of restricted stock then outstanding shall fully vest free of restrictions, and that any other award granted under this Plan that is then outstanding shall be payable to the holder of such award. The Administrator may take such action with respect to all awards then outstanding or only with respect to certain specific awards identified by the Administrator in the circumstances and may condition any such acceleration upon the occurrence of another event (such as, without limitation, a termination of the award holder’s service). For purposes of this Plan, “</w:t>
      </w:r>
      <w:r>
        <w:rPr>
          <w:rFonts w:ascii="Arial" w:cs="Arial" w:eastAsia="Arial" w:hAnsi="Arial"/>
          <w:sz w:val="13"/>
          <w:szCs w:val="13"/>
          <w:b w:val="1"/>
          <w:bCs w:val="1"/>
          <w:color w:val="auto"/>
        </w:rPr>
        <w:t>Change in Control Event</w:t>
      </w:r>
      <w:r>
        <w:rPr>
          <w:rFonts w:ascii="Arial" w:cs="Arial" w:eastAsia="Arial" w:hAnsi="Arial"/>
          <w:sz w:val="13"/>
          <w:szCs w:val="13"/>
          <w:color w:val="auto"/>
        </w:rPr>
        <w:t>” means any of the following:</w:t>
      </w:r>
    </w:p>
    <w:p>
      <w:pPr>
        <w:spacing w:after="0" w:line="116" w:lineRule="exact"/>
        <w:rPr>
          <w:sz w:val="20"/>
          <w:szCs w:val="20"/>
          <w:color w:val="auto"/>
        </w:rPr>
      </w:pPr>
    </w:p>
    <w:p>
      <w:pPr>
        <w:ind w:left="1140" w:right="60" w:hanging="376"/>
        <w:spacing w:after="0" w:line="244" w:lineRule="auto"/>
        <w:tabs>
          <w:tab w:leader="none" w:pos="1140" w:val="left"/>
        </w:tabs>
        <w:numPr>
          <w:ilvl w:val="0"/>
          <w:numId w:val="262"/>
        </w:numPr>
        <w:rPr>
          <w:rFonts w:ascii="Arial" w:cs="Arial" w:eastAsia="Arial" w:hAnsi="Arial"/>
          <w:sz w:val="13"/>
          <w:szCs w:val="13"/>
          <w:color w:val="auto"/>
        </w:rPr>
      </w:pPr>
      <w:r>
        <w:rPr>
          <w:rFonts w:ascii="Arial" w:cs="Arial" w:eastAsia="Arial" w:hAnsi="Arial"/>
          <w:sz w:val="13"/>
          <w:szCs w:val="13"/>
          <w:color w:val="auto"/>
        </w:rPr>
        <w:t>Any “person” (as such term is used in Sections 13(d) and 14(d) of the Exchange Act, a “</w:t>
      </w:r>
      <w:r>
        <w:rPr>
          <w:rFonts w:ascii="Arial" w:cs="Arial" w:eastAsia="Arial" w:hAnsi="Arial"/>
          <w:sz w:val="13"/>
          <w:szCs w:val="13"/>
          <w:b w:val="1"/>
          <w:bCs w:val="1"/>
          <w:color w:val="auto"/>
        </w:rPr>
        <w:t>Person</w:t>
      </w:r>
      <w:r>
        <w:rPr>
          <w:rFonts w:ascii="Arial" w:cs="Arial" w:eastAsia="Arial" w:hAnsi="Arial"/>
          <w:sz w:val="13"/>
          <w:szCs w:val="13"/>
          <w:color w:val="auto"/>
        </w:rPr>
        <w:t>”), alone or together with its affiliates and associates, including any group of persons which is deemed a “person” under Section 13(d)(3) of the Exchange Act (other than the Corporation or any subsidiary thereof or any employee benefit plan (or related trust) of the Corporation or any subsidiary thereof, or any underwriter in connection with a firm commitment public offering of the Corporation’s capital stock), becomes the “beneficial owner” (as such term is defined in Rule 13d-3 of the Exchange Act, except that a person shall also be deemed the beneficial owner of all securities which such person may have a right to acquire, whether or not such right is presently exercisable, referred to herein as “</w:t>
      </w:r>
      <w:r>
        <w:rPr>
          <w:rFonts w:ascii="Arial" w:cs="Arial" w:eastAsia="Arial" w:hAnsi="Arial"/>
          <w:sz w:val="13"/>
          <w:szCs w:val="13"/>
          <w:b w:val="1"/>
          <w:bCs w:val="1"/>
          <w:color w:val="auto"/>
        </w:rPr>
        <w:t>Beneficially Own</w:t>
      </w:r>
      <w:r>
        <w:rPr>
          <w:rFonts w:ascii="Arial" w:cs="Arial" w:eastAsia="Arial" w:hAnsi="Arial"/>
          <w:sz w:val="13"/>
          <w:szCs w:val="13"/>
          <w:color w:val="auto"/>
        </w:rPr>
        <w:t>” or “</w:t>
      </w:r>
      <w:r>
        <w:rPr>
          <w:rFonts w:ascii="Arial" w:cs="Arial" w:eastAsia="Arial" w:hAnsi="Arial"/>
          <w:sz w:val="13"/>
          <w:szCs w:val="13"/>
          <w:b w:val="1"/>
          <w:bCs w:val="1"/>
          <w:color w:val="auto"/>
        </w:rPr>
        <w:t>Beneficial</w:t>
      </w:r>
      <w:r>
        <w:rPr>
          <w:rFonts w:ascii="Arial" w:cs="Arial" w:eastAsia="Arial" w:hAnsi="Arial"/>
          <w:sz w:val="13"/>
          <w:szCs w:val="13"/>
          <w:color w:val="auto"/>
        </w:rPr>
        <w:t xml:space="preserve"> </w:t>
      </w:r>
      <w:r>
        <w:rPr>
          <w:rFonts w:ascii="Arial" w:cs="Arial" w:eastAsia="Arial" w:hAnsi="Arial"/>
          <w:sz w:val="13"/>
          <w:szCs w:val="13"/>
          <w:b w:val="1"/>
          <w:bCs w:val="1"/>
          <w:color w:val="auto"/>
        </w:rPr>
        <w:t>Owner</w:t>
      </w:r>
      <w:r>
        <w:rPr>
          <w:rFonts w:ascii="Arial" w:cs="Arial" w:eastAsia="Arial" w:hAnsi="Arial"/>
          <w:sz w:val="13"/>
          <w:szCs w:val="13"/>
          <w:color w:val="auto"/>
        </w:rPr>
        <w:t>” as the context may require) of thirty-three and one third percent or more of (i) the then outstanding shares of the Corporation’s common stock (“</w:t>
      </w:r>
      <w:r>
        <w:rPr>
          <w:rFonts w:ascii="Arial" w:cs="Arial" w:eastAsia="Arial" w:hAnsi="Arial"/>
          <w:sz w:val="13"/>
          <w:szCs w:val="13"/>
          <w:b w:val="1"/>
          <w:bCs w:val="1"/>
          <w:color w:val="auto"/>
        </w:rPr>
        <w:t>Outstanding Company Common Stock</w:t>
      </w:r>
      <w:r>
        <w:rPr>
          <w:rFonts w:ascii="Arial" w:cs="Arial" w:eastAsia="Arial" w:hAnsi="Arial"/>
          <w:sz w:val="13"/>
          <w:szCs w:val="13"/>
          <w:color w:val="auto"/>
        </w:rPr>
        <w:t>”) or (ii) securities representing thirty-three and one-third percent or more of the combined voting power of the Corporation’s then outstanding</w:t>
      </w:r>
      <w:r>
        <w:rPr>
          <w:rFonts w:ascii="Arial" w:cs="Arial" w:eastAsia="Arial" w:hAnsi="Arial"/>
          <w:sz w:val="13"/>
          <w:szCs w:val="13"/>
          <w:b w:val="1"/>
          <w:bCs w:val="1"/>
          <w:color w:val="auto"/>
        </w:rPr>
        <w:t xml:space="preserve"> </w:t>
      </w:r>
      <w:r>
        <w:rPr>
          <w:rFonts w:ascii="Arial" w:cs="Arial" w:eastAsia="Arial" w:hAnsi="Arial"/>
          <w:sz w:val="13"/>
          <w:szCs w:val="13"/>
          <w:color w:val="auto"/>
        </w:rPr>
        <w:t>voting securities (“</w:t>
      </w:r>
      <w:r>
        <w:rPr>
          <w:rFonts w:ascii="Arial" w:cs="Arial" w:eastAsia="Arial" w:hAnsi="Arial"/>
          <w:sz w:val="13"/>
          <w:szCs w:val="13"/>
          <w:b w:val="1"/>
          <w:bCs w:val="1"/>
          <w:color w:val="auto"/>
        </w:rPr>
        <w:t>Outstanding Company Voting Securities</w:t>
      </w:r>
      <w:r>
        <w:rPr>
          <w:rFonts w:ascii="Arial" w:cs="Arial" w:eastAsia="Arial" w:hAnsi="Arial"/>
          <w:sz w:val="13"/>
          <w:szCs w:val="13"/>
          <w:color w:val="auto"/>
        </w:rPr>
        <w:t>”) (in each case, other than an acquisition in the context of a merger, consolidation, reorganization, asset sale or other extraordinary transaction covered by, and which does not constitute a Change in Control Event under, clause (c) below);</w:t>
      </w:r>
    </w:p>
    <w:p>
      <w:pPr>
        <w:spacing w:after="0" w:line="133" w:lineRule="exact"/>
        <w:rPr>
          <w:rFonts w:ascii="Arial" w:cs="Arial" w:eastAsia="Arial" w:hAnsi="Arial"/>
          <w:sz w:val="13"/>
          <w:szCs w:val="13"/>
          <w:color w:val="auto"/>
        </w:rPr>
      </w:pPr>
    </w:p>
    <w:p>
      <w:pPr>
        <w:ind w:left="1140" w:right="80" w:hanging="376"/>
        <w:spacing w:after="0" w:line="243" w:lineRule="auto"/>
        <w:tabs>
          <w:tab w:leader="none" w:pos="1140" w:val="left"/>
        </w:tabs>
        <w:numPr>
          <w:ilvl w:val="0"/>
          <w:numId w:val="262"/>
        </w:numPr>
        <w:rPr>
          <w:rFonts w:ascii="Arial" w:cs="Arial" w:eastAsia="Arial" w:hAnsi="Arial"/>
          <w:sz w:val="13"/>
          <w:szCs w:val="13"/>
          <w:color w:val="auto"/>
        </w:rPr>
      </w:pPr>
      <w:r>
        <w:rPr>
          <w:rFonts w:ascii="Arial" w:cs="Arial" w:eastAsia="Arial" w:hAnsi="Arial"/>
          <w:sz w:val="13"/>
          <w:szCs w:val="13"/>
          <w:color w:val="auto"/>
        </w:rPr>
        <w:t>A change, during any period of two consecutive years, of a majority of the Board as constituted as of the beginning of such period, unless the election, or nomination for election by the Corporation’s stockholders, of each director who was not a director at the beginning of such period was approved by vote of at least two-thirds of the Incumbent Directors then in office (for purposes hereof, “</w:t>
      </w:r>
      <w:r>
        <w:rPr>
          <w:rFonts w:ascii="Arial" w:cs="Arial" w:eastAsia="Arial" w:hAnsi="Arial"/>
          <w:sz w:val="13"/>
          <w:szCs w:val="13"/>
          <w:b w:val="1"/>
          <w:bCs w:val="1"/>
          <w:color w:val="auto"/>
        </w:rPr>
        <w:t>Incumbent Directors</w:t>
      </w:r>
      <w:r>
        <w:rPr>
          <w:rFonts w:ascii="Arial" w:cs="Arial" w:eastAsia="Arial" w:hAnsi="Arial"/>
          <w:sz w:val="13"/>
          <w:szCs w:val="13"/>
          <w:color w:val="auto"/>
        </w:rPr>
        <w:t>” shall consist of the directors holding office as of the Effective Date and any person becoming a director subsequent to such date whose election, or nomination for election by the Corporation’s stockholders, is approved by a vote of at least a majority of the Incumbent Directors then in office);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23628F"/>
        </w:rPr>
        <w:t xml:space="preserve">B-10  </w:t>
      </w:r>
      <w:r>
        <w:rPr>
          <w:rFonts w:ascii="Arial" w:cs="Arial" w:eastAsia="Arial" w:hAnsi="Arial"/>
          <w:sz w:val="13"/>
          <w:szCs w:val="13"/>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53275" cy="215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right"/>
        <w:spacing w:after="0"/>
        <w:rPr>
          <w:sz w:val="20"/>
          <w:szCs w:val="20"/>
          <w:color w:val="auto"/>
        </w:rPr>
      </w:pPr>
      <w:r>
        <w:rPr>
          <w:rFonts w:ascii="Arial" w:cs="Arial" w:eastAsia="Arial" w:hAnsi="Arial"/>
          <w:sz w:val="13"/>
          <w:szCs w:val="13"/>
          <w:color w:val="23628F"/>
        </w:rPr>
        <w:t>APPENDIX B</w:t>
      </w:r>
    </w:p>
    <w:p>
      <w:pPr>
        <w:spacing w:after="0" w:line="215" w:lineRule="exact"/>
        <w:rPr>
          <w:sz w:val="20"/>
          <w:szCs w:val="20"/>
          <w:color w:val="auto"/>
        </w:rPr>
      </w:pPr>
    </w:p>
    <w:p>
      <w:pPr>
        <w:ind w:left="1140" w:right="20" w:hanging="376"/>
        <w:spacing w:after="0"/>
        <w:tabs>
          <w:tab w:leader="none" w:pos="1140" w:val="left"/>
        </w:tabs>
        <w:numPr>
          <w:ilvl w:val="0"/>
          <w:numId w:val="263"/>
        </w:numPr>
        <w:rPr>
          <w:rFonts w:ascii="Arial" w:cs="Arial" w:eastAsia="Arial" w:hAnsi="Arial"/>
          <w:sz w:val="13"/>
          <w:szCs w:val="13"/>
          <w:color w:val="auto"/>
        </w:rPr>
      </w:pPr>
      <w:r>
        <w:rPr>
          <w:rFonts w:ascii="Arial" w:cs="Arial" w:eastAsia="Arial" w:hAnsi="Arial"/>
          <w:sz w:val="13"/>
          <w:szCs w:val="13"/>
          <w:color w:val="auto"/>
        </w:rPr>
        <w:t>Consummation of any merger, consolidation, reorganization or other extraordinary transaction (or series of related transactions) involving the Corporation, a sale or other disposition of all or substantially all of the assets of the Corporation, or the acquisition of assets or stock of another entity by the Corporation or any of its subsidiaries (each, a “</w:t>
      </w:r>
      <w:r>
        <w:rPr>
          <w:rFonts w:ascii="Arial" w:cs="Arial" w:eastAsia="Arial" w:hAnsi="Arial"/>
          <w:sz w:val="13"/>
          <w:szCs w:val="13"/>
          <w:b w:val="1"/>
          <w:bCs w:val="1"/>
          <w:color w:val="auto"/>
        </w:rPr>
        <w:t>Business Combination</w:t>
      </w:r>
      <w:r>
        <w:rPr>
          <w:rFonts w:ascii="Arial" w:cs="Arial" w:eastAsia="Arial" w:hAnsi="Arial"/>
          <w:sz w:val="13"/>
          <w:szCs w:val="13"/>
          <w:color w:val="auto"/>
        </w:rPr>
        <w:t>”), in each case unless, following such Business Combination, (1) all or substantially all of the individuals and entities that were the Beneficial Owners of the Outstanding Company Common Stock and the Outstanding Company Voting Securities immediately prior to such Business Combination Beneficially Own, directly or indirectly, more than 50% of the then-outstanding shares of common stock and the combined voting power of the then-outstanding voting securities entitled to vote generally in the election of directors, as the case may be, of the entity resulting from such Business Combination (including, without limitation, an entity that, as a result of such transaction, owns the Corporation or all or substantially all of the Corporation’s assets directly or through one or more subsidiaries (a “</w:t>
      </w:r>
      <w:r>
        <w:rPr>
          <w:rFonts w:ascii="Arial" w:cs="Arial" w:eastAsia="Arial" w:hAnsi="Arial"/>
          <w:sz w:val="13"/>
          <w:szCs w:val="13"/>
          <w:b w:val="1"/>
          <w:bCs w:val="1"/>
          <w:color w:val="auto"/>
        </w:rPr>
        <w:t>Parent</w:t>
      </w:r>
      <w:r>
        <w:rPr>
          <w:rFonts w:ascii="Arial" w:cs="Arial" w:eastAsia="Arial" w:hAnsi="Arial"/>
          <w:sz w:val="13"/>
          <w:szCs w:val="13"/>
          <w:color w:val="auto"/>
        </w:rPr>
        <w:t>”)), (2) no Person (excluding any entity resulting from such Business Combination or a Parent or any employee benefit plan (or related trust) of the Corporation or such entity resulting from such Business Combination or Parent, and excluding any underwriter in connection with a firm commitment public offering of the Corporation’s capital stock) Beneficially Owns, directly or indirectly, more than thirty-three and one third percent of, respectively, the then-outstanding shares of common stock of the entity resulting from such Business Combination or the combined voting power of the then-outstanding voting securities of such entity, and (3) at least a majority of the members of the board of directors or trustees of the entity resulting from such Business Combination or a Parent were Incumbent Directors at the time of the execution of the initial agreement or of the action of the Board providing for such Business Combination; or</w:t>
      </w:r>
    </w:p>
    <w:p>
      <w:pPr>
        <w:spacing w:after="0" w:line="135" w:lineRule="exact"/>
        <w:rPr>
          <w:rFonts w:ascii="Arial" w:cs="Arial" w:eastAsia="Arial" w:hAnsi="Arial"/>
          <w:sz w:val="13"/>
          <w:szCs w:val="13"/>
          <w:color w:val="auto"/>
        </w:rPr>
      </w:pPr>
    </w:p>
    <w:p>
      <w:pPr>
        <w:ind w:left="1140" w:right="540" w:hanging="376"/>
        <w:spacing w:after="0" w:line="258" w:lineRule="auto"/>
        <w:tabs>
          <w:tab w:leader="none" w:pos="1140" w:val="left"/>
        </w:tabs>
        <w:numPr>
          <w:ilvl w:val="0"/>
          <w:numId w:val="263"/>
        </w:numPr>
        <w:rPr>
          <w:rFonts w:ascii="Arial" w:cs="Arial" w:eastAsia="Arial" w:hAnsi="Arial"/>
          <w:sz w:val="13"/>
          <w:szCs w:val="13"/>
          <w:color w:val="auto"/>
        </w:rPr>
      </w:pPr>
      <w:r>
        <w:rPr>
          <w:rFonts w:ascii="Arial" w:cs="Arial" w:eastAsia="Arial" w:hAnsi="Arial"/>
          <w:sz w:val="13"/>
          <w:szCs w:val="13"/>
          <w:color w:val="auto"/>
        </w:rPr>
        <w:t>The stockholders of the Corporation approve a plan of complete liquidation or dissolution of the Corporation (other than in the context of a merger, consolidation, reorganization, asset sale or other extraordinary transaction covered by, and which does not constitute a Change in Control Event under, clause (c) above).</w:t>
      </w:r>
    </w:p>
    <w:p>
      <w:pPr>
        <w:spacing w:after="0" w:line="108" w:lineRule="exact"/>
        <w:rPr>
          <w:sz w:val="20"/>
          <w:szCs w:val="20"/>
          <w:color w:val="auto"/>
        </w:rPr>
      </w:pPr>
    </w:p>
    <w:p>
      <w:pPr>
        <w:ind w:left="760" w:right="20" w:hanging="377"/>
        <w:spacing w:after="0" w:line="246" w:lineRule="auto"/>
        <w:tabs>
          <w:tab w:leader="none" w:pos="740" w:val="left"/>
        </w:tabs>
        <w:rPr>
          <w:sz w:val="20"/>
          <w:szCs w:val="20"/>
          <w:color w:val="auto"/>
        </w:rPr>
      </w:pPr>
      <w:r>
        <w:rPr>
          <w:rFonts w:ascii="Arial" w:cs="Arial" w:eastAsia="Arial" w:hAnsi="Arial"/>
          <w:sz w:val="13"/>
          <w:szCs w:val="13"/>
          <w:b w:val="1"/>
          <w:bCs w:val="1"/>
          <w:color w:val="auto"/>
        </w:rPr>
        <w:t>7.4</w:t>
      </w:r>
      <w:r>
        <w:rPr>
          <w:sz w:val="20"/>
          <w:szCs w:val="20"/>
          <w:color w:val="auto"/>
        </w:rPr>
        <w:tab/>
      </w:r>
      <w:r>
        <w:rPr>
          <w:rFonts w:ascii="Arial" w:cs="Arial" w:eastAsia="Arial" w:hAnsi="Arial"/>
          <w:sz w:val="13"/>
          <w:szCs w:val="13"/>
          <w:b w:val="1"/>
          <w:bCs w:val="1"/>
          <w:i w:val="1"/>
          <w:iCs w:val="1"/>
          <w:color w:val="auto"/>
        </w:rPr>
        <w:t xml:space="preserve">Other Acceleration Rules. </w:t>
      </w:r>
      <w:r>
        <w:rPr>
          <w:rFonts w:ascii="Arial" w:cs="Arial" w:eastAsia="Arial" w:hAnsi="Arial"/>
          <w:sz w:val="13"/>
          <w:szCs w:val="13"/>
          <w:color w:val="auto"/>
        </w:rPr>
        <w:t>Any acceleration of awards pursuant to this Section 7 shall comply with applicable legal requirements and, if necessary to accomplish the purposes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of the acceleration or if the circumstances require, may be deemed by the Administrator to occur prior to the applicable event, provided that the original terms of the award will be reinstated if the event giving rise to the acceleration does not actually occur. The Administrator may override the provisions of Section 7.2 and 7.3 by express provision in the award agreement and may accord any Eligible Person a right to refuse any acceleration, whether pursuant to the award agreement or otherwise, in such circumstances as the Administrator may approve. The portion of any ISO accelerated in connection with a Change in Control Event or any other action permitted hereunder shall remain exercisable as an ISO only to the extent the applicable $100,000 limitation on ISOs is not exceeded. To the extent exceeded, the accelerated portion of the option shall be exercisable as a nonqualified stock option under the Code.</w:t>
      </w:r>
    </w:p>
    <w:p>
      <w:pPr>
        <w:spacing w:after="0" w:line="115" w:lineRule="exact"/>
        <w:rPr>
          <w:sz w:val="20"/>
          <w:szCs w:val="20"/>
          <w:color w:val="auto"/>
        </w:rPr>
      </w:pPr>
    </w:p>
    <w:p>
      <w:pPr>
        <w:ind w:left="380" w:hanging="372"/>
        <w:spacing w:after="0"/>
        <w:tabs>
          <w:tab w:leader="none" w:pos="380" w:val="left"/>
        </w:tabs>
        <w:numPr>
          <w:ilvl w:val="0"/>
          <w:numId w:val="264"/>
        </w:numPr>
        <w:rPr>
          <w:rFonts w:ascii="Arial" w:cs="Arial" w:eastAsia="Arial" w:hAnsi="Arial"/>
          <w:sz w:val="13"/>
          <w:szCs w:val="13"/>
          <w:b w:val="1"/>
          <w:bCs w:val="1"/>
          <w:color w:val="23628F"/>
        </w:rPr>
      </w:pPr>
      <w:r>
        <w:rPr>
          <w:rFonts w:ascii="Arial" w:cs="Arial" w:eastAsia="Arial" w:hAnsi="Arial"/>
          <w:sz w:val="13"/>
          <w:szCs w:val="13"/>
          <w:b w:val="1"/>
          <w:bCs w:val="1"/>
          <w:color w:val="23628F"/>
        </w:rPr>
        <w:t>OTHER PROVISIONS</w:t>
      </w:r>
    </w:p>
    <w:p>
      <w:pPr>
        <w:spacing w:after="0" w:line="147" w:lineRule="exact"/>
        <w:rPr>
          <w:rFonts w:ascii="Arial" w:cs="Arial" w:eastAsia="Arial" w:hAnsi="Arial"/>
          <w:sz w:val="13"/>
          <w:szCs w:val="13"/>
          <w:b w:val="1"/>
          <w:bCs w:val="1"/>
          <w:color w:val="23628F"/>
        </w:rPr>
      </w:pPr>
    </w:p>
    <w:p>
      <w:pPr>
        <w:ind w:left="760" w:right="220" w:hanging="378"/>
        <w:spacing w:after="0" w:line="247" w:lineRule="auto"/>
        <w:rPr>
          <w:rFonts w:ascii="Arial" w:cs="Arial" w:eastAsia="Arial" w:hAnsi="Arial"/>
          <w:sz w:val="13"/>
          <w:szCs w:val="13"/>
          <w:b w:val="1"/>
          <w:bCs w:val="1"/>
          <w:color w:val="23628F"/>
        </w:rPr>
      </w:pPr>
      <w:r>
        <w:rPr>
          <w:rFonts w:ascii="Arial" w:cs="Arial" w:eastAsia="Arial" w:hAnsi="Arial"/>
          <w:sz w:val="13"/>
          <w:szCs w:val="13"/>
          <w:b w:val="1"/>
          <w:bCs w:val="1"/>
          <w:color w:val="auto"/>
        </w:rPr>
        <w:t xml:space="preserve">8.1 </w:t>
      </w:r>
      <w:r>
        <w:rPr>
          <w:rFonts w:ascii="Arial" w:cs="Arial" w:eastAsia="Arial" w:hAnsi="Arial"/>
          <w:sz w:val="13"/>
          <w:szCs w:val="13"/>
          <w:b w:val="1"/>
          <w:bCs w:val="1"/>
          <w:i w:val="1"/>
          <w:iCs w:val="1"/>
          <w:color w:val="auto"/>
        </w:rPr>
        <w:t>Compliance with Laws.</w:t>
      </w:r>
      <w:r>
        <w:rPr>
          <w:rFonts w:ascii="Arial" w:cs="Arial" w:eastAsia="Arial" w:hAnsi="Arial"/>
          <w:sz w:val="13"/>
          <w:szCs w:val="13"/>
          <w:b w:val="1"/>
          <w:bCs w:val="1"/>
          <w:color w:val="auto"/>
        </w:rPr>
        <w:t xml:space="preserve"> </w:t>
      </w:r>
      <w:r>
        <w:rPr>
          <w:rFonts w:ascii="Arial" w:cs="Arial" w:eastAsia="Arial" w:hAnsi="Arial"/>
          <w:sz w:val="13"/>
          <w:szCs w:val="13"/>
          <w:color w:val="auto"/>
        </w:rPr>
        <w:t>This Plan, the granting and vesting of awards under this Plan, the offer, issuance and delivery of shares of Common Stock, the acceptance of</w:t>
      </w:r>
      <w:r>
        <w:rPr>
          <w:rFonts w:ascii="Arial" w:cs="Arial" w:eastAsia="Arial" w:hAnsi="Arial"/>
          <w:sz w:val="13"/>
          <w:szCs w:val="13"/>
          <w:b w:val="1"/>
          <w:bCs w:val="1"/>
          <w:color w:val="auto"/>
        </w:rPr>
        <w:t xml:space="preserve"> </w:t>
      </w:r>
      <w:r>
        <w:rPr>
          <w:rFonts w:ascii="Arial" w:cs="Arial" w:eastAsia="Arial" w:hAnsi="Arial"/>
          <w:sz w:val="13"/>
          <w:szCs w:val="13"/>
          <w:color w:val="auto"/>
        </w:rPr>
        <w:t>promissory notes and/or the payment of money under this Plan or under awards are subject to compliance with all applicable federal, state, local and foreign laws, rules and regulations (including but not limited to state and federal securities law and federal margin requirements) and to such approvals by any listing, regulatory or governmental authority as may, in the opinion of counsel for the Corporation, be necessary or advisable in connection therewith. The person acquiring any securities under this Plan will, if requested by the Corporation or one of its Subsidiaries, provide such assurances and representations to the Corporation or one of its Subsidiaries as the Administrator may deem necessary or desirable to assure compliance with all applicable legal and accounting requirements.</w:t>
      </w:r>
    </w:p>
    <w:p>
      <w:pPr>
        <w:spacing w:after="0" w:line="116" w:lineRule="exact"/>
        <w:rPr>
          <w:rFonts w:ascii="Arial" w:cs="Arial" w:eastAsia="Arial" w:hAnsi="Arial"/>
          <w:sz w:val="13"/>
          <w:szCs w:val="13"/>
          <w:b w:val="1"/>
          <w:bCs w:val="1"/>
          <w:color w:val="23628F"/>
        </w:rPr>
      </w:pPr>
    </w:p>
    <w:p>
      <w:pPr>
        <w:ind w:left="760" w:right="380" w:hanging="378"/>
        <w:spacing w:after="0" w:line="284" w:lineRule="auto"/>
        <w:rPr>
          <w:rFonts w:ascii="Arial" w:cs="Arial" w:eastAsia="Arial" w:hAnsi="Arial"/>
          <w:sz w:val="13"/>
          <w:szCs w:val="13"/>
          <w:b w:val="1"/>
          <w:bCs w:val="1"/>
          <w:color w:val="23628F"/>
        </w:rPr>
      </w:pPr>
      <w:r>
        <w:rPr>
          <w:rFonts w:ascii="Arial" w:cs="Arial" w:eastAsia="Arial" w:hAnsi="Arial"/>
          <w:sz w:val="13"/>
          <w:szCs w:val="13"/>
          <w:b w:val="1"/>
          <w:bCs w:val="1"/>
          <w:color w:val="auto"/>
        </w:rPr>
        <w:t xml:space="preserve">8.2 </w:t>
      </w:r>
      <w:r>
        <w:rPr>
          <w:rFonts w:ascii="Arial" w:cs="Arial" w:eastAsia="Arial" w:hAnsi="Arial"/>
          <w:sz w:val="13"/>
          <w:szCs w:val="13"/>
          <w:b w:val="1"/>
          <w:bCs w:val="1"/>
          <w:i w:val="1"/>
          <w:iCs w:val="1"/>
          <w:color w:val="auto"/>
        </w:rPr>
        <w:t>No Rights to Award.</w:t>
      </w:r>
      <w:r>
        <w:rPr>
          <w:rFonts w:ascii="Arial" w:cs="Arial" w:eastAsia="Arial" w:hAnsi="Arial"/>
          <w:sz w:val="13"/>
          <w:szCs w:val="13"/>
          <w:b w:val="1"/>
          <w:bCs w:val="1"/>
          <w:color w:val="auto"/>
        </w:rPr>
        <w:t xml:space="preserve"> </w:t>
      </w:r>
      <w:r>
        <w:rPr>
          <w:rFonts w:ascii="Arial" w:cs="Arial" w:eastAsia="Arial" w:hAnsi="Arial"/>
          <w:sz w:val="13"/>
          <w:szCs w:val="13"/>
          <w:color w:val="auto"/>
        </w:rPr>
        <w:t>No person shall have any claim or rights to be granted an award (or additional awards, as the case may be) under this Plan, subject to any express</w:t>
      </w:r>
      <w:r>
        <w:rPr>
          <w:rFonts w:ascii="Arial" w:cs="Arial" w:eastAsia="Arial" w:hAnsi="Arial"/>
          <w:sz w:val="13"/>
          <w:szCs w:val="13"/>
          <w:b w:val="1"/>
          <w:bCs w:val="1"/>
          <w:color w:val="auto"/>
        </w:rPr>
        <w:t xml:space="preserve"> </w:t>
      </w:r>
      <w:r>
        <w:rPr>
          <w:rFonts w:ascii="Arial" w:cs="Arial" w:eastAsia="Arial" w:hAnsi="Arial"/>
          <w:sz w:val="13"/>
          <w:szCs w:val="13"/>
          <w:color w:val="auto"/>
        </w:rPr>
        <w:t>contractual rights (set forth in a document other than this Plan) to the contrary.</w:t>
      </w:r>
    </w:p>
    <w:p>
      <w:pPr>
        <w:spacing w:after="0" w:line="91" w:lineRule="exact"/>
        <w:rPr>
          <w:rFonts w:ascii="Arial" w:cs="Arial" w:eastAsia="Arial" w:hAnsi="Arial"/>
          <w:sz w:val="13"/>
          <w:szCs w:val="13"/>
          <w:b w:val="1"/>
          <w:bCs w:val="1"/>
          <w:color w:val="23628F"/>
        </w:rPr>
      </w:pPr>
    </w:p>
    <w:p>
      <w:pPr>
        <w:ind w:left="760" w:hanging="378"/>
        <w:spacing w:after="0" w:line="249" w:lineRule="auto"/>
        <w:rPr>
          <w:rFonts w:ascii="Arial" w:cs="Arial" w:eastAsia="Arial" w:hAnsi="Arial"/>
          <w:sz w:val="13"/>
          <w:szCs w:val="13"/>
          <w:b w:val="1"/>
          <w:bCs w:val="1"/>
          <w:color w:val="23628F"/>
        </w:rPr>
      </w:pPr>
      <w:r>
        <w:rPr>
          <w:rFonts w:ascii="Arial" w:cs="Arial" w:eastAsia="Arial" w:hAnsi="Arial"/>
          <w:sz w:val="13"/>
          <w:szCs w:val="13"/>
          <w:b w:val="1"/>
          <w:bCs w:val="1"/>
          <w:color w:val="auto"/>
        </w:rPr>
        <w:t xml:space="preserve">8.3 </w:t>
      </w:r>
      <w:r>
        <w:rPr>
          <w:rFonts w:ascii="Arial" w:cs="Arial" w:eastAsia="Arial" w:hAnsi="Arial"/>
          <w:sz w:val="13"/>
          <w:szCs w:val="13"/>
          <w:b w:val="1"/>
          <w:bCs w:val="1"/>
          <w:i w:val="1"/>
          <w:iCs w:val="1"/>
          <w:color w:val="auto"/>
        </w:rPr>
        <w:t>No Employment/Service Contract.</w:t>
      </w:r>
      <w:r>
        <w:rPr>
          <w:rFonts w:ascii="Arial" w:cs="Arial" w:eastAsia="Arial" w:hAnsi="Arial"/>
          <w:sz w:val="13"/>
          <w:szCs w:val="13"/>
          <w:b w:val="1"/>
          <w:bCs w:val="1"/>
          <w:color w:val="auto"/>
        </w:rPr>
        <w:t xml:space="preserve"> </w:t>
      </w:r>
      <w:r>
        <w:rPr>
          <w:rFonts w:ascii="Arial" w:cs="Arial" w:eastAsia="Arial" w:hAnsi="Arial"/>
          <w:sz w:val="13"/>
          <w:szCs w:val="13"/>
          <w:color w:val="auto"/>
        </w:rPr>
        <w:t>Nothing contained in this Plan (or in any other documents under this Plan or in any award) shall confer upon any Eligible Person or other</w:t>
      </w:r>
      <w:r>
        <w:rPr>
          <w:rFonts w:ascii="Arial" w:cs="Arial" w:eastAsia="Arial" w:hAnsi="Arial"/>
          <w:sz w:val="13"/>
          <w:szCs w:val="13"/>
          <w:b w:val="1"/>
          <w:bCs w:val="1"/>
          <w:color w:val="auto"/>
        </w:rPr>
        <w:t xml:space="preserve"> </w:t>
      </w:r>
      <w:r>
        <w:rPr>
          <w:rFonts w:ascii="Arial" w:cs="Arial" w:eastAsia="Arial" w:hAnsi="Arial"/>
          <w:sz w:val="13"/>
          <w:szCs w:val="13"/>
          <w:color w:val="auto"/>
        </w:rPr>
        <w:t>participant any right to continue in the employ or other service of the Corporation or one of its Subsidiaries, constitute any contract or agreement of employment or other service or affect an employee’s status as an employee at will, nor shall interfere in any way with the right of the Corporation or one of its Subsidiaries to change a person’s compensation or other benefits, or to terminate his or her employment or other service, with or without cause. Nothing in this Section 8.3, however, is intended to adversely affect any express independent right of such person under a separate employment or service contract other than an award agreement.</w:t>
      </w:r>
    </w:p>
    <w:p>
      <w:pPr>
        <w:spacing w:after="0" w:line="181" w:lineRule="exact"/>
        <w:rPr>
          <w:sz w:val="20"/>
          <w:szCs w:val="20"/>
          <w:color w:val="auto"/>
        </w:rPr>
      </w:pPr>
    </w:p>
    <w:p>
      <w:pPr>
        <w:jc w:val="right"/>
        <w:spacing w:after="0"/>
        <w:tabs>
          <w:tab w:leader="none" w:pos="360" w:val="left"/>
        </w:tabs>
        <w:rPr>
          <w:sz w:val="20"/>
          <w:szCs w:val="20"/>
          <w:color w:val="auto"/>
        </w:rPr>
      </w:pPr>
      <w:r>
        <w:rPr>
          <w:rFonts w:ascii="Arial" w:cs="Arial" w:eastAsia="Arial" w:hAnsi="Arial"/>
          <w:sz w:val="13"/>
          <w:szCs w:val="13"/>
          <w:color w:val="23628F"/>
        </w:rPr>
        <w:t>2020 PROXY STATEMENT</w:t>
      </w:r>
      <w:r>
        <w:rPr>
          <w:sz w:val="20"/>
          <w:szCs w:val="20"/>
          <w:color w:val="auto"/>
        </w:rPr>
        <w:tab/>
      </w:r>
      <w:r>
        <w:rPr>
          <w:rFonts w:ascii="Arial" w:cs="Arial" w:eastAsia="Arial" w:hAnsi="Arial"/>
          <w:sz w:val="16"/>
          <w:szCs w:val="16"/>
          <w:b w:val="1"/>
          <w:bCs w:val="1"/>
          <w:color w:val="23628F"/>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153275" cy="215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23628F"/>
        </w:rPr>
        <w:t>APPENDIX B</w:t>
      </w:r>
    </w:p>
    <w:p>
      <w:pPr>
        <w:spacing w:after="0" w:line="199" w:lineRule="exact"/>
        <w:rPr>
          <w:sz w:val="20"/>
          <w:szCs w:val="20"/>
          <w:color w:val="auto"/>
        </w:rPr>
      </w:pPr>
    </w:p>
    <w:p>
      <w:pPr>
        <w:ind w:left="760" w:right="140" w:hanging="377"/>
        <w:spacing w:after="0" w:line="246" w:lineRule="auto"/>
        <w:tabs>
          <w:tab w:leader="none" w:pos="740" w:val="left"/>
        </w:tabs>
        <w:rPr>
          <w:sz w:val="20"/>
          <w:szCs w:val="20"/>
          <w:color w:val="auto"/>
        </w:rPr>
      </w:pPr>
      <w:r>
        <w:rPr>
          <w:rFonts w:ascii="Arial" w:cs="Arial" w:eastAsia="Arial" w:hAnsi="Arial"/>
          <w:sz w:val="13"/>
          <w:szCs w:val="13"/>
          <w:b w:val="1"/>
          <w:bCs w:val="1"/>
          <w:color w:val="auto"/>
        </w:rPr>
        <w:t>8.4</w:t>
      </w:r>
      <w:r>
        <w:rPr>
          <w:sz w:val="20"/>
          <w:szCs w:val="20"/>
          <w:color w:val="auto"/>
        </w:rPr>
        <w:tab/>
      </w:r>
      <w:r>
        <w:rPr>
          <w:rFonts w:ascii="Arial" w:cs="Arial" w:eastAsia="Arial" w:hAnsi="Arial"/>
          <w:sz w:val="13"/>
          <w:szCs w:val="13"/>
          <w:b w:val="1"/>
          <w:bCs w:val="1"/>
          <w:i w:val="1"/>
          <w:iCs w:val="1"/>
          <w:color w:val="auto"/>
        </w:rPr>
        <w:t xml:space="preserve">Plan Not Funded. </w:t>
      </w:r>
      <w:r>
        <w:rPr>
          <w:rFonts w:ascii="Arial" w:cs="Arial" w:eastAsia="Arial" w:hAnsi="Arial"/>
          <w:sz w:val="13"/>
          <w:szCs w:val="13"/>
          <w:color w:val="auto"/>
        </w:rPr>
        <w:t>Awards payable under this Plan shall be payable in shares or from the general assets of the Corporation, and no special or separate reserve, fund 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deposit shall be made to assure payment of such awards. No participant, beneficiary or other person shall have any right, title or interest in any fund or in any specific asset (including shares of Common Stock, except as expressly otherwise provided) of the Corporation or one of its Subsidiaries by reason of any award hereunder. Neither the provisions of this Plan (or of any related documents), nor the creation or adoption of this Plan, nor any action taken pursuant to the provisions of this Plan shall create, or be construed to create, a trust of any kind or a fiduciary relationship between the Corporation or one of its Subsidiaries and any participant, beneficiary or other person. To the extent that a participant, beneficiary or other person acquires a right to receive payment pursuant to any award hereunder, such right shall be no greater than the right of any unsecured general creditor of the Corporation.</w:t>
      </w:r>
    </w:p>
    <w:p>
      <w:pPr>
        <w:spacing w:after="0" w:line="115" w:lineRule="exact"/>
        <w:rPr>
          <w:sz w:val="20"/>
          <w:szCs w:val="20"/>
          <w:color w:val="auto"/>
        </w:rPr>
      </w:pPr>
    </w:p>
    <w:p>
      <w:pPr>
        <w:jc w:val="both"/>
        <w:ind w:left="760" w:right="80" w:hanging="377"/>
        <w:spacing w:after="0" w:line="253" w:lineRule="auto"/>
        <w:tabs>
          <w:tab w:leader="none" w:pos="740" w:val="left"/>
        </w:tabs>
        <w:rPr>
          <w:sz w:val="20"/>
          <w:szCs w:val="20"/>
          <w:color w:val="auto"/>
        </w:rPr>
      </w:pPr>
      <w:r>
        <w:rPr>
          <w:rFonts w:ascii="Arial" w:cs="Arial" w:eastAsia="Arial" w:hAnsi="Arial"/>
          <w:sz w:val="13"/>
          <w:szCs w:val="13"/>
          <w:b w:val="1"/>
          <w:bCs w:val="1"/>
          <w:color w:val="auto"/>
        </w:rPr>
        <w:t>8.5</w:t>
      </w:r>
      <w:r>
        <w:rPr>
          <w:sz w:val="20"/>
          <w:szCs w:val="20"/>
          <w:color w:val="auto"/>
        </w:rPr>
        <w:tab/>
      </w:r>
      <w:r>
        <w:rPr>
          <w:rFonts w:ascii="Arial" w:cs="Arial" w:eastAsia="Arial" w:hAnsi="Arial"/>
          <w:sz w:val="13"/>
          <w:szCs w:val="13"/>
          <w:b w:val="1"/>
          <w:bCs w:val="1"/>
          <w:i w:val="1"/>
          <w:iCs w:val="1"/>
          <w:color w:val="auto"/>
        </w:rPr>
        <w:t xml:space="preserve">Tax Withholding. </w:t>
      </w:r>
      <w:r>
        <w:rPr>
          <w:rFonts w:ascii="Arial" w:cs="Arial" w:eastAsia="Arial" w:hAnsi="Arial"/>
          <w:sz w:val="13"/>
          <w:szCs w:val="13"/>
          <w:color w:val="auto"/>
        </w:rPr>
        <w:t>Upon any exercise, vesting, or payment of any award or upon the disposition of shares of Common Stock acquired pursuant to the exercise of an ISO prior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to satisfaction of the holding period requirements of Section 422 of the Code, or upon any other tax withholding event with respect to any award, arrangements satisfactory to the Corporation shall be made to provide for any taxes the Corporation or any of its Subsidiaries may be required or permitted to withhold with respect to such award event or payment. Such arrangements may include (but are not limited to) any one of (or a combination of) the following:</w:t>
      </w:r>
    </w:p>
    <w:p>
      <w:pPr>
        <w:spacing w:after="0" w:line="128" w:lineRule="exact"/>
        <w:rPr>
          <w:sz w:val="20"/>
          <w:szCs w:val="20"/>
          <w:color w:val="auto"/>
        </w:rPr>
      </w:pPr>
    </w:p>
    <w:p>
      <w:pPr>
        <w:ind w:left="1140" w:hanging="376"/>
        <w:spacing w:after="0" w:line="248" w:lineRule="auto"/>
        <w:tabs>
          <w:tab w:leader="none" w:pos="1140" w:val="left"/>
        </w:tabs>
        <w:numPr>
          <w:ilvl w:val="0"/>
          <w:numId w:val="265"/>
        </w:numPr>
        <w:rPr>
          <w:rFonts w:ascii="Arial" w:cs="Arial" w:eastAsia="Arial" w:hAnsi="Arial"/>
          <w:sz w:val="13"/>
          <w:szCs w:val="13"/>
          <w:color w:val="auto"/>
        </w:rPr>
      </w:pPr>
      <w:r>
        <w:rPr>
          <w:rFonts w:ascii="Arial" w:cs="Arial" w:eastAsia="Arial" w:hAnsi="Arial"/>
          <w:sz w:val="13"/>
          <w:szCs w:val="13"/>
          <w:color w:val="auto"/>
        </w:rPr>
        <w:t>The Corporation or one of its Subsidiaries shall have the right to require the participant (or the participant’s personal representative or beneficiary, as the case may be) to pay or provide for payment of the amount of any taxes which the Corporation or one of its Subsidiaries may be required or permitted to withhold with respect to such award event or payment.</w:t>
      </w:r>
    </w:p>
    <w:p>
      <w:pPr>
        <w:spacing w:after="0" w:line="130" w:lineRule="exact"/>
        <w:rPr>
          <w:rFonts w:ascii="Arial" w:cs="Arial" w:eastAsia="Arial" w:hAnsi="Arial"/>
          <w:sz w:val="13"/>
          <w:szCs w:val="13"/>
          <w:color w:val="auto"/>
        </w:rPr>
      </w:pPr>
    </w:p>
    <w:p>
      <w:pPr>
        <w:ind w:left="1140" w:right="40" w:hanging="376"/>
        <w:spacing w:after="0" w:line="248" w:lineRule="auto"/>
        <w:tabs>
          <w:tab w:leader="none" w:pos="1140" w:val="left"/>
        </w:tabs>
        <w:numPr>
          <w:ilvl w:val="0"/>
          <w:numId w:val="265"/>
        </w:numPr>
        <w:rPr>
          <w:rFonts w:ascii="Arial" w:cs="Arial" w:eastAsia="Arial" w:hAnsi="Arial"/>
          <w:sz w:val="13"/>
          <w:szCs w:val="13"/>
          <w:color w:val="auto"/>
        </w:rPr>
      </w:pPr>
      <w:r>
        <w:rPr>
          <w:rFonts w:ascii="Arial" w:cs="Arial" w:eastAsia="Arial" w:hAnsi="Arial"/>
          <w:sz w:val="13"/>
          <w:szCs w:val="13"/>
          <w:color w:val="auto"/>
        </w:rPr>
        <w:t>The Corporation or one of its Subsidiaries shall have the right to deduct from any amount otherwise payable in cash (whether related to the award or otherwise) to the participant (or the participant’s personal representative or beneficiary, as the case may be) the amount of any taxes which the Corporation or one of its Subsidiaries may be required or permitted to withhold with respect to such award event or payment.</w:t>
      </w:r>
    </w:p>
    <w:p>
      <w:pPr>
        <w:spacing w:after="0" w:line="131" w:lineRule="exact"/>
        <w:rPr>
          <w:sz w:val="20"/>
          <w:szCs w:val="20"/>
          <w:color w:val="auto"/>
        </w:rPr>
      </w:pPr>
    </w:p>
    <w:p>
      <w:pPr>
        <w:ind w:left="760" w:right="20"/>
        <w:spacing w:after="0" w:line="241" w:lineRule="auto"/>
        <w:rPr>
          <w:sz w:val="20"/>
          <w:szCs w:val="20"/>
          <w:color w:val="auto"/>
        </w:rPr>
      </w:pPr>
      <w:r>
        <w:rPr>
          <w:rFonts w:ascii="Arial" w:cs="Arial" w:eastAsia="Arial" w:hAnsi="Arial"/>
          <w:sz w:val="13"/>
          <w:szCs w:val="13"/>
          <w:color w:val="auto"/>
        </w:rPr>
        <w:t>In any case where a tax is required to be withheld in connection with the delivery of shares of Common Stock under this Plan, the Administrator may in its sole discretion (subject to Section 8.1) require or grant (either at the time of the award or thereafter) to the participant the right to elect, pursuant to such rules and subject to such conditions as the Administrator may establish, that the Corporation reduce the number of shares to be delivered by (or otherwise reacquire) the appropriate number of shares, valued in a consistent manner at their fair market value or at the sales price in accordance with authorized procedures for cashless exercises, necessary to satisfy the applicable withholding obligation on exercise, vesting or payment. The Corporation may, with the Administrator’s approval, accept one or more promissory notes from any Eligible Person in connection with taxes required to be withheld upon the exercise, vesting or payment of any award under this Plan; provided that any such note shall be subject to terms and conditions established by the Administrator and the requirements of applicable law.</w:t>
      </w:r>
    </w:p>
    <w:p>
      <w:pPr>
        <w:spacing w:after="0" w:line="121" w:lineRule="exact"/>
        <w:rPr>
          <w:sz w:val="20"/>
          <w:szCs w:val="20"/>
          <w:color w:val="auto"/>
        </w:rPr>
      </w:pPr>
    </w:p>
    <w:p>
      <w:pPr>
        <w:ind w:left="380"/>
        <w:spacing w:after="0"/>
        <w:tabs>
          <w:tab w:leader="none" w:pos="740" w:val="left"/>
        </w:tabs>
        <w:rPr>
          <w:sz w:val="20"/>
          <w:szCs w:val="20"/>
          <w:color w:val="auto"/>
        </w:rPr>
      </w:pPr>
      <w:r>
        <w:rPr>
          <w:rFonts w:ascii="Arial" w:cs="Arial" w:eastAsia="Arial" w:hAnsi="Arial"/>
          <w:sz w:val="13"/>
          <w:szCs w:val="13"/>
          <w:b w:val="1"/>
          <w:bCs w:val="1"/>
          <w:color w:val="auto"/>
        </w:rPr>
        <w:t>8.6</w:t>
      </w:r>
      <w:r>
        <w:rPr>
          <w:sz w:val="20"/>
          <w:szCs w:val="20"/>
          <w:color w:val="auto"/>
        </w:rPr>
        <w:tab/>
      </w:r>
      <w:r>
        <w:rPr>
          <w:rFonts w:ascii="Arial" w:cs="Arial" w:eastAsia="Arial" w:hAnsi="Arial"/>
          <w:sz w:val="13"/>
          <w:szCs w:val="13"/>
          <w:b w:val="1"/>
          <w:bCs w:val="1"/>
          <w:i w:val="1"/>
          <w:iCs w:val="1"/>
          <w:color w:val="auto"/>
        </w:rPr>
        <w:t>Effective Date, Termination and Suspension, Amendments.</w:t>
      </w:r>
    </w:p>
    <w:p>
      <w:pPr>
        <w:spacing w:after="0" w:line="148" w:lineRule="exact"/>
        <w:rPr>
          <w:sz w:val="20"/>
          <w:szCs w:val="20"/>
          <w:color w:val="auto"/>
        </w:rPr>
      </w:pPr>
    </w:p>
    <w:p>
      <w:pPr>
        <w:jc w:val="both"/>
        <w:ind w:left="760"/>
        <w:spacing w:after="0" w:line="249" w:lineRule="auto"/>
        <w:rPr>
          <w:sz w:val="20"/>
          <w:szCs w:val="20"/>
          <w:color w:val="auto"/>
        </w:rPr>
      </w:pPr>
      <w:r>
        <w:rPr>
          <w:rFonts w:ascii="Arial" w:cs="Arial" w:eastAsia="Arial" w:hAnsi="Arial"/>
          <w:sz w:val="13"/>
          <w:szCs w:val="13"/>
          <w:b w:val="1"/>
          <w:bCs w:val="1"/>
          <w:color w:val="auto"/>
        </w:rPr>
        <w:t xml:space="preserve">8.6.1 </w:t>
      </w:r>
      <w:r>
        <w:rPr>
          <w:rFonts w:ascii="Arial" w:cs="Arial" w:eastAsia="Arial" w:hAnsi="Arial"/>
          <w:sz w:val="13"/>
          <w:szCs w:val="13"/>
          <w:b w:val="1"/>
          <w:bCs w:val="1"/>
          <w:i w:val="1"/>
          <w:iCs w:val="1"/>
          <w:color w:val="auto"/>
        </w:rPr>
        <w:t>Effective Date.</w:t>
      </w:r>
      <w:r>
        <w:rPr>
          <w:rFonts w:ascii="Arial" w:cs="Arial" w:eastAsia="Arial" w:hAnsi="Arial"/>
          <w:sz w:val="13"/>
          <w:szCs w:val="13"/>
          <w:b w:val="1"/>
          <w:bCs w:val="1"/>
          <w:color w:val="auto"/>
        </w:rPr>
        <w:t xml:space="preserve"> </w:t>
      </w:r>
      <w:r>
        <w:rPr>
          <w:rFonts w:ascii="Arial" w:cs="Arial" w:eastAsia="Arial" w:hAnsi="Arial"/>
          <w:sz w:val="13"/>
          <w:szCs w:val="13"/>
          <w:color w:val="auto"/>
        </w:rPr>
        <w:t>This Plan was initially adopted by the Board on September 21, 2004. The Amendment and Restatement of this Plan is effective as of August 7, 2019 (the</w:t>
      </w:r>
      <w:r>
        <w:rPr>
          <w:rFonts w:ascii="Arial" w:cs="Arial" w:eastAsia="Arial" w:hAnsi="Arial"/>
          <w:sz w:val="13"/>
          <w:szCs w:val="13"/>
          <w:b w:val="1"/>
          <w:bCs w:val="1"/>
          <w:color w:val="auto"/>
        </w:rPr>
        <w:t xml:space="preserve"> </w:t>
      </w:r>
      <w:r>
        <w:rPr>
          <w:rFonts w:ascii="Arial" w:cs="Arial" w:eastAsia="Arial" w:hAnsi="Arial"/>
          <w:sz w:val="13"/>
          <w:szCs w:val="13"/>
          <w:color w:val="auto"/>
        </w:rPr>
        <w:t>“</w:t>
      </w:r>
      <w:r>
        <w:rPr>
          <w:rFonts w:ascii="Arial" w:cs="Arial" w:eastAsia="Arial" w:hAnsi="Arial"/>
          <w:sz w:val="13"/>
          <w:szCs w:val="13"/>
          <w:b w:val="1"/>
          <w:bCs w:val="1"/>
          <w:color w:val="auto"/>
        </w:rPr>
        <w:t>Effective Date</w:t>
      </w:r>
      <w:r>
        <w:rPr>
          <w:rFonts w:ascii="Arial" w:cs="Arial" w:eastAsia="Arial" w:hAnsi="Arial"/>
          <w:sz w:val="13"/>
          <w:szCs w:val="13"/>
          <w:color w:val="auto"/>
        </w:rPr>
        <w:t>”). Unless earlier terminated by the Board and subject to any extension that may be approved by stockholders, this Plan shall terminate at the close of business on August 4, 2025. After the termination of this Plan either upon such stated expiration date or its earlier termination by the Board, no additional awards may be granted under this Plan, but previously granted awards (and the authority of the Administrator with respect thereto, including the authority to amend such awards) shall remain outstanding in accordance with their applicable terms and conditions and the terms and conditions of this Plan.</w:t>
      </w:r>
    </w:p>
    <w:p>
      <w:pPr>
        <w:spacing w:after="0" w:line="115" w:lineRule="exact"/>
        <w:rPr>
          <w:sz w:val="20"/>
          <w:szCs w:val="20"/>
          <w:color w:val="auto"/>
        </w:rPr>
      </w:pPr>
    </w:p>
    <w:p>
      <w:pPr>
        <w:ind w:left="760" w:right="160"/>
        <w:spacing w:after="0" w:line="284" w:lineRule="auto"/>
        <w:rPr>
          <w:sz w:val="20"/>
          <w:szCs w:val="20"/>
          <w:color w:val="auto"/>
        </w:rPr>
      </w:pPr>
      <w:r>
        <w:rPr>
          <w:rFonts w:ascii="Arial" w:cs="Arial" w:eastAsia="Arial" w:hAnsi="Arial"/>
          <w:sz w:val="13"/>
          <w:szCs w:val="13"/>
          <w:b w:val="1"/>
          <w:bCs w:val="1"/>
          <w:color w:val="auto"/>
        </w:rPr>
        <w:t xml:space="preserve">8.6.2 </w:t>
      </w:r>
      <w:r>
        <w:rPr>
          <w:rFonts w:ascii="Arial" w:cs="Arial" w:eastAsia="Arial" w:hAnsi="Arial"/>
          <w:sz w:val="13"/>
          <w:szCs w:val="13"/>
          <w:b w:val="1"/>
          <w:bCs w:val="1"/>
          <w:i w:val="1"/>
          <w:iCs w:val="1"/>
          <w:color w:val="auto"/>
        </w:rPr>
        <w:t>Board Authorization.</w:t>
      </w:r>
      <w:r>
        <w:rPr>
          <w:rFonts w:ascii="Arial" w:cs="Arial" w:eastAsia="Arial" w:hAnsi="Arial"/>
          <w:sz w:val="13"/>
          <w:szCs w:val="13"/>
          <w:b w:val="1"/>
          <w:bCs w:val="1"/>
          <w:color w:val="auto"/>
        </w:rPr>
        <w:t xml:space="preserve"> </w:t>
      </w:r>
      <w:r>
        <w:rPr>
          <w:rFonts w:ascii="Arial" w:cs="Arial" w:eastAsia="Arial" w:hAnsi="Arial"/>
          <w:sz w:val="13"/>
          <w:szCs w:val="13"/>
          <w:color w:val="auto"/>
        </w:rPr>
        <w:t>The Board may, at any time, terminate or, from time to time, amend, modify or suspend this Plan, in whole or in part. No awards may be granted</w:t>
      </w:r>
      <w:r>
        <w:rPr>
          <w:rFonts w:ascii="Arial" w:cs="Arial" w:eastAsia="Arial" w:hAnsi="Arial"/>
          <w:sz w:val="13"/>
          <w:szCs w:val="13"/>
          <w:b w:val="1"/>
          <w:bCs w:val="1"/>
          <w:color w:val="auto"/>
        </w:rPr>
        <w:t xml:space="preserve"> </w:t>
      </w:r>
      <w:r>
        <w:rPr>
          <w:rFonts w:ascii="Arial" w:cs="Arial" w:eastAsia="Arial" w:hAnsi="Arial"/>
          <w:sz w:val="13"/>
          <w:szCs w:val="13"/>
          <w:color w:val="auto"/>
        </w:rPr>
        <w:t>during any period that the Board suspends this Plan.</w:t>
      </w:r>
    </w:p>
    <w:p>
      <w:pPr>
        <w:spacing w:after="0" w:line="92" w:lineRule="exact"/>
        <w:rPr>
          <w:sz w:val="20"/>
          <w:szCs w:val="20"/>
          <w:color w:val="auto"/>
        </w:rPr>
      </w:pPr>
    </w:p>
    <w:p>
      <w:pPr>
        <w:ind w:left="760" w:right="20"/>
        <w:spacing w:after="0" w:line="284" w:lineRule="auto"/>
        <w:rPr>
          <w:sz w:val="20"/>
          <w:szCs w:val="20"/>
          <w:color w:val="auto"/>
        </w:rPr>
      </w:pPr>
      <w:r>
        <w:rPr>
          <w:rFonts w:ascii="Arial" w:cs="Arial" w:eastAsia="Arial" w:hAnsi="Arial"/>
          <w:sz w:val="13"/>
          <w:szCs w:val="13"/>
          <w:b w:val="1"/>
          <w:bCs w:val="1"/>
          <w:color w:val="auto"/>
        </w:rPr>
        <w:t xml:space="preserve">8.6.3 </w:t>
      </w:r>
      <w:r>
        <w:rPr>
          <w:rFonts w:ascii="Arial" w:cs="Arial" w:eastAsia="Arial" w:hAnsi="Arial"/>
          <w:sz w:val="13"/>
          <w:szCs w:val="13"/>
          <w:b w:val="1"/>
          <w:bCs w:val="1"/>
          <w:i w:val="1"/>
          <w:iCs w:val="1"/>
          <w:color w:val="auto"/>
        </w:rPr>
        <w:t>Stockholder Approval.</w:t>
      </w:r>
      <w:r>
        <w:rPr>
          <w:rFonts w:ascii="Arial" w:cs="Arial" w:eastAsia="Arial" w:hAnsi="Arial"/>
          <w:sz w:val="13"/>
          <w:szCs w:val="13"/>
          <w:b w:val="1"/>
          <w:bCs w:val="1"/>
          <w:color w:val="auto"/>
        </w:rPr>
        <w:t xml:space="preserve"> </w:t>
      </w:r>
      <w:r>
        <w:rPr>
          <w:rFonts w:ascii="Arial" w:cs="Arial" w:eastAsia="Arial" w:hAnsi="Arial"/>
          <w:sz w:val="13"/>
          <w:szCs w:val="13"/>
          <w:color w:val="auto"/>
        </w:rPr>
        <w:t>An amendment to this Plan shall be subject to stockholder approval only to the extent then required by applicable law or stock exchange rules or</w:t>
      </w:r>
      <w:r>
        <w:rPr>
          <w:rFonts w:ascii="Arial" w:cs="Arial" w:eastAsia="Arial" w:hAnsi="Arial"/>
          <w:sz w:val="13"/>
          <w:szCs w:val="13"/>
          <w:b w:val="1"/>
          <w:bCs w:val="1"/>
          <w:color w:val="auto"/>
        </w:rPr>
        <w:t xml:space="preserve"> </w:t>
      </w:r>
      <w:r>
        <w:rPr>
          <w:rFonts w:ascii="Arial" w:cs="Arial" w:eastAsia="Arial" w:hAnsi="Arial"/>
          <w:sz w:val="13"/>
          <w:szCs w:val="13"/>
          <w:color w:val="auto"/>
        </w:rPr>
        <w:t>deemed necessary or advisable by the Board.</w:t>
      </w:r>
    </w:p>
    <w:p>
      <w:pPr>
        <w:spacing w:after="0" w:line="92" w:lineRule="exact"/>
        <w:rPr>
          <w:sz w:val="20"/>
          <w:szCs w:val="20"/>
          <w:color w:val="auto"/>
        </w:rPr>
      </w:pPr>
    </w:p>
    <w:p>
      <w:pPr>
        <w:ind w:left="760" w:right="320"/>
        <w:spacing w:after="0" w:line="284" w:lineRule="auto"/>
        <w:rPr>
          <w:sz w:val="20"/>
          <w:szCs w:val="20"/>
          <w:color w:val="auto"/>
        </w:rPr>
      </w:pPr>
      <w:r>
        <w:rPr>
          <w:rFonts w:ascii="Arial" w:cs="Arial" w:eastAsia="Arial" w:hAnsi="Arial"/>
          <w:sz w:val="13"/>
          <w:szCs w:val="13"/>
          <w:b w:val="1"/>
          <w:bCs w:val="1"/>
          <w:color w:val="auto"/>
        </w:rPr>
        <w:t xml:space="preserve">8.6.4 </w:t>
      </w:r>
      <w:r>
        <w:rPr>
          <w:rFonts w:ascii="Arial" w:cs="Arial" w:eastAsia="Arial" w:hAnsi="Arial"/>
          <w:sz w:val="13"/>
          <w:szCs w:val="13"/>
          <w:b w:val="1"/>
          <w:bCs w:val="1"/>
          <w:i w:val="1"/>
          <w:iCs w:val="1"/>
          <w:color w:val="auto"/>
        </w:rPr>
        <w:t>Amendments to Awards.</w:t>
      </w:r>
      <w:r>
        <w:rPr>
          <w:rFonts w:ascii="Arial" w:cs="Arial" w:eastAsia="Arial" w:hAnsi="Arial"/>
          <w:sz w:val="13"/>
          <w:szCs w:val="13"/>
          <w:b w:val="1"/>
          <w:bCs w:val="1"/>
          <w:color w:val="auto"/>
        </w:rPr>
        <w:t xml:space="preserve"> </w:t>
      </w:r>
      <w:r>
        <w:rPr>
          <w:rFonts w:ascii="Arial" w:cs="Arial" w:eastAsia="Arial" w:hAnsi="Arial"/>
          <w:sz w:val="13"/>
          <w:szCs w:val="13"/>
          <w:color w:val="auto"/>
        </w:rPr>
        <w:t>Without limiting any other express authority of the Administrator under (but subject to) the express limits of this Plan, the Administrator by</w:t>
      </w:r>
      <w:r>
        <w:rPr>
          <w:rFonts w:ascii="Arial" w:cs="Arial" w:eastAsia="Arial" w:hAnsi="Arial"/>
          <w:sz w:val="13"/>
          <w:szCs w:val="13"/>
          <w:b w:val="1"/>
          <w:bCs w:val="1"/>
          <w:color w:val="auto"/>
        </w:rPr>
        <w:t xml:space="preserve"> </w:t>
      </w:r>
      <w:r>
        <w:rPr>
          <w:rFonts w:ascii="Arial" w:cs="Arial" w:eastAsia="Arial" w:hAnsi="Arial"/>
          <w:sz w:val="13"/>
          <w:szCs w:val="13"/>
          <w:color w:val="auto"/>
        </w:rPr>
        <w:t>agreement or resolution may waive conditions of or limitations on awards to participants that the Administrator in the prior exercise of its discretion has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23628F"/>
        </w:rPr>
        <w:t xml:space="preserve">B-12  </w:t>
      </w:r>
      <w:r>
        <w:rPr>
          <w:rFonts w:ascii="Arial" w:cs="Arial" w:eastAsia="Arial" w:hAnsi="Arial"/>
          <w:sz w:val="13"/>
          <w:szCs w:val="13"/>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53275" cy="209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ind w:left="10420"/>
        <w:spacing w:after="0"/>
        <w:rPr>
          <w:sz w:val="20"/>
          <w:szCs w:val="20"/>
          <w:color w:val="auto"/>
        </w:rPr>
      </w:pPr>
      <w:r>
        <w:rPr>
          <w:rFonts w:ascii="Arial" w:cs="Arial" w:eastAsia="Arial" w:hAnsi="Arial"/>
          <w:sz w:val="13"/>
          <w:szCs w:val="13"/>
          <w:color w:val="23628F"/>
        </w:rPr>
        <w:t>APPENDIX B</w:t>
      </w:r>
    </w:p>
    <w:p>
      <w:pPr>
        <w:spacing w:after="0" w:line="215" w:lineRule="exact"/>
        <w:rPr>
          <w:sz w:val="20"/>
          <w:szCs w:val="20"/>
          <w:color w:val="auto"/>
        </w:rPr>
      </w:pPr>
    </w:p>
    <w:p>
      <w:pPr>
        <w:ind w:left="760" w:right="80"/>
        <w:spacing w:after="0" w:line="258" w:lineRule="auto"/>
        <w:rPr>
          <w:sz w:val="20"/>
          <w:szCs w:val="20"/>
          <w:color w:val="auto"/>
        </w:rPr>
      </w:pPr>
      <w:r>
        <w:rPr>
          <w:rFonts w:ascii="Arial" w:cs="Arial" w:eastAsia="Arial" w:hAnsi="Arial"/>
          <w:sz w:val="13"/>
          <w:szCs w:val="13"/>
          <w:color w:val="auto"/>
        </w:rPr>
        <w:t>imposed, without the consent of a participant, and (subject to the requirements of Sections 3.2 and 8.6.5) may make other changes to the terms and conditions of awards. Any amendment or other action that would constitute a repricing of an award is subject to the limitations set forth in Section 3.2.</w:t>
      </w:r>
    </w:p>
    <w:p>
      <w:pPr>
        <w:spacing w:after="0" w:line="108" w:lineRule="exact"/>
        <w:rPr>
          <w:sz w:val="20"/>
          <w:szCs w:val="20"/>
          <w:color w:val="auto"/>
        </w:rPr>
      </w:pPr>
    </w:p>
    <w:p>
      <w:pPr>
        <w:ind w:left="760"/>
        <w:spacing w:after="0" w:line="253" w:lineRule="auto"/>
        <w:rPr>
          <w:sz w:val="20"/>
          <w:szCs w:val="20"/>
          <w:color w:val="auto"/>
        </w:rPr>
      </w:pPr>
      <w:r>
        <w:rPr>
          <w:rFonts w:ascii="Arial" w:cs="Arial" w:eastAsia="Arial" w:hAnsi="Arial"/>
          <w:sz w:val="13"/>
          <w:szCs w:val="13"/>
          <w:b w:val="1"/>
          <w:bCs w:val="1"/>
          <w:color w:val="auto"/>
        </w:rPr>
        <w:t xml:space="preserve">8.6.5 </w:t>
      </w:r>
      <w:r>
        <w:rPr>
          <w:rFonts w:ascii="Arial" w:cs="Arial" w:eastAsia="Arial" w:hAnsi="Arial"/>
          <w:sz w:val="13"/>
          <w:szCs w:val="13"/>
          <w:b w:val="1"/>
          <w:bCs w:val="1"/>
          <w:i w:val="1"/>
          <w:iCs w:val="1"/>
          <w:color w:val="auto"/>
        </w:rPr>
        <w:t>Limitations on Amendments to Plan and Awards.</w:t>
      </w:r>
      <w:r>
        <w:rPr>
          <w:rFonts w:ascii="Arial" w:cs="Arial" w:eastAsia="Arial" w:hAnsi="Arial"/>
          <w:sz w:val="13"/>
          <w:szCs w:val="13"/>
          <w:b w:val="1"/>
          <w:bCs w:val="1"/>
          <w:color w:val="auto"/>
        </w:rPr>
        <w:t xml:space="preserve"> </w:t>
      </w:r>
      <w:r>
        <w:rPr>
          <w:rFonts w:ascii="Arial" w:cs="Arial" w:eastAsia="Arial" w:hAnsi="Arial"/>
          <w:sz w:val="13"/>
          <w:szCs w:val="13"/>
          <w:color w:val="auto"/>
        </w:rPr>
        <w:t>No amendment, suspension or termination of this Plan or change of or affecting any outstanding award agreement</w:t>
      </w:r>
      <w:r>
        <w:rPr>
          <w:rFonts w:ascii="Arial" w:cs="Arial" w:eastAsia="Arial" w:hAnsi="Arial"/>
          <w:sz w:val="13"/>
          <w:szCs w:val="13"/>
          <w:b w:val="1"/>
          <w:bCs w:val="1"/>
          <w:color w:val="auto"/>
        </w:rPr>
        <w:t xml:space="preserve"> </w:t>
      </w:r>
      <w:r>
        <w:rPr>
          <w:rFonts w:ascii="Arial" w:cs="Arial" w:eastAsia="Arial" w:hAnsi="Arial"/>
          <w:sz w:val="13"/>
          <w:szCs w:val="13"/>
          <w:color w:val="auto"/>
        </w:rPr>
        <w:t>shall, without written consent of the participant, affect in any manner materially adverse to the participant any rights or benefits of the participant or obligations of the Corporation under any award granted under this Plan prior to the effective date of such change. Changes, settlements and other actions contemplated by Section 7 shall not be deemed to constitute changes or amendments for purposes of this Section 8.6 and shall not require stockholder approval or the consent of the award holder.</w:t>
      </w:r>
    </w:p>
    <w:p>
      <w:pPr>
        <w:spacing w:after="0" w:line="112" w:lineRule="exact"/>
        <w:rPr>
          <w:sz w:val="20"/>
          <w:szCs w:val="20"/>
          <w:color w:val="auto"/>
        </w:rPr>
      </w:pPr>
    </w:p>
    <w:p>
      <w:pPr>
        <w:ind w:left="760" w:right="400" w:hanging="377"/>
        <w:spacing w:after="0" w:line="261" w:lineRule="auto"/>
        <w:tabs>
          <w:tab w:leader="none" w:pos="740" w:val="left"/>
        </w:tabs>
        <w:rPr>
          <w:sz w:val="20"/>
          <w:szCs w:val="20"/>
          <w:color w:val="auto"/>
        </w:rPr>
      </w:pPr>
      <w:r>
        <w:rPr>
          <w:rFonts w:ascii="Arial" w:cs="Arial" w:eastAsia="Arial" w:hAnsi="Arial"/>
          <w:sz w:val="13"/>
          <w:szCs w:val="13"/>
          <w:b w:val="1"/>
          <w:bCs w:val="1"/>
          <w:color w:val="auto"/>
        </w:rPr>
        <w:t>8.7</w:t>
      </w:r>
      <w:r>
        <w:rPr>
          <w:sz w:val="20"/>
          <w:szCs w:val="20"/>
          <w:color w:val="auto"/>
        </w:rPr>
        <w:tab/>
      </w:r>
      <w:r>
        <w:rPr>
          <w:rFonts w:ascii="Arial" w:cs="Arial" w:eastAsia="Arial" w:hAnsi="Arial"/>
          <w:sz w:val="13"/>
          <w:szCs w:val="13"/>
          <w:b w:val="1"/>
          <w:bCs w:val="1"/>
          <w:i w:val="1"/>
          <w:iCs w:val="1"/>
          <w:color w:val="auto"/>
        </w:rPr>
        <w:t xml:space="preserve">Privileges of Stock Ownership. </w:t>
      </w:r>
      <w:r>
        <w:rPr>
          <w:rFonts w:ascii="Arial" w:cs="Arial" w:eastAsia="Arial" w:hAnsi="Arial"/>
          <w:sz w:val="13"/>
          <w:szCs w:val="13"/>
          <w:color w:val="auto"/>
        </w:rPr>
        <w:t>Except as otherwise expressly authorized by the Administrator or this Plan, a participant shall not be entitled to any privilege of stock</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ownership as to any shares of Common Stock not actually delivered to and held of record by the participant. Except as expressly required by Section 7.1 or otherwise expressly provided by the Administrator, no adjustment will be made for dividends or other rights as a stockholder for which a record date is prior to such date of delivery.</w:t>
      </w:r>
    </w:p>
    <w:p>
      <w:pPr>
        <w:spacing w:after="0" w:line="106" w:lineRule="exact"/>
        <w:rPr>
          <w:sz w:val="20"/>
          <w:szCs w:val="20"/>
          <w:color w:val="auto"/>
        </w:rPr>
      </w:pPr>
    </w:p>
    <w:p>
      <w:pPr>
        <w:ind w:left="380"/>
        <w:spacing w:after="0"/>
        <w:tabs>
          <w:tab w:leader="none" w:pos="740" w:val="left"/>
        </w:tabs>
        <w:rPr>
          <w:sz w:val="20"/>
          <w:szCs w:val="20"/>
          <w:color w:val="auto"/>
        </w:rPr>
      </w:pPr>
      <w:r>
        <w:rPr>
          <w:rFonts w:ascii="Arial" w:cs="Arial" w:eastAsia="Arial" w:hAnsi="Arial"/>
          <w:sz w:val="13"/>
          <w:szCs w:val="13"/>
          <w:b w:val="1"/>
          <w:bCs w:val="1"/>
          <w:color w:val="auto"/>
        </w:rPr>
        <w:t>8.8</w:t>
      </w:r>
      <w:r>
        <w:rPr>
          <w:sz w:val="20"/>
          <w:szCs w:val="20"/>
          <w:color w:val="auto"/>
        </w:rPr>
        <w:tab/>
      </w:r>
      <w:r>
        <w:rPr>
          <w:rFonts w:ascii="Arial" w:cs="Arial" w:eastAsia="Arial" w:hAnsi="Arial"/>
          <w:sz w:val="13"/>
          <w:szCs w:val="13"/>
          <w:b w:val="1"/>
          <w:bCs w:val="1"/>
          <w:i w:val="1"/>
          <w:iCs w:val="1"/>
          <w:color w:val="auto"/>
        </w:rPr>
        <w:t>Governing Law; Construction; Severability.</w:t>
      </w:r>
    </w:p>
    <w:p>
      <w:pPr>
        <w:spacing w:after="0" w:line="148" w:lineRule="exact"/>
        <w:rPr>
          <w:sz w:val="20"/>
          <w:szCs w:val="20"/>
          <w:color w:val="auto"/>
        </w:rPr>
      </w:pPr>
    </w:p>
    <w:p>
      <w:pPr>
        <w:ind w:left="760" w:right="280"/>
        <w:spacing w:after="0" w:line="284" w:lineRule="auto"/>
        <w:rPr>
          <w:sz w:val="20"/>
          <w:szCs w:val="20"/>
          <w:color w:val="auto"/>
        </w:rPr>
      </w:pPr>
      <w:r>
        <w:rPr>
          <w:rFonts w:ascii="Arial" w:cs="Arial" w:eastAsia="Arial" w:hAnsi="Arial"/>
          <w:sz w:val="13"/>
          <w:szCs w:val="13"/>
          <w:b w:val="1"/>
          <w:bCs w:val="1"/>
          <w:color w:val="auto"/>
        </w:rPr>
        <w:t xml:space="preserve">8.8.1 </w:t>
      </w:r>
      <w:r>
        <w:rPr>
          <w:rFonts w:ascii="Arial" w:cs="Arial" w:eastAsia="Arial" w:hAnsi="Arial"/>
          <w:sz w:val="13"/>
          <w:szCs w:val="13"/>
          <w:b w:val="1"/>
          <w:bCs w:val="1"/>
          <w:i w:val="1"/>
          <w:iCs w:val="1"/>
          <w:color w:val="auto"/>
        </w:rPr>
        <w:t>Choice of Law.</w:t>
      </w:r>
      <w:r>
        <w:rPr>
          <w:rFonts w:ascii="Arial" w:cs="Arial" w:eastAsia="Arial" w:hAnsi="Arial"/>
          <w:sz w:val="13"/>
          <w:szCs w:val="13"/>
          <w:b w:val="1"/>
          <w:bCs w:val="1"/>
          <w:color w:val="auto"/>
        </w:rPr>
        <w:t xml:space="preserve"> </w:t>
      </w:r>
      <w:r>
        <w:rPr>
          <w:rFonts w:ascii="Arial" w:cs="Arial" w:eastAsia="Arial" w:hAnsi="Arial"/>
          <w:sz w:val="13"/>
          <w:szCs w:val="13"/>
          <w:color w:val="auto"/>
        </w:rPr>
        <w:t>This Plan, the awards, all documents evidencing awards and all other related documents shall be governed by, and construed in accordance with the</w:t>
      </w:r>
      <w:r>
        <w:rPr>
          <w:rFonts w:ascii="Arial" w:cs="Arial" w:eastAsia="Arial" w:hAnsi="Arial"/>
          <w:sz w:val="13"/>
          <w:szCs w:val="13"/>
          <w:b w:val="1"/>
          <w:bCs w:val="1"/>
          <w:color w:val="auto"/>
        </w:rPr>
        <w:t xml:space="preserve"> </w:t>
      </w:r>
      <w:r>
        <w:rPr>
          <w:rFonts w:ascii="Arial" w:cs="Arial" w:eastAsia="Arial" w:hAnsi="Arial"/>
          <w:sz w:val="13"/>
          <w:szCs w:val="13"/>
          <w:color w:val="auto"/>
        </w:rPr>
        <w:t>laws of the State of Delaware, notwithstanding any Delaware or other conflict of law provision to the contrary.</w:t>
      </w:r>
    </w:p>
    <w:p>
      <w:pPr>
        <w:spacing w:after="0" w:line="92" w:lineRule="exact"/>
        <w:rPr>
          <w:sz w:val="20"/>
          <w:szCs w:val="20"/>
          <w:color w:val="auto"/>
        </w:rPr>
      </w:pPr>
    </w:p>
    <w:p>
      <w:pPr>
        <w:ind w:left="760"/>
        <w:spacing w:after="0"/>
        <w:rPr>
          <w:sz w:val="20"/>
          <w:szCs w:val="20"/>
          <w:color w:val="auto"/>
        </w:rPr>
      </w:pPr>
      <w:r>
        <w:rPr>
          <w:rFonts w:ascii="Arial" w:cs="Arial" w:eastAsia="Arial" w:hAnsi="Arial"/>
          <w:sz w:val="13"/>
          <w:szCs w:val="13"/>
          <w:b w:val="1"/>
          <w:bCs w:val="1"/>
          <w:color w:val="auto"/>
        </w:rPr>
        <w:t xml:space="preserve">8.8.2 </w:t>
      </w:r>
      <w:r>
        <w:rPr>
          <w:rFonts w:ascii="Arial" w:cs="Arial" w:eastAsia="Arial" w:hAnsi="Arial"/>
          <w:sz w:val="13"/>
          <w:szCs w:val="13"/>
          <w:b w:val="1"/>
          <w:bCs w:val="1"/>
          <w:i w:val="1"/>
          <w:iCs w:val="1"/>
          <w:color w:val="auto"/>
        </w:rPr>
        <w:t>Severability.</w:t>
      </w:r>
      <w:r>
        <w:rPr>
          <w:rFonts w:ascii="Arial" w:cs="Arial" w:eastAsia="Arial" w:hAnsi="Arial"/>
          <w:sz w:val="13"/>
          <w:szCs w:val="13"/>
          <w:b w:val="1"/>
          <w:bCs w:val="1"/>
          <w:color w:val="auto"/>
        </w:rPr>
        <w:t xml:space="preserve"> </w:t>
      </w:r>
      <w:r>
        <w:rPr>
          <w:rFonts w:ascii="Arial" w:cs="Arial" w:eastAsia="Arial" w:hAnsi="Arial"/>
          <w:sz w:val="13"/>
          <w:szCs w:val="13"/>
          <w:color w:val="auto"/>
        </w:rPr>
        <w:t>If a court of competent jurisdiction holds any provision invalid and unenforceable, the remaining provisions of this Plan shall continue in effect.</w:t>
      </w:r>
    </w:p>
    <w:p>
      <w:pPr>
        <w:spacing w:after="0" w:line="148" w:lineRule="exact"/>
        <w:rPr>
          <w:sz w:val="20"/>
          <w:szCs w:val="20"/>
          <w:color w:val="auto"/>
        </w:rPr>
      </w:pPr>
    </w:p>
    <w:p>
      <w:pPr>
        <w:ind w:left="760" w:right="60"/>
        <w:spacing w:after="0" w:line="284" w:lineRule="auto"/>
        <w:rPr>
          <w:sz w:val="20"/>
          <w:szCs w:val="20"/>
          <w:color w:val="auto"/>
        </w:rPr>
      </w:pPr>
      <w:r>
        <w:rPr>
          <w:rFonts w:ascii="Arial" w:cs="Arial" w:eastAsia="Arial" w:hAnsi="Arial"/>
          <w:sz w:val="13"/>
          <w:szCs w:val="13"/>
          <w:b w:val="1"/>
          <w:bCs w:val="1"/>
          <w:color w:val="auto"/>
        </w:rPr>
        <w:t xml:space="preserve">8.8.3 </w:t>
      </w:r>
      <w:r>
        <w:rPr>
          <w:rFonts w:ascii="Arial" w:cs="Arial" w:eastAsia="Arial" w:hAnsi="Arial"/>
          <w:sz w:val="13"/>
          <w:szCs w:val="13"/>
          <w:b w:val="1"/>
          <w:bCs w:val="1"/>
          <w:i w:val="1"/>
          <w:iCs w:val="1"/>
          <w:color w:val="auto"/>
        </w:rPr>
        <w:t>Plan Construction.</w:t>
      </w:r>
      <w:r>
        <w:rPr>
          <w:rFonts w:ascii="Arial" w:cs="Arial" w:eastAsia="Arial" w:hAnsi="Arial"/>
          <w:sz w:val="13"/>
          <w:szCs w:val="13"/>
          <w:b w:val="1"/>
          <w:bCs w:val="1"/>
          <w:color w:val="auto"/>
        </w:rPr>
        <w:t xml:space="preserve"> </w:t>
      </w:r>
      <w:r>
        <w:rPr>
          <w:rFonts w:ascii="Arial" w:cs="Arial" w:eastAsia="Arial" w:hAnsi="Arial"/>
          <w:sz w:val="13"/>
          <w:szCs w:val="13"/>
          <w:color w:val="auto"/>
        </w:rPr>
        <w:t>It is intended that this Plan, as well as awards granted under this Plan, comply with, and not result in any tax, penalty or interest under, Section 409A</w:t>
      </w:r>
      <w:r>
        <w:rPr>
          <w:rFonts w:ascii="Arial" w:cs="Arial" w:eastAsia="Arial" w:hAnsi="Arial"/>
          <w:sz w:val="13"/>
          <w:szCs w:val="13"/>
          <w:b w:val="1"/>
          <w:bCs w:val="1"/>
          <w:color w:val="auto"/>
        </w:rPr>
        <w:t xml:space="preserve"> </w:t>
      </w:r>
      <w:r>
        <w:rPr>
          <w:rFonts w:ascii="Arial" w:cs="Arial" w:eastAsia="Arial" w:hAnsi="Arial"/>
          <w:sz w:val="13"/>
          <w:szCs w:val="13"/>
          <w:color w:val="auto"/>
        </w:rPr>
        <w:t>of the Code. This Plan, as well as awards granted under this Plan, shall be construed and interpreted accordingly.</w:t>
      </w:r>
    </w:p>
    <w:p>
      <w:pPr>
        <w:spacing w:after="0" w:line="92" w:lineRule="exact"/>
        <w:rPr>
          <w:sz w:val="20"/>
          <w:szCs w:val="20"/>
          <w:color w:val="auto"/>
        </w:rPr>
      </w:pPr>
    </w:p>
    <w:p>
      <w:pPr>
        <w:ind w:left="760" w:right="100" w:hanging="377"/>
        <w:spacing w:after="0" w:line="284" w:lineRule="auto"/>
        <w:tabs>
          <w:tab w:leader="none" w:pos="740" w:val="left"/>
        </w:tabs>
        <w:rPr>
          <w:sz w:val="20"/>
          <w:szCs w:val="20"/>
          <w:color w:val="auto"/>
        </w:rPr>
      </w:pPr>
      <w:r>
        <w:rPr>
          <w:rFonts w:ascii="Arial" w:cs="Arial" w:eastAsia="Arial" w:hAnsi="Arial"/>
          <w:sz w:val="13"/>
          <w:szCs w:val="13"/>
          <w:b w:val="1"/>
          <w:bCs w:val="1"/>
          <w:color w:val="auto"/>
        </w:rPr>
        <w:t>8.9</w:t>
      </w:r>
      <w:r>
        <w:rPr>
          <w:sz w:val="20"/>
          <w:szCs w:val="20"/>
          <w:color w:val="auto"/>
        </w:rPr>
        <w:tab/>
      </w:r>
      <w:r>
        <w:rPr>
          <w:rFonts w:ascii="Arial" w:cs="Arial" w:eastAsia="Arial" w:hAnsi="Arial"/>
          <w:sz w:val="13"/>
          <w:szCs w:val="13"/>
          <w:b w:val="1"/>
          <w:bCs w:val="1"/>
          <w:i w:val="1"/>
          <w:iCs w:val="1"/>
          <w:color w:val="auto"/>
        </w:rPr>
        <w:t xml:space="preserve">Captions. </w:t>
      </w:r>
      <w:r>
        <w:rPr>
          <w:rFonts w:ascii="Arial" w:cs="Arial" w:eastAsia="Arial" w:hAnsi="Arial"/>
          <w:sz w:val="13"/>
          <w:szCs w:val="13"/>
          <w:color w:val="auto"/>
        </w:rPr>
        <w:t>Captions and headings are given to the sections and subsections of this Plan solely as a convenience to facilitate reference. Such headings shall not be deemed 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any way material or relevant to the construction or interpretation of this Plan or any provision thereof.</w:t>
      </w:r>
    </w:p>
    <w:p>
      <w:pPr>
        <w:spacing w:after="0" w:line="92" w:lineRule="exact"/>
        <w:rPr>
          <w:sz w:val="20"/>
          <w:szCs w:val="20"/>
          <w:color w:val="auto"/>
        </w:rPr>
      </w:pPr>
    </w:p>
    <w:p>
      <w:pPr>
        <w:ind w:left="760" w:right="40" w:hanging="377"/>
        <w:spacing w:after="0" w:line="243" w:lineRule="auto"/>
        <w:tabs>
          <w:tab w:leader="none" w:pos="740" w:val="left"/>
        </w:tabs>
        <w:rPr>
          <w:sz w:val="20"/>
          <w:szCs w:val="20"/>
          <w:color w:val="auto"/>
        </w:rPr>
      </w:pPr>
      <w:r>
        <w:rPr>
          <w:rFonts w:ascii="Arial" w:cs="Arial" w:eastAsia="Arial" w:hAnsi="Arial"/>
          <w:sz w:val="13"/>
          <w:szCs w:val="13"/>
          <w:b w:val="1"/>
          <w:bCs w:val="1"/>
          <w:color w:val="auto"/>
        </w:rPr>
        <w:t>8.10</w:t>
      </w:r>
      <w:r>
        <w:rPr>
          <w:sz w:val="20"/>
          <w:szCs w:val="20"/>
          <w:color w:val="auto"/>
        </w:rPr>
        <w:tab/>
      </w:r>
      <w:r>
        <w:rPr>
          <w:rFonts w:ascii="Arial" w:cs="Arial" w:eastAsia="Arial" w:hAnsi="Arial"/>
          <w:sz w:val="13"/>
          <w:szCs w:val="13"/>
          <w:b w:val="1"/>
          <w:bCs w:val="1"/>
          <w:i w:val="1"/>
          <w:iCs w:val="1"/>
          <w:color w:val="auto"/>
        </w:rPr>
        <w:t xml:space="preserve">Stock-Based Awards in Substitution for Stock Options or Awards Granted by Other Corporation. </w:t>
      </w:r>
      <w:r>
        <w:rPr>
          <w:rFonts w:ascii="Arial" w:cs="Arial" w:eastAsia="Arial" w:hAnsi="Arial"/>
          <w:sz w:val="13"/>
          <w:szCs w:val="13"/>
          <w:color w:val="auto"/>
        </w:rPr>
        <w:t>Awards may be granted to Eligible Persons in substitution for or 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connection with an assumption of employee stock options, SARs, restricted stock or other stock-based awards granted by other entities to persons who are or who will become Eligible Persons in respect of the Corporation or one of its Subsidiaries, in connection with a distribution, merger or other reorganization by or with the granting entity or an affiliated entity, or the acquisition by the Corporation or one of its Subsidiaries, directly or indirectly, of all or a substantial part of the stock or assets of the employing entity. The awards so granted need not comply with other specific terms of this Plan, provided that the awards reflect adjustments giving effect to the assumption or substitution consistent with the conversion applicable to the Common Stock (or the securities otherwise subject to the award) in the transaction and any change in the issuer of the security. Any shares that are delivered and any awards that are granted by, or become obligations of, the Corporation, as a result of the assumption by the Corporation of, or in substitution for, outstanding awards previously granted or assumed by an acquired company (or previously granted or assumed by a predecessor employer (or direct or indirect parent thereof) in the case of persons that become employed by the Corporation or one of its Subsidiaries in connection with a business or asset acquisition or similar transaction) shall not be counted against the Share Limit or other limits on the number of shares available for issuance under this Plan.</w:t>
      </w:r>
    </w:p>
    <w:p>
      <w:pPr>
        <w:spacing w:after="0" w:line="120" w:lineRule="exact"/>
        <w:rPr>
          <w:sz w:val="20"/>
          <w:szCs w:val="20"/>
          <w:color w:val="auto"/>
        </w:rPr>
      </w:pPr>
    </w:p>
    <w:p>
      <w:pPr>
        <w:ind w:left="760" w:right="760" w:hanging="377"/>
        <w:spacing w:after="0" w:line="284" w:lineRule="auto"/>
        <w:tabs>
          <w:tab w:leader="none" w:pos="740" w:val="left"/>
        </w:tabs>
        <w:rPr>
          <w:sz w:val="20"/>
          <w:szCs w:val="20"/>
          <w:color w:val="auto"/>
        </w:rPr>
      </w:pPr>
      <w:r>
        <w:rPr>
          <w:rFonts w:ascii="Arial" w:cs="Arial" w:eastAsia="Arial" w:hAnsi="Arial"/>
          <w:sz w:val="13"/>
          <w:szCs w:val="13"/>
          <w:b w:val="1"/>
          <w:bCs w:val="1"/>
          <w:color w:val="auto"/>
        </w:rPr>
        <w:t>8.11</w:t>
      </w:r>
      <w:r>
        <w:rPr>
          <w:sz w:val="20"/>
          <w:szCs w:val="20"/>
          <w:color w:val="auto"/>
        </w:rPr>
        <w:tab/>
      </w:r>
      <w:r>
        <w:rPr>
          <w:rFonts w:ascii="Arial" w:cs="Arial" w:eastAsia="Arial" w:hAnsi="Arial"/>
          <w:sz w:val="13"/>
          <w:szCs w:val="13"/>
          <w:b w:val="1"/>
          <w:bCs w:val="1"/>
          <w:i w:val="1"/>
          <w:iCs w:val="1"/>
          <w:color w:val="auto"/>
        </w:rPr>
        <w:t xml:space="preserve">Non-Exclusivity of Plan. </w:t>
      </w:r>
      <w:r>
        <w:rPr>
          <w:rFonts w:ascii="Arial" w:cs="Arial" w:eastAsia="Arial" w:hAnsi="Arial"/>
          <w:sz w:val="13"/>
          <w:szCs w:val="13"/>
          <w:color w:val="auto"/>
        </w:rPr>
        <w:t>Nothing in this Plan shall limit or be deemed to limit the authority of the Board or the Administrator to grant awards or authorize any other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compensation, with or without reference to the Common Stock, under any other plan or authority.</w:t>
      </w:r>
    </w:p>
    <w:p>
      <w:pPr>
        <w:spacing w:after="0" w:line="92" w:lineRule="exact"/>
        <w:rPr>
          <w:sz w:val="20"/>
          <w:szCs w:val="20"/>
          <w:color w:val="auto"/>
        </w:rPr>
      </w:pPr>
    </w:p>
    <w:p>
      <w:pPr>
        <w:ind w:left="760" w:right="80" w:hanging="377"/>
        <w:spacing w:after="0" w:line="249" w:lineRule="auto"/>
        <w:tabs>
          <w:tab w:leader="none" w:pos="740" w:val="left"/>
        </w:tabs>
        <w:rPr>
          <w:sz w:val="20"/>
          <w:szCs w:val="20"/>
          <w:color w:val="auto"/>
        </w:rPr>
      </w:pPr>
      <w:r>
        <w:rPr>
          <w:rFonts w:ascii="Arial" w:cs="Arial" w:eastAsia="Arial" w:hAnsi="Arial"/>
          <w:sz w:val="13"/>
          <w:szCs w:val="13"/>
          <w:b w:val="1"/>
          <w:bCs w:val="1"/>
          <w:color w:val="auto"/>
        </w:rPr>
        <w:t>8.12</w:t>
      </w:r>
      <w:r>
        <w:rPr>
          <w:sz w:val="20"/>
          <w:szCs w:val="20"/>
          <w:color w:val="auto"/>
        </w:rPr>
        <w:tab/>
      </w:r>
      <w:r>
        <w:rPr>
          <w:rFonts w:ascii="Arial" w:cs="Arial" w:eastAsia="Arial" w:hAnsi="Arial"/>
          <w:sz w:val="13"/>
          <w:szCs w:val="13"/>
          <w:b w:val="1"/>
          <w:bCs w:val="1"/>
          <w:i w:val="1"/>
          <w:iCs w:val="1"/>
          <w:color w:val="auto"/>
        </w:rPr>
        <w:t xml:space="preserve">No Corporate Action Restriction. </w:t>
      </w:r>
      <w:r>
        <w:rPr>
          <w:rFonts w:ascii="Arial" w:cs="Arial" w:eastAsia="Arial" w:hAnsi="Arial"/>
          <w:sz w:val="13"/>
          <w:szCs w:val="13"/>
          <w:color w:val="auto"/>
        </w:rPr>
        <w:t>The existence of this Plan, the award agreements and the awards granted hereunder shall not limit, affect or restrict in any way the right or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power of the Corporation or any Subsidiary (or any of their respective shareholders, boards of directors or committees thereof, as the case may be) to make or authorize: (a) any adjustment, recapitalization, reorganization or other change in the capital structure or business of the Corporation or any Subsidiary, (b) any merger, amalgamation, consolidation or change in the ownership of the Corporation or any Subsidiary, (c) any issue of bonds, debentures, capital, preferred or prior preference stock ahead of or affecting the capital stock (or the rights thereof) of the Corporation or</w:t>
      </w:r>
    </w:p>
    <w:p>
      <w:pPr>
        <w:spacing w:after="0" w:line="181" w:lineRule="exact"/>
        <w:rPr>
          <w:sz w:val="20"/>
          <w:szCs w:val="20"/>
          <w:color w:val="auto"/>
        </w:rPr>
      </w:pPr>
    </w:p>
    <w:p>
      <w:pPr>
        <w:jc w:val="right"/>
        <w:spacing w:after="0"/>
        <w:tabs>
          <w:tab w:leader="none" w:pos="360" w:val="left"/>
        </w:tabs>
        <w:rPr>
          <w:sz w:val="20"/>
          <w:szCs w:val="20"/>
          <w:color w:val="auto"/>
        </w:rPr>
      </w:pPr>
      <w:r>
        <w:rPr>
          <w:rFonts w:ascii="Arial" w:cs="Arial" w:eastAsia="Arial" w:hAnsi="Arial"/>
          <w:sz w:val="13"/>
          <w:szCs w:val="13"/>
          <w:color w:val="23628F"/>
        </w:rPr>
        <w:t>2020 PROXY STATEMENT</w:t>
      </w:r>
      <w:r>
        <w:rPr>
          <w:sz w:val="20"/>
          <w:szCs w:val="20"/>
          <w:color w:val="auto"/>
        </w:rPr>
        <w:tab/>
      </w:r>
      <w:r>
        <w:rPr>
          <w:rFonts w:ascii="Arial" w:cs="Arial" w:eastAsia="Arial" w:hAnsi="Arial"/>
          <w:sz w:val="16"/>
          <w:szCs w:val="16"/>
          <w:b w:val="1"/>
          <w:bCs w:val="1"/>
          <w:color w:val="23628F"/>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153275" cy="215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23628F"/>
        </w:rPr>
        <w:t>APPENDIX B</w:t>
      </w:r>
    </w:p>
    <w:p>
      <w:pPr>
        <w:spacing w:after="0" w:line="215" w:lineRule="exact"/>
        <w:rPr>
          <w:sz w:val="20"/>
          <w:szCs w:val="20"/>
          <w:color w:val="auto"/>
        </w:rPr>
      </w:pPr>
    </w:p>
    <w:p>
      <w:pPr>
        <w:ind w:left="760" w:right="100"/>
        <w:spacing w:after="0" w:line="243" w:lineRule="auto"/>
        <w:rPr>
          <w:sz w:val="20"/>
          <w:szCs w:val="20"/>
          <w:color w:val="auto"/>
        </w:rPr>
      </w:pPr>
      <w:r>
        <w:rPr>
          <w:rFonts w:ascii="Arial" w:cs="Arial" w:eastAsia="Arial" w:hAnsi="Arial"/>
          <w:sz w:val="13"/>
          <w:szCs w:val="13"/>
          <w:color w:val="auto"/>
        </w:rPr>
        <w:t>any Subsidiary, (d) any dissolution or liquidation of the Corporation or any Subsidiary, (e) any sale or transfer of all or any part of the assets or business of the Corporation or any Subsidiary, (f) any other award, grant, or payment of incentives or other compensation under any other plan or authority (or any other action with respect to any benefit, incentive or compensation), or (g) any other corporate act or proceeding by the Corporation or any Subsidiary. No participant, beneficiary or any other person shall have any claim under any award or award agreement against any member of the Board or the Administrator, or the Corporation or any employees, officers or agents of the Corporation or any Subsidiary, as a result of any such action.</w:t>
      </w:r>
    </w:p>
    <w:p>
      <w:pPr>
        <w:spacing w:after="0" w:line="118" w:lineRule="exact"/>
        <w:rPr>
          <w:sz w:val="20"/>
          <w:szCs w:val="20"/>
          <w:color w:val="auto"/>
        </w:rPr>
      </w:pPr>
    </w:p>
    <w:p>
      <w:pPr>
        <w:ind w:left="760" w:right="140" w:hanging="377"/>
        <w:spacing w:after="0" w:line="250" w:lineRule="auto"/>
        <w:tabs>
          <w:tab w:leader="none" w:pos="740" w:val="left"/>
        </w:tabs>
        <w:rPr>
          <w:sz w:val="20"/>
          <w:szCs w:val="20"/>
          <w:color w:val="auto"/>
        </w:rPr>
      </w:pPr>
      <w:r>
        <w:rPr>
          <w:rFonts w:ascii="Arial" w:cs="Arial" w:eastAsia="Arial" w:hAnsi="Arial"/>
          <w:sz w:val="13"/>
          <w:szCs w:val="13"/>
          <w:b w:val="1"/>
          <w:bCs w:val="1"/>
          <w:color w:val="auto"/>
        </w:rPr>
        <w:t>8.13</w:t>
      </w:r>
      <w:r>
        <w:rPr>
          <w:sz w:val="20"/>
          <w:szCs w:val="20"/>
          <w:color w:val="auto"/>
        </w:rPr>
        <w:tab/>
      </w:r>
      <w:r>
        <w:rPr>
          <w:rFonts w:ascii="Arial" w:cs="Arial" w:eastAsia="Arial" w:hAnsi="Arial"/>
          <w:sz w:val="13"/>
          <w:szCs w:val="13"/>
          <w:b w:val="1"/>
          <w:bCs w:val="1"/>
          <w:i w:val="1"/>
          <w:iCs w:val="1"/>
          <w:color w:val="auto"/>
        </w:rPr>
        <w:t xml:space="preserve">Other Company Benefit and Compensation Programs. </w:t>
      </w:r>
      <w:r>
        <w:rPr>
          <w:rFonts w:ascii="Arial" w:cs="Arial" w:eastAsia="Arial" w:hAnsi="Arial"/>
          <w:sz w:val="13"/>
          <w:szCs w:val="13"/>
          <w:color w:val="auto"/>
        </w:rPr>
        <w:t>Payments and other benefits received by a participant under an award made pursuant to this Plan shall not be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deemed a part of a participant’s compensation for purposes of the determination of benefits under any other employee welfare or benefit plans or arrangements, if any, provided by the Corporation or any Subsidiary, except where the Administrator expressly otherwise provides or authorizes in writing. Awards under this Plan may be made in addition to, in combination with, as alternatives to or in payment of grants, awards or commitments under any other plans, arrangements or authority of the Corporation or its Subsidiaries.</w:t>
      </w:r>
    </w:p>
    <w:p>
      <w:pPr>
        <w:spacing w:after="0" w:line="268" w:lineRule="exact"/>
        <w:rPr>
          <w:sz w:val="20"/>
          <w:szCs w:val="20"/>
          <w:color w:val="auto"/>
        </w:rPr>
      </w:pPr>
    </w:p>
    <w:p>
      <w:pPr>
        <w:ind w:left="380"/>
        <w:spacing w:after="0"/>
        <w:tabs>
          <w:tab w:leader="none" w:pos="740" w:val="left"/>
        </w:tabs>
        <w:rPr>
          <w:sz w:val="20"/>
          <w:szCs w:val="20"/>
          <w:color w:val="auto"/>
        </w:rPr>
      </w:pPr>
      <w:r>
        <w:rPr>
          <w:rFonts w:ascii="Arial" w:cs="Arial" w:eastAsia="Arial" w:hAnsi="Arial"/>
          <w:sz w:val="13"/>
          <w:szCs w:val="13"/>
          <w:b w:val="1"/>
          <w:bCs w:val="1"/>
          <w:color w:val="auto"/>
        </w:rPr>
        <w:t>8.14</w:t>
      </w:r>
      <w:r>
        <w:rPr>
          <w:sz w:val="20"/>
          <w:szCs w:val="20"/>
          <w:color w:val="auto"/>
        </w:rPr>
        <w:tab/>
      </w:r>
      <w:r>
        <w:rPr>
          <w:rFonts w:ascii="Arial" w:cs="Arial" w:eastAsia="Arial" w:hAnsi="Arial"/>
          <w:sz w:val="13"/>
          <w:szCs w:val="13"/>
          <w:b w:val="1"/>
          <w:bCs w:val="1"/>
          <w:i w:val="1"/>
          <w:iCs w:val="1"/>
          <w:color w:val="auto"/>
        </w:rPr>
        <w:t>Forfeiture and Clawback Provisions.</w:t>
      </w:r>
    </w:p>
    <w:p>
      <w:pPr>
        <w:spacing w:after="0" w:line="164" w:lineRule="exact"/>
        <w:rPr>
          <w:sz w:val="20"/>
          <w:szCs w:val="20"/>
          <w:color w:val="auto"/>
        </w:rPr>
      </w:pPr>
    </w:p>
    <w:p>
      <w:pPr>
        <w:ind w:left="1140" w:right="120" w:hanging="376"/>
        <w:spacing w:after="0" w:line="243" w:lineRule="auto"/>
        <w:tabs>
          <w:tab w:leader="none" w:pos="1140" w:val="left"/>
        </w:tabs>
        <w:numPr>
          <w:ilvl w:val="0"/>
          <w:numId w:val="266"/>
        </w:numPr>
        <w:rPr>
          <w:rFonts w:ascii="Arial" w:cs="Arial" w:eastAsia="Arial" w:hAnsi="Arial"/>
          <w:sz w:val="13"/>
          <w:szCs w:val="13"/>
          <w:color w:val="auto"/>
        </w:rPr>
      </w:pPr>
      <w:r>
        <w:rPr>
          <w:rFonts w:ascii="Arial" w:cs="Arial" w:eastAsia="Arial" w:hAnsi="Arial"/>
          <w:sz w:val="13"/>
          <w:szCs w:val="13"/>
          <w:color w:val="auto"/>
        </w:rPr>
        <w:t>All awards granted under this Plan (including any proceeds, gains or other economic benefit actually or constructively received by the award holder upon any receipt, vesting, payment or exercise of any award or upon the receipt or resale of any shares of Common Stock underlying the award) shall be subject to the provisions of any clawback or similar policy implemented by the Corporation from time to time, including, without limitation, any clawback or similar policy adopted to comply with the requirements of applicable law, such as the Dodd-Frank Wall Street Reform and Consumer Protection Act and any rules or regulations promulgated thereunder, to the extent set forth in such clawback policy and/or in the applicable award agreement.</w:t>
      </w:r>
    </w:p>
    <w:p>
      <w:pPr>
        <w:spacing w:after="0" w:line="134" w:lineRule="exact"/>
        <w:rPr>
          <w:rFonts w:ascii="Arial" w:cs="Arial" w:eastAsia="Arial" w:hAnsi="Arial"/>
          <w:sz w:val="13"/>
          <w:szCs w:val="13"/>
          <w:color w:val="auto"/>
        </w:rPr>
      </w:pPr>
    </w:p>
    <w:p>
      <w:pPr>
        <w:ind w:left="1140" w:hanging="376"/>
        <w:spacing w:after="0" w:line="241" w:lineRule="auto"/>
        <w:tabs>
          <w:tab w:leader="none" w:pos="1140" w:val="left"/>
        </w:tabs>
        <w:numPr>
          <w:ilvl w:val="0"/>
          <w:numId w:val="266"/>
        </w:numPr>
        <w:rPr>
          <w:rFonts w:ascii="Arial" w:cs="Arial" w:eastAsia="Arial" w:hAnsi="Arial"/>
          <w:sz w:val="13"/>
          <w:szCs w:val="13"/>
          <w:color w:val="auto"/>
        </w:rPr>
      </w:pPr>
      <w:r>
        <w:rPr>
          <w:rFonts w:ascii="Arial" w:cs="Arial" w:eastAsia="Arial" w:hAnsi="Arial"/>
          <w:sz w:val="13"/>
          <w:szCs w:val="13"/>
          <w:color w:val="auto"/>
        </w:rPr>
        <w:t>Pursuant to its authority to determine the terms and conditions applicable to awards under the Plan and without limiting the generality of that authority, the Administrator shall have the right to provide, in the applicable policy, award agreement or other written agreement that: (i) any proceeds, gains or other economic benefit actually or constructively received by the award holder upon any receipt, vesting, payment or exercise of the award, or upon the receipt or resale of any shares of Common Stock underlying the award, shall be paid to the Corporation, and (ii) the award shall terminate and any outstanding portion of the award (whether or not vested) shall be forfeited, if (x) a termination of service occurs prior to a specified date, or within a specified time period following receipt, vesting or exercise of the award, or (y) the award holder at any time, or during a specified time period, engages in any activity in competition with the Corporation, or which is inimical, contrary or harmful to the interests of the Corporation, as further defined by the Administrator for purposes of the award, or (z) the award holder incurs a termination of service for “cause” (as such term is defined by the Administrator for purposes of the award).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23628F"/>
        </w:rPr>
        <w:t xml:space="preserve">B-14  </w:t>
      </w:r>
      <w:r>
        <w:rPr>
          <w:rFonts w:ascii="Arial" w:cs="Arial" w:eastAsia="Arial" w:hAnsi="Arial"/>
          <w:sz w:val="13"/>
          <w:szCs w:val="13"/>
          <w:color w:val="23628F"/>
        </w:rPr>
        <w:t>WESTERN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153275" cy="209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38" w:name="page139"/>
    <w:bookmarkEnd w:id="138"/>
    <w:p>
      <w:pPr>
        <w:spacing w:after="0"/>
        <w:rPr>
          <w:rFonts w:ascii="Arial" w:cs="Arial" w:eastAsia="Arial" w:hAnsi="Arial"/>
          <w:sz w:val="16"/>
          <w:szCs w:val="16"/>
          <w:b w:val="1"/>
          <w:bCs w:val="1"/>
          <w:u w:val="single" w:color="auto"/>
          <w:color w:val="0000EE"/>
        </w:rPr>
      </w:pP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153275" cy="821436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53275" cy="821436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146050</wp:posOffset>
            </wp:positionV>
            <wp:extent cx="5486400" cy="48006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548640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280" w:type="dxa"/>
        <w:tblCellMar>
          <w:top w:w="0" w:type="dxa"/>
          <w:left w:w="0" w:type="dxa"/>
          <w:bottom w:w="0" w:type="dxa"/>
          <w:right w:w="0" w:type="dxa"/>
        </w:tblCellMar>
      </w:tblPr>
      <w:tr>
        <w:trPr>
          <w:trHeight w:val="163"/>
        </w:trPr>
        <w:tc>
          <w:tcPr>
            <w:tcW w:w="3740" w:type="dxa"/>
            <w:vAlign w:val="bottom"/>
          </w:tcPr>
          <w:p>
            <w:pPr>
              <w:spacing w:after="0"/>
              <w:rPr>
                <w:sz w:val="20"/>
                <w:szCs w:val="20"/>
                <w:color w:val="auto"/>
              </w:rPr>
            </w:pPr>
            <w:r>
              <w:rPr>
                <w:rFonts w:ascii="Arial" w:cs="Arial" w:eastAsia="Arial" w:hAnsi="Arial"/>
                <w:sz w:val="13"/>
                <w:szCs w:val="13"/>
                <w:i w:val="1"/>
                <w:iCs w:val="1"/>
                <w:color w:val="auto"/>
              </w:rPr>
              <w:t>5601 GREAT OAKS PARKWAY</w:t>
            </w:r>
          </w:p>
        </w:tc>
        <w:tc>
          <w:tcPr>
            <w:tcW w:w="6940" w:type="dxa"/>
            <w:vAlign w:val="bottom"/>
            <w:gridSpan w:val="4"/>
          </w:tcPr>
          <w:p>
            <w:pPr>
              <w:ind w:left="1820"/>
              <w:spacing w:after="0"/>
              <w:rPr>
                <w:sz w:val="20"/>
                <w:szCs w:val="20"/>
                <w:color w:val="auto"/>
              </w:rPr>
            </w:pPr>
            <w:r>
              <w:rPr>
                <w:rFonts w:ascii="Arial" w:cs="Arial" w:eastAsia="Arial" w:hAnsi="Arial"/>
                <w:sz w:val="13"/>
                <w:szCs w:val="13"/>
                <w:color w:val="auto"/>
              </w:rPr>
              <w:t>You are urged to vote these shares by completing and returning this proxy card or</w:t>
            </w:r>
          </w:p>
        </w:tc>
      </w:tr>
      <w:tr>
        <w:trPr>
          <w:trHeight w:val="188"/>
        </w:trPr>
        <w:tc>
          <w:tcPr>
            <w:tcW w:w="3740" w:type="dxa"/>
            <w:vAlign w:val="bottom"/>
          </w:tcPr>
          <w:p>
            <w:pPr>
              <w:spacing w:after="0"/>
              <w:rPr>
                <w:sz w:val="20"/>
                <w:szCs w:val="20"/>
                <w:color w:val="auto"/>
              </w:rPr>
            </w:pPr>
            <w:r>
              <w:rPr>
                <w:rFonts w:ascii="Arial" w:cs="Arial" w:eastAsia="Arial" w:hAnsi="Arial"/>
                <w:sz w:val="13"/>
                <w:szCs w:val="13"/>
                <w:i w:val="1"/>
                <w:iCs w:val="1"/>
                <w:color w:val="auto"/>
              </w:rPr>
              <w:t>SAN JOSE, CA 95119</w:t>
            </w:r>
          </w:p>
        </w:tc>
        <w:tc>
          <w:tcPr>
            <w:tcW w:w="6940" w:type="dxa"/>
            <w:vAlign w:val="bottom"/>
            <w:gridSpan w:val="4"/>
          </w:tcPr>
          <w:p>
            <w:pPr>
              <w:ind w:left="1820"/>
              <w:spacing w:after="0"/>
              <w:rPr>
                <w:sz w:val="20"/>
                <w:szCs w:val="20"/>
                <w:color w:val="auto"/>
              </w:rPr>
            </w:pPr>
            <w:r>
              <w:rPr>
                <w:rFonts w:ascii="Arial" w:cs="Arial" w:eastAsia="Arial" w:hAnsi="Arial"/>
                <w:sz w:val="13"/>
                <w:szCs w:val="13"/>
                <w:color w:val="auto"/>
              </w:rPr>
              <w:t>transmitting your voting instructions electronically via the Internet or by telephone.</w:t>
            </w:r>
          </w:p>
        </w:tc>
      </w:tr>
      <w:tr>
        <w:trPr>
          <w:trHeight w:val="186"/>
        </w:trPr>
        <w:tc>
          <w:tcPr>
            <w:tcW w:w="3740" w:type="dxa"/>
            <w:vAlign w:val="bottom"/>
          </w:tcPr>
          <w:p>
            <w:pPr>
              <w:spacing w:after="0"/>
              <w:rPr>
                <w:sz w:val="16"/>
                <w:szCs w:val="16"/>
                <w:color w:val="auto"/>
              </w:rPr>
            </w:pPr>
          </w:p>
        </w:tc>
        <w:tc>
          <w:tcPr>
            <w:tcW w:w="6940" w:type="dxa"/>
            <w:vAlign w:val="bottom"/>
            <w:gridSpan w:val="4"/>
          </w:tcPr>
          <w:p>
            <w:pPr>
              <w:ind w:left="1820"/>
              <w:spacing w:after="0"/>
              <w:rPr>
                <w:sz w:val="20"/>
                <w:szCs w:val="20"/>
                <w:color w:val="auto"/>
              </w:rPr>
            </w:pPr>
            <w:r>
              <w:rPr>
                <w:rFonts w:ascii="Arial" w:cs="Arial" w:eastAsia="Arial" w:hAnsi="Arial"/>
                <w:sz w:val="13"/>
                <w:szCs w:val="13"/>
                <w:b w:val="1"/>
                <w:bCs w:val="1"/>
                <w:color w:val="auto"/>
              </w:rPr>
              <w:t>VOTE BY INTERNET</w:t>
            </w:r>
          </w:p>
        </w:tc>
      </w:tr>
      <w:tr>
        <w:trPr>
          <w:trHeight w:val="152"/>
        </w:trPr>
        <w:tc>
          <w:tcPr>
            <w:tcW w:w="3740" w:type="dxa"/>
            <w:vAlign w:val="bottom"/>
          </w:tcPr>
          <w:p>
            <w:pPr>
              <w:spacing w:after="0"/>
              <w:rPr>
                <w:sz w:val="13"/>
                <w:szCs w:val="13"/>
                <w:color w:val="auto"/>
              </w:rPr>
            </w:pPr>
          </w:p>
        </w:tc>
        <w:tc>
          <w:tcPr>
            <w:tcW w:w="6940" w:type="dxa"/>
            <w:vAlign w:val="bottom"/>
            <w:gridSpan w:val="4"/>
          </w:tcPr>
          <w:p>
            <w:pPr>
              <w:ind w:left="1820"/>
              <w:spacing w:after="0"/>
              <w:rPr>
                <w:sz w:val="20"/>
                <w:szCs w:val="20"/>
                <w:color w:val="auto"/>
              </w:rPr>
            </w:pPr>
            <w:r>
              <w:rPr>
                <w:rFonts w:ascii="Arial" w:cs="Arial" w:eastAsia="Arial" w:hAnsi="Arial"/>
                <w:sz w:val="13"/>
                <w:szCs w:val="13"/>
                <w:i w:val="1"/>
                <w:iCs w:val="1"/>
                <w:color w:val="auto"/>
              </w:rPr>
              <w:t xml:space="preserve">Before The Meeting </w:t>
            </w:r>
            <w:r>
              <w:rPr>
                <w:rFonts w:ascii="Arial" w:cs="Arial" w:eastAsia="Arial" w:hAnsi="Arial"/>
                <w:sz w:val="13"/>
                <w:szCs w:val="13"/>
                <w:color w:val="auto"/>
              </w:rPr>
              <w:t>- Go to</w:t>
            </w:r>
            <w:r>
              <w:rPr>
                <w:rFonts w:ascii="Arial" w:cs="Arial" w:eastAsia="Arial" w:hAnsi="Arial"/>
                <w:sz w:val="13"/>
                <w:szCs w:val="13"/>
                <w:i w:val="1"/>
                <w:iCs w:val="1"/>
                <w:color w:val="auto"/>
              </w:rPr>
              <w:t xml:space="preserve"> </w:t>
            </w:r>
            <w:r>
              <w:rPr>
                <w:rFonts w:ascii="Arial" w:cs="Arial" w:eastAsia="Arial" w:hAnsi="Arial"/>
                <w:sz w:val="13"/>
                <w:szCs w:val="13"/>
                <w:b w:val="1"/>
                <w:bCs w:val="1"/>
                <w:color w:val="auto"/>
              </w:rPr>
              <w:t>www.proxyvote.com or scan the QR Barcode above</w:t>
            </w:r>
          </w:p>
        </w:tc>
      </w:tr>
      <w:tr>
        <w:trPr>
          <w:trHeight w:val="20"/>
        </w:trPr>
        <w:tc>
          <w:tcPr>
            <w:tcW w:w="37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22"/>
        </w:trPr>
        <w:tc>
          <w:tcPr>
            <w:tcW w:w="3740" w:type="dxa"/>
            <w:vAlign w:val="bottom"/>
          </w:tcPr>
          <w:p>
            <w:pPr>
              <w:spacing w:after="0"/>
              <w:rPr>
                <w:sz w:val="19"/>
                <w:szCs w:val="19"/>
                <w:color w:val="auto"/>
              </w:rPr>
            </w:pPr>
          </w:p>
        </w:tc>
        <w:tc>
          <w:tcPr>
            <w:tcW w:w="6940" w:type="dxa"/>
            <w:vAlign w:val="bottom"/>
            <w:gridSpan w:val="4"/>
          </w:tcPr>
          <w:p>
            <w:pPr>
              <w:ind w:left="1820"/>
              <w:spacing w:after="0"/>
              <w:rPr>
                <w:sz w:val="20"/>
                <w:szCs w:val="20"/>
                <w:color w:val="auto"/>
              </w:rPr>
            </w:pPr>
            <w:r>
              <w:rPr>
                <w:rFonts w:ascii="Arial" w:cs="Arial" w:eastAsia="Arial" w:hAnsi="Arial"/>
                <w:sz w:val="13"/>
                <w:szCs w:val="13"/>
                <w:color w:val="auto"/>
              </w:rPr>
              <w:t>Use the Internet to transmit your voting instructions and for electronic delivery of</w:t>
            </w:r>
          </w:p>
        </w:tc>
      </w:tr>
      <w:tr>
        <w:trPr>
          <w:trHeight w:val="148"/>
        </w:trPr>
        <w:tc>
          <w:tcPr>
            <w:tcW w:w="3740" w:type="dxa"/>
            <w:vAlign w:val="bottom"/>
          </w:tcPr>
          <w:p>
            <w:pPr>
              <w:spacing w:after="0"/>
              <w:rPr>
                <w:sz w:val="12"/>
                <w:szCs w:val="12"/>
                <w:color w:val="auto"/>
              </w:rPr>
            </w:pPr>
          </w:p>
        </w:tc>
        <w:tc>
          <w:tcPr>
            <w:tcW w:w="6940" w:type="dxa"/>
            <w:vAlign w:val="bottom"/>
            <w:gridSpan w:val="4"/>
          </w:tcPr>
          <w:p>
            <w:pPr>
              <w:ind w:left="1820"/>
              <w:spacing w:after="0"/>
              <w:rPr>
                <w:sz w:val="20"/>
                <w:szCs w:val="20"/>
                <w:color w:val="auto"/>
              </w:rPr>
            </w:pPr>
            <w:r>
              <w:rPr>
                <w:rFonts w:ascii="Arial" w:cs="Arial" w:eastAsia="Arial" w:hAnsi="Arial"/>
                <w:sz w:val="13"/>
                <w:szCs w:val="13"/>
                <w:color w:val="auto"/>
              </w:rPr>
              <w:t>information up until 11:59 p.m. Eastern Time on November 17, 2020.* Have your</w:t>
            </w:r>
          </w:p>
        </w:tc>
      </w:tr>
      <w:tr>
        <w:trPr>
          <w:trHeight w:val="148"/>
        </w:trPr>
        <w:tc>
          <w:tcPr>
            <w:tcW w:w="3740" w:type="dxa"/>
            <w:vAlign w:val="bottom"/>
          </w:tcPr>
          <w:p>
            <w:pPr>
              <w:spacing w:after="0"/>
              <w:rPr>
                <w:sz w:val="12"/>
                <w:szCs w:val="12"/>
                <w:color w:val="auto"/>
              </w:rPr>
            </w:pPr>
          </w:p>
        </w:tc>
        <w:tc>
          <w:tcPr>
            <w:tcW w:w="6940" w:type="dxa"/>
            <w:vAlign w:val="bottom"/>
            <w:gridSpan w:val="4"/>
          </w:tcPr>
          <w:p>
            <w:pPr>
              <w:ind w:left="1820"/>
              <w:spacing w:after="0"/>
              <w:rPr>
                <w:sz w:val="20"/>
                <w:szCs w:val="20"/>
                <w:color w:val="auto"/>
              </w:rPr>
            </w:pPr>
            <w:r>
              <w:rPr>
                <w:rFonts w:ascii="Arial" w:cs="Arial" w:eastAsia="Arial" w:hAnsi="Arial"/>
                <w:sz w:val="13"/>
                <w:szCs w:val="13"/>
                <w:color w:val="auto"/>
              </w:rPr>
              <w:t>proxy card in hand when you access the web site and follow the instructions to obtain</w:t>
            </w:r>
          </w:p>
        </w:tc>
      </w:tr>
      <w:tr>
        <w:trPr>
          <w:trHeight w:val="162"/>
        </w:trPr>
        <w:tc>
          <w:tcPr>
            <w:tcW w:w="3740" w:type="dxa"/>
            <w:vAlign w:val="bottom"/>
          </w:tcPr>
          <w:p>
            <w:pPr>
              <w:spacing w:after="0"/>
              <w:rPr>
                <w:sz w:val="14"/>
                <w:szCs w:val="14"/>
                <w:color w:val="auto"/>
              </w:rPr>
            </w:pPr>
          </w:p>
        </w:tc>
        <w:tc>
          <w:tcPr>
            <w:tcW w:w="6940" w:type="dxa"/>
            <w:vAlign w:val="bottom"/>
            <w:gridSpan w:val="4"/>
          </w:tcPr>
          <w:p>
            <w:pPr>
              <w:ind w:left="1820"/>
              <w:spacing w:after="0"/>
              <w:rPr>
                <w:sz w:val="20"/>
                <w:szCs w:val="20"/>
                <w:color w:val="auto"/>
              </w:rPr>
            </w:pPr>
            <w:r>
              <w:rPr>
                <w:rFonts w:ascii="Arial" w:cs="Arial" w:eastAsia="Arial" w:hAnsi="Arial"/>
                <w:sz w:val="13"/>
                <w:szCs w:val="13"/>
                <w:color w:val="auto"/>
              </w:rPr>
              <w:t>your records and to create an electronic voting instruction form.</w:t>
            </w:r>
          </w:p>
        </w:tc>
      </w:tr>
      <w:tr>
        <w:trPr>
          <w:trHeight w:val="190"/>
        </w:trPr>
        <w:tc>
          <w:tcPr>
            <w:tcW w:w="3740" w:type="dxa"/>
            <w:vAlign w:val="bottom"/>
          </w:tcPr>
          <w:p>
            <w:pPr>
              <w:spacing w:after="0"/>
              <w:rPr>
                <w:sz w:val="16"/>
                <w:szCs w:val="16"/>
                <w:color w:val="auto"/>
              </w:rPr>
            </w:pPr>
          </w:p>
        </w:tc>
        <w:tc>
          <w:tcPr>
            <w:tcW w:w="6940" w:type="dxa"/>
            <w:vAlign w:val="bottom"/>
            <w:gridSpan w:val="4"/>
          </w:tcPr>
          <w:p>
            <w:pPr>
              <w:ind w:left="1820"/>
              <w:spacing w:after="0"/>
              <w:rPr>
                <w:sz w:val="20"/>
                <w:szCs w:val="20"/>
                <w:color w:val="auto"/>
              </w:rPr>
            </w:pPr>
            <w:r>
              <w:rPr>
                <w:rFonts w:ascii="Arial" w:cs="Arial" w:eastAsia="Arial" w:hAnsi="Arial"/>
                <w:sz w:val="13"/>
                <w:szCs w:val="13"/>
                <w:i w:val="1"/>
                <w:iCs w:val="1"/>
                <w:color w:val="auto"/>
              </w:rPr>
              <w:t xml:space="preserve">During The Meeting </w:t>
            </w:r>
            <w:r>
              <w:rPr>
                <w:rFonts w:ascii="Arial" w:cs="Arial" w:eastAsia="Arial" w:hAnsi="Arial"/>
                <w:sz w:val="13"/>
                <w:szCs w:val="13"/>
                <w:color w:val="auto"/>
              </w:rPr>
              <w:t>- Go to</w:t>
            </w:r>
            <w:r>
              <w:rPr>
                <w:rFonts w:ascii="Arial" w:cs="Arial" w:eastAsia="Arial" w:hAnsi="Arial"/>
                <w:sz w:val="13"/>
                <w:szCs w:val="13"/>
                <w:i w:val="1"/>
                <w:iCs w:val="1"/>
                <w:color w:val="auto"/>
              </w:rPr>
              <w:t xml:space="preserve"> </w:t>
            </w:r>
            <w:r>
              <w:rPr>
                <w:rFonts w:ascii="Arial" w:cs="Arial" w:eastAsia="Arial" w:hAnsi="Arial"/>
                <w:sz w:val="13"/>
                <w:szCs w:val="13"/>
                <w:b w:val="1"/>
                <w:bCs w:val="1"/>
                <w:color w:val="auto"/>
              </w:rPr>
              <w:t>www.virtualshareholdermeeting.com/WDC2020</w:t>
            </w:r>
          </w:p>
        </w:tc>
      </w:tr>
      <w:tr>
        <w:trPr>
          <w:trHeight w:val="20"/>
        </w:trPr>
        <w:tc>
          <w:tcPr>
            <w:tcW w:w="37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02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09"/>
        </w:trPr>
        <w:tc>
          <w:tcPr>
            <w:tcW w:w="3740" w:type="dxa"/>
            <w:vAlign w:val="bottom"/>
          </w:tcPr>
          <w:p>
            <w:pPr>
              <w:spacing w:after="0"/>
              <w:rPr>
                <w:sz w:val="18"/>
                <w:szCs w:val="18"/>
                <w:color w:val="auto"/>
              </w:rPr>
            </w:pPr>
          </w:p>
        </w:tc>
        <w:tc>
          <w:tcPr>
            <w:tcW w:w="6940" w:type="dxa"/>
            <w:vAlign w:val="bottom"/>
            <w:gridSpan w:val="4"/>
          </w:tcPr>
          <w:p>
            <w:pPr>
              <w:ind w:left="1820"/>
              <w:spacing w:after="0"/>
              <w:rPr>
                <w:sz w:val="20"/>
                <w:szCs w:val="20"/>
                <w:color w:val="auto"/>
              </w:rPr>
            </w:pPr>
            <w:r>
              <w:rPr>
                <w:rFonts w:ascii="Arial" w:cs="Arial" w:eastAsia="Arial" w:hAnsi="Arial"/>
                <w:sz w:val="13"/>
                <w:szCs w:val="13"/>
                <w:color w:val="auto"/>
              </w:rPr>
              <w:t>You may attend the meeting via the Internet and vote during the meeting. Have the</w:t>
            </w:r>
          </w:p>
        </w:tc>
      </w:tr>
      <w:tr>
        <w:trPr>
          <w:trHeight w:val="148"/>
        </w:trPr>
        <w:tc>
          <w:tcPr>
            <w:tcW w:w="3740" w:type="dxa"/>
            <w:vAlign w:val="bottom"/>
          </w:tcPr>
          <w:p>
            <w:pPr>
              <w:spacing w:after="0"/>
              <w:rPr>
                <w:sz w:val="12"/>
                <w:szCs w:val="12"/>
                <w:color w:val="auto"/>
              </w:rPr>
            </w:pPr>
          </w:p>
        </w:tc>
        <w:tc>
          <w:tcPr>
            <w:tcW w:w="6940" w:type="dxa"/>
            <w:vAlign w:val="bottom"/>
            <w:gridSpan w:val="4"/>
          </w:tcPr>
          <w:p>
            <w:pPr>
              <w:ind w:left="1820"/>
              <w:spacing w:after="0"/>
              <w:rPr>
                <w:sz w:val="20"/>
                <w:szCs w:val="20"/>
                <w:color w:val="auto"/>
              </w:rPr>
            </w:pPr>
            <w:r>
              <w:rPr>
                <w:rFonts w:ascii="Arial" w:cs="Arial" w:eastAsia="Arial" w:hAnsi="Arial"/>
                <w:sz w:val="13"/>
                <w:szCs w:val="13"/>
                <w:color w:val="auto"/>
              </w:rPr>
              <w:t>information that is printed below in the box marked by the arrow available and follow</w:t>
            </w:r>
          </w:p>
        </w:tc>
      </w:tr>
      <w:tr>
        <w:trPr>
          <w:trHeight w:val="162"/>
        </w:trPr>
        <w:tc>
          <w:tcPr>
            <w:tcW w:w="3740" w:type="dxa"/>
            <w:vAlign w:val="bottom"/>
          </w:tcPr>
          <w:p>
            <w:pPr>
              <w:spacing w:after="0"/>
              <w:rPr>
                <w:sz w:val="14"/>
                <w:szCs w:val="14"/>
                <w:color w:val="auto"/>
              </w:rPr>
            </w:pPr>
          </w:p>
        </w:tc>
        <w:tc>
          <w:tcPr>
            <w:tcW w:w="6940" w:type="dxa"/>
            <w:vAlign w:val="bottom"/>
            <w:gridSpan w:val="4"/>
          </w:tcPr>
          <w:p>
            <w:pPr>
              <w:ind w:left="1820"/>
              <w:spacing w:after="0"/>
              <w:rPr>
                <w:sz w:val="20"/>
                <w:szCs w:val="20"/>
                <w:color w:val="auto"/>
              </w:rPr>
            </w:pPr>
            <w:r>
              <w:rPr>
                <w:rFonts w:ascii="Arial" w:cs="Arial" w:eastAsia="Arial" w:hAnsi="Arial"/>
                <w:sz w:val="13"/>
                <w:szCs w:val="13"/>
                <w:color w:val="auto"/>
              </w:rPr>
              <w:t>the instructions.</w:t>
            </w:r>
          </w:p>
        </w:tc>
      </w:tr>
      <w:tr>
        <w:trPr>
          <w:trHeight w:val="216"/>
        </w:trPr>
        <w:tc>
          <w:tcPr>
            <w:tcW w:w="3740" w:type="dxa"/>
            <w:vAlign w:val="bottom"/>
          </w:tcPr>
          <w:p>
            <w:pPr>
              <w:spacing w:after="0"/>
              <w:rPr>
                <w:sz w:val="18"/>
                <w:szCs w:val="18"/>
                <w:color w:val="auto"/>
              </w:rPr>
            </w:pPr>
          </w:p>
        </w:tc>
        <w:tc>
          <w:tcPr>
            <w:tcW w:w="6940" w:type="dxa"/>
            <w:vAlign w:val="bottom"/>
            <w:gridSpan w:val="4"/>
          </w:tcPr>
          <w:p>
            <w:pPr>
              <w:ind w:left="1820"/>
              <w:spacing w:after="0"/>
              <w:rPr>
                <w:sz w:val="20"/>
                <w:szCs w:val="20"/>
                <w:color w:val="auto"/>
              </w:rPr>
            </w:pPr>
            <w:r>
              <w:rPr>
                <w:rFonts w:ascii="Arial" w:cs="Arial" w:eastAsia="Arial" w:hAnsi="Arial"/>
                <w:sz w:val="13"/>
                <w:szCs w:val="13"/>
                <w:b w:val="1"/>
                <w:bCs w:val="1"/>
                <w:color w:val="auto"/>
              </w:rPr>
              <w:t>VOTE BY TELEPHONE - 1-800-690-6903</w:t>
            </w:r>
          </w:p>
        </w:tc>
      </w:tr>
      <w:tr>
        <w:trPr>
          <w:trHeight w:val="148"/>
        </w:trPr>
        <w:tc>
          <w:tcPr>
            <w:tcW w:w="3740" w:type="dxa"/>
            <w:vAlign w:val="bottom"/>
          </w:tcPr>
          <w:p>
            <w:pPr>
              <w:spacing w:after="0"/>
              <w:rPr>
                <w:sz w:val="12"/>
                <w:szCs w:val="12"/>
                <w:color w:val="auto"/>
              </w:rPr>
            </w:pPr>
          </w:p>
        </w:tc>
        <w:tc>
          <w:tcPr>
            <w:tcW w:w="6940" w:type="dxa"/>
            <w:vAlign w:val="bottom"/>
            <w:gridSpan w:val="4"/>
          </w:tcPr>
          <w:p>
            <w:pPr>
              <w:ind w:left="1820"/>
              <w:spacing w:after="0"/>
              <w:rPr>
                <w:sz w:val="20"/>
                <w:szCs w:val="20"/>
                <w:color w:val="auto"/>
              </w:rPr>
            </w:pPr>
            <w:r>
              <w:rPr>
                <w:rFonts w:ascii="Arial" w:cs="Arial" w:eastAsia="Arial" w:hAnsi="Arial"/>
                <w:sz w:val="13"/>
                <w:szCs w:val="13"/>
                <w:color w:val="auto"/>
              </w:rPr>
              <w:t>Use any touch-tone telephone to transmit your voting instructions up until 11:59 p.m.</w:t>
            </w:r>
          </w:p>
        </w:tc>
      </w:tr>
      <w:tr>
        <w:trPr>
          <w:trHeight w:val="148"/>
        </w:trPr>
        <w:tc>
          <w:tcPr>
            <w:tcW w:w="3740" w:type="dxa"/>
            <w:vAlign w:val="bottom"/>
          </w:tcPr>
          <w:p>
            <w:pPr>
              <w:spacing w:after="0"/>
              <w:rPr>
                <w:sz w:val="12"/>
                <w:szCs w:val="12"/>
                <w:color w:val="auto"/>
              </w:rPr>
            </w:pPr>
          </w:p>
        </w:tc>
        <w:tc>
          <w:tcPr>
            <w:tcW w:w="6940" w:type="dxa"/>
            <w:vAlign w:val="bottom"/>
            <w:gridSpan w:val="4"/>
          </w:tcPr>
          <w:p>
            <w:pPr>
              <w:ind w:left="1820"/>
              <w:spacing w:after="0"/>
              <w:rPr>
                <w:sz w:val="20"/>
                <w:szCs w:val="20"/>
                <w:color w:val="auto"/>
              </w:rPr>
            </w:pPr>
            <w:r>
              <w:rPr>
                <w:rFonts w:ascii="Arial" w:cs="Arial" w:eastAsia="Arial" w:hAnsi="Arial"/>
                <w:sz w:val="13"/>
                <w:szCs w:val="13"/>
                <w:color w:val="auto"/>
              </w:rPr>
              <w:t>Eastern Time on November 17, 2020.* Have your proxy card in hand when you call</w:t>
            </w:r>
          </w:p>
        </w:tc>
      </w:tr>
      <w:tr>
        <w:trPr>
          <w:trHeight w:val="162"/>
        </w:trPr>
        <w:tc>
          <w:tcPr>
            <w:tcW w:w="3740" w:type="dxa"/>
            <w:vAlign w:val="bottom"/>
          </w:tcPr>
          <w:p>
            <w:pPr>
              <w:spacing w:after="0"/>
              <w:rPr>
                <w:sz w:val="14"/>
                <w:szCs w:val="14"/>
                <w:color w:val="auto"/>
              </w:rPr>
            </w:pPr>
          </w:p>
        </w:tc>
        <w:tc>
          <w:tcPr>
            <w:tcW w:w="6940" w:type="dxa"/>
            <w:vAlign w:val="bottom"/>
            <w:gridSpan w:val="4"/>
          </w:tcPr>
          <w:p>
            <w:pPr>
              <w:ind w:left="1820"/>
              <w:spacing w:after="0"/>
              <w:rPr>
                <w:sz w:val="20"/>
                <w:szCs w:val="20"/>
                <w:color w:val="auto"/>
              </w:rPr>
            </w:pPr>
            <w:r>
              <w:rPr>
                <w:rFonts w:ascii="Arial" w:cs="Arial" w:eastAsia="Arial" w:hAnsi="Arial"/>
                <w:sz w:val="13"/>
                <w:szCs w:val="13"/>
                <w:color w:val="auto"/>
              </w:rPr>
              <w:t>and then follow the instructions.</w:t>
            </w:r>
          </w:p>
        </w:tc>
      </w:tr>
      <w:tr>
        <w:trPr>
          <w:trHeight w:val="202"/>
        </w:trPr>
        <w:tc>
          <w:tcPr>
            <w:tcW w:w="3740" w:type="dxa"/>
            <w:vAlign w:val="bottom"/>
          </w:tcPr>
          <w:p>
            <w:pPr>
              <w:spacing w:after="0"/>
              <w:rPr>
                <w:sz w:val="17"/>
                <w:szCs w:val="17"/>
                <w:color w:val="auto"/>
              </w:rPr>
            </w:pPr>
          </w:p>
        </w:tc>
        <w:tc>
          <w:tcPr>
            <w:tcW w:w="6940" w:type="dxa"/>
            <w:vAlign w:val="bottom"/>
            <w:gridSpan w:val="4"/>
          </w:tcPr>
          <w:p>
            <w:pPr>
              <w:ind w:left="1820"/>
              <w:spacing w:after="0"/>
              <w:rPr>
                <w:sz w:val="20"/>
                <w:szCs w:val="20"/>
                <w:color w:val="auto"/>
              </w:rPr>
            </w:pPr>
            <w:r>
              <w:rPr>
                <w:rFonts w:ascii="Arial" w:cs="Arial" w:eastAsia="Arial" w:hAnsi="Arial"/>
                <w:sz w:val="13"/>
                <w:szCs w:val="13"/>
                <w:b w:val="1"/>
                <w:bCs w:val="1"/>
                <w:color w:val="auto"/>
              </w:rPr>
              <w:t>VOTE BY MAIL</w:t>
            </w:r>
          </w:p>
        </w:tc>
      </w:tr>
      <w:tr>
        <w:trPr>
          <w:trHeight w:val="149"/>
        </w:trPr>
        <w:tc>
          <w:tcPr>
            <w:tcW w:w="3740" w:type="dxa"/>
            <w:vAlign w:val="bottom"/>
          </w:tcPr>
          <w:p>
            <w:pPr>
              <w:spacing w:after="0"/>
              <w:rPr>
                <w:sz w:val="12"/>
                <w:szCs w:val="12"/>
                <w:color w:val="auto"/>
              </w:rPr>
            </w:pPr>
          </w:p>
        </w:tc>
        <w:tc>
          <w:tcPr>
            <w:tcW w:w="6940" w:type="dxa"/>
            <w:vAlign w:val="bottom"/>
            <w:gridSpan w:val="4"/>
          </w:tcPr>
          <w:p>
            <w:pPr>
              <w:ind w:left="1820"/>
              <w:spacing w:after="0"/>
              <w:rPr>
                <w:sz w:val="20"/>
                <w:szCs w:val="20"/>
                <w:color w:val="auto"/>
              </w:rPr>
            </w:pPr>
            <w:r>
              <w:rPr>
                <w:rFonts w:ascii="Arial" w:cs="Arial" w:eastAsia="Arial" w:hAnsi="Arial"/>
                <w:sz w:val="13"/>
                <w:szCs w:val="13"/>
                <w:color w:val="auto"/>
              </w:rPr>
              <w:t>Mark, sign and date your proxy card and return it in the postage-paid envelope we</w:t>
            </w:r>
          </w:p>
        </w:tc>
      </w:tr>
      <w:tr>
        <w:trPr>
          <w:trHeight w:val="148"/>
        </w:trPr>
        <w:tc>
          <w:tcPr>
            <w:tcW w:w="3740" w:type="dxa"/>
            <w:vAlign w:val="bottom"/>
          </w:tcPr>
          <w:p>
            <w:pPr>
              <w:spacing w:after="0"/>
              <w:rPr>
                <w:sz w:val="12"/>
                <w:szCs w:val="12"/>
                <w:color w:val="auto"/>
              </w:rPr>
            </w:pPr>
          </w:p>
        </w:tc>
        <w:tc>
          <w:tcPr>
            <w:tcW w:w="6940" w:type="dxa"/>
            <w:vAlign w:val="bottom"/>
            <w:gridSpan w:val="4"/>
          </w:tcPr>
          <w:p>
            <w:pPr>
              <w:ind w:left="1820"/>
              <w:spacing w:after="0"/>
              <w:rPr>
                <w:sz w:val="20"/>
                <w:szCs w:val="20"/>
                <w:color w:val="auto"/>
              </w:rPr>
            </w:pPr>
            <w:r>
              <w:rPr>
                <w:rFonts w:ascii="Arial" w:cs="Arial" w:eastAsia="Arial" w:hAnsi="Arial"/>
                <w:sz w:val="13"/>
                <w:szCs w:val="13"/>
                <w:color w:val="auto"/>
              </w:rPr>
              <w:t>have provided or return it to Vote Processing, c/o Broadridge, 51 Mercedes Way,</w:t>
            </w:r>
          </w:p>
        </w:tc>
      </w:tr>
      <w:tr>
        <w:trPr>
          <w:trHeight w:val="162"/>
        </w:trPr>
        <w:tc>
          <w:tcPr>
            <w:tcW w:w="3740" w:type="dxa"/>
            <w:vAlign w:val="bottom"/>
          </w:tcPr>
          <w:p>
            <w:pPr>
              <w:spacing w:after="0"/>
              <w:rPr>
                <w:sz w:val="14"/>
                <w:szCs w:val="14"/>
                <w:color w:val="auto"/>
              </w:rPr>
            </w:pPr>
          </w:p>
        </w:tc>
        <w:tc>
          <w:tcPr>
            <w:tcW w:w="6940" w:type="dxa"/>
            <w:vAlign w:val="bottom"/>
            <w:gridSpan w:val="4"/>
          </w:tcPr>
          <w:p>
            <w:pPr>
              <w:ind w:left="1820"/>
              <w:spacing w:after="0"/>
              <w:rPr>
                <w:sz w:val="20"/>
                <w:szCs w:val="20"/>
                <w:color w:val="auto"/>
              </w:rPr>
            </w:pPr>
            <w:r>
              <w:rPr>
                <w:rFonts w:ascii="Arial" w:cs="Arial" w:eastAsia="Arial" w:hAnsi="Arial"/>
                <w:sz w:val="13"/>
                <w:szCs w:val="13"/>
                <w:color w:val="auto"/>
              </w:rPr>
              <w:t>Edgewood, NY 11717. Your proxy card must be received by November 17, 2020.*</w:t>
            </w:r>
          </w:p>
        </w:tc>
      </w:tr>
      <w:tr>
        <w:trPr>
          <w:trHeight w:val="202"/>
        </w:trPr>
        <w:tc>
          <w:tcPr>
            <w:tcW w:w="3740" w:type="dxa"/>
            <w:vAlign w:val="bottom"/>
          </w:tcPr>
          <w:p>
            <w:pPr>
              <w:spacing w:after="0"/>
              <w:rPr>
                <w:sz w:val="17"/>
                <w:szCs w:val="17"/>
                <w:color w:val="auto"/>
              </w:rPr>
            </w:pPr>
          </w:p>
        </w:tc>
        <w:tc>
          <w:tcPr>
            <w:tcW w:w="6940" w:type="dxa"/>
            <w:vAlign w:val="bottom"/>
            <w:gridSpan w:val="4"/>
          </w:tcPr>
          <w:p>
            <w:pPr>
              <w:ind w:left="1820"/>
              <w:spacing w:after="0"/>
              <w:rPr>
                <w:sz w:val="20"/>
                <w:szCs w:val="20"/>
                <w:color w:val="auto"/>
              </w:rPr>
            </w:pPr>
            <w:r>
              <w:rPr>
                <w:rFonts w:ascii="Arial" w:cs="Arial" w:eastAsia="Arial" w:hAnsi="Arial"/>
                <w:sz w:val="13"/>
                <w:szCs w:val="13"/>
                <w:color w:val="auto"/>
              </w:rPr>
              <w:t>* If you are a participant in the Western Digital Corporation 401(k) Plan, you must</w:t>
            </w:r>
          </w:p>
        </w:tc>
      </w:tr>
      <w:tr>
        <w:trPr>
          <w:trHeight w:val="148"/>
        </w:trPr>
        <w:tc>
          <w:tcPr>
            <w:tcW w:w="3740" w:type="dxa"/>
            <w:vAlign w:val="bottom"/>
          </w:tcPr>
          <w:p>
            <w:pPr>
              <w:spacing w:after="0"/>
              <w:rPr>
                <w:sz w:val="12"/>
                <w:szCs w:val="12"/>
                <w:color w:val="auto"/>
              </w:rPr>
            </w:pPr>
          </w:p>
        </w:tc>
        <w:tc>
          <w:tcPr>
            <w:tcW w:w="6940" w:type="dxa"/>
            <w:vAlign w:val="bottom"/>
            <w:gridSpan w:val="4"/>
          </w:tcPr>
          <w:p>
            <w:pPr>
              <w:ind w:left="1820"/>
              <w:spacing w:after="0"/>
              <w:rPr>
                <w:sz w:val="20"/>
                <w:szCs w:val="20"/>
                <w:color w:val="auto"/>
              </w:rPr>
            </w:pPr>
            <w:r>
              <w:rPr>
                <w:rFonts w:ascii="Arial" w:cs="Arial" w:eastAsia="Arial" w:hAnsi="Arial"/>
                <w:sz w:val="13"/>
                <w:szCs w:val="13"/>
                <w:color w:val="auto"/>
              </w:rPr>
              <w:t>provide voting instructions for the shares in your plan account by 11:59 p.m. Eastern</w:t>
            </w:r>
          </w:p>
        </w:tc>
      </w:tr>
      <w:tr>
        <w:trPr>
          <w:trHeight w:val="149"/>
        </w:trPr>
        <w:tc>
          <w:tcPr>
            <w:tcW w:w="3740" w:type="dxa"/>
            <w:vAlign w:val="bottom"/>
          </w:tcPr>
          <w:p>
            <w:pPr>
              <w:spacing w:after="0"/>
              <w:rPr>
                <w:sz w:val="12"/>
                <w:szCs w:val="12"/>
                <w:color w:val="auto"/>
              </w:rPr>
            </w:pPr>
          </w:p>
        </w:tc>
        <w:tc>
          <w:tcPr>
            <w:tcW w:w="6940" w:type="dxa"/>
            <w:vAlign w:val="bottom"/>
            <w:gridSpan w:val="4"/>
          </w:tcPr>
          <w:p>
            <w:pPr>
              <w:ind w:left="1820"/>
              <w:spacing w:after="0"/>
              <w:rPr>
                <w:sz w:val="20"/>
                <w:szCs w:val="20"/>
                <w:color w:val="auto"/>
              </w:rPr>
            </w:pPr>
            <w:r>
              <w:rPr>
                <w:rFonts w:ascii="Arial" w:cs="Arial" w:eastAsia="Arial" w:hAnsi="Arial"/>
                <w:sz w:val="13"/>
                <w:szCs w:val="13"/>
                <w:color w:val="auto"/>
              </w:rPr>
              <w:t>Time on November 15, 2020 to allow sufficient time for the plan trustee to vote the</w:t>
            </w:r>
          </w:p>
        </w:tc>
      </w:tr>
      <w:tr>
        <w:trPr>
          <w:trHeight w:val="162"/>
        </w:trPr>
        <w:tc>
          <w:tcPr>
            <w:tcW w:w="3740" w:type="dxa"/>
            <w:vAlign w:val="bottom"/>
          </w:tcPr>
          <w:p>
            <w:pPr>
              <w:spacing w:after="0"/>
              <w:rPr>
                <w:sz w:val="14"/>
                <w:szCs w:val="14"/>
                <w:color w:val="auto"/>
              </w:rPr>
            </w:pPr>
          </w:p>
        </w:tc>
        <w:tc>
          <w:tcPr>
            <w:tcW w:w="6940" w:type="dxa"/>
            <w:vAlign w:val="bottom"/>
            <w:gridSpan w:val="4"/>
          </w:tcPr>
          <w:p>
            <w:pPr>
              <w:ind w:left="1820"/>
              <w:spacing w:after="0"/>
              <w:rPr>
                <w:sz w:val="20"/>
                <w:szCs w:val="20"/>
                <w:color w:val="auto"/>
              </w:rPr>
            </w:pPr>
            <w:r>
              <w:rPr>
                <w:rFonts w:ascii="Arial" w:cs="Arial" w:eastAsia="Arial" w:hAnsi="Arial"/>
                <w:sz w:val="13"/>
                <w:szCs w:val="13"/>
                <w:color w:val="auto"/>
              </w:rPr>
              <w:t>shares on your behalf.</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3"/>
          <w:szCs w:val="13"/>
          <w:color w:val="auto"/>
        </w:rPr>
        <w:t>TO VOTE, MARK BLOCKS BELOW IN BLUE OR BLACK INK AS FOLLOWS:</w:t>
      </w:r>
    </w:p>
    <w:p>
      <w:pPr>
        <w:spacing w:after="0" w:line="67" w:lineRule="exact"/>
        <w:rPr>
          <w:sz w:val="20"/>
          <w:szCs w:val="20"/>
          <w:color w:val="auto"/>
        </w:rPr>
      </w:pPr>
    </w:p>
    <w:p>
      <w:pPr>
        <w:jc w:val="right"/>
        <w:spacing w:after="0"/>
        <w:tabs>
          <w:tab w:leader="none" w:pos="2800" w:val="left"/>
        </w:tabs>
        <w:rPr>
          <w:sz w:val="20"/>
          <w:szCs w:val="20"/>
          <w:color w:val="auto"/>
        </w:rPr>
      </w:pPr>
      <w:r>
        <w:rPr>
          <w:rFonts w:ascii="Arial" w:cs="Arial" w:eastAsia="Arial" w:hAnsi="Arial"/>
          <w:sz w:val="13"/>
          <w:szCs w:val="13"/>
          <w:color w:val="auto"/>
        </w:rPr>
        <w:t>D23342-P39005</w:t>
      </w:r>
      <w:r>
        <w:rPr>
          <w:sz w:val="20"/>
          <w:szCs w:val="20"/>
          <w:color w:val="auto"/>
        </w:rPr>
        <w:tab/>
      </w:r>
      <w:r>
        <w:rPr>
          <w:rFonts w:ascii="Arial" w:cs="Arial" w:eastAsia="Arial" w:hAnsi="Arial"/>
          <w:sz w:val="13"/>
          <w:szCs w:val="13"/>
          <w:u w:val="single" w:color="auto"/>
          <w:color w:val="auto"/>
        </w:rPr>
        <w:t>KEEP THIS PORTION FOR YOUR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531495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5314950" cy="825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3"/>
          <w:szCs w:val="13"/>
          <w:color w:val="auto"/>
        </w:rPr>
        <w:t>DETACH AND RETURN THIS PORTION ONLY</w:t>
      </w:r>
    </w:p>
    <w:p>
      <w:pPr>
        <w:jc w:val="center"/>
        <w:ind w:right="-19"/>
        <w:spacing w:after="0"/>
        <w:rPr>
          <w:sz w:val="20"/>
          <w:szCs w:val="20"/>
          <w:color w:val="auto"/>
        </w:rPr>
      </w:pPr>
      <w:r>
        <w:rPr>
          <w:rFonts w:ascii="Arial" w:cs="Arial" w:eastAsia="Arial" w:hAnsi="Arial"/>
          <w:sz w:val="13"/>
          <w:szCs w:val="13"/>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136130" cy="433324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36130" cy="4333240"/>
                    </a:xfrm>
                    <a:prstGeom prst="rect">
                      <a:avLst/>
                    </a:prstGeom>
                    <a:noFill/>
                  </pic:spPr>
                </pic:pic>
              </a:graphicData>
            </a:graphic>
          </wp:anchor>
        </w:drawing>
      </w:r>
    </w:p>
    <w:p>
      <w:pPr>
        <w:spacing w:after="0" w:line="58"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WESTERN DIGITAL CORPORATION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320" w:right="1860"/>
        <w:spacing w:after="0" w:line="284" w:lineRule="auto"/>
        <w:rPr>
          <w:sz w:val="20"/>
          <w:szCs w:val="20"/>
          <w:color w:val="auto"/>
        </w:rPr>
      </w:pPr>
      <w:r>
        <w:rPr>
          <w:rFonts w:ascii="Arial" w:cs="Arial" w:eastAsia="Arial" w:hAnsi="Arial"/>
          <w:sz w:val="13"/>
          <w:szCs w:val="13"/>
          <w:b w:val="1"/>
          <w:bCs w:val="1"/>
          <w:color w:val="auto"/>
        </w:rPr>
        <w:t>The Board of Directors recommends a vote FOR each of the following nominees:</w:t>
      </w:r>
    </w:p>
    <w:p>
      <w:pPr>
        <w:spacing w:after="0" w:line="92" w:lineRule="exact"/>
        <w:rPr>
          <w:sz w:val="20"/>
          <w:szCs w:val="20"/>
          <w:color w:val="auto"/>
        </w:rPr>
      </w:pPr>
    </w:p>
    <w:tbl>
      <w:tblPr>
        <w:tblLayout w:type="fixed"/>
        <w:tblInd w:w="320" w:type="dxa"/>
        <w:tblCellMar>
          <w:top w:w="0" w:type="dxa"/>
          <w:left w:w="0" w:type="dxa"/>
          <w:bottom w:w="0" w:type="dxa"/>
          <w:right w:w="0" w:type="dxa"/>
        </w:tblCellMar>
      </w:tblPr>
      <w:tr>
        <w:trPr>
          <w:trHeight w:val="178"/>
        </w:trPr>
        <w:tc>
          <w:tcPr>
            <w:tcW w:w="2760" w:type="dxa"/>
            <w:vAlign w:val="bottom"/>
            <w:gridSpan w:val="2"/>
            <w:vMerge w:val="restart"/>
          </w:tcPr>
          <w:p>
            <w:pPr>
              <w:spacing w:after="0"/>
              <w:rPr>
                <w:sz w:val="20"/>
                <w:szCs w:val="20"/>
                <w:color w:val="auto"/>
              </w:rPr>
            </w:pPr>
            <w:r>
              <w:rPr>
                <w:rFonts w:ascii="Arial" w:cs="Arial" w:eastAsia="Arial" w:hAnsi="Arial"/>
                <w:sz w:val="13"/>
                <w:szCs w:val="13"/>
                <w:color w:val="auto"/>
              </w:rPr>
              <w:t>1.   ELECTION OF DIRECTORS</w:t>
            </w:r>
          </w:p>
        </w:tc>
        <w:tc>
          <w:tcPr>
            <w:tcW w:w="980" w:type="dxa"/>
            <w:vAlign w:val="bottom"/>
          </w:tcPr>
          <w:p>
            <w:pPr>
              <w:ind w:left="660"/>
              <w:spacing w:after="0"/>
              <w:rPr>
                <w:sz w:val="20"/>
                <w:szCs w:val="20"/>
                <w:color w:val="auto"/>
              </w:rPr>
            </w:pPr>
            <w:r>
              <w:rPr>
                <w:rFonts w:ascii="Arial" w:cs="Arial" w:eastAsia="Arial" w:hAnsi="Arial"/>
                <w:sz w:val="13"/>
                <w:szCs w:val="13"/>
                <w:b w:val="1"/>
                <w:bCs w:val="1"/>
                <w:color w:val="auto"/>
              </w:rPr>
              <w:t>For</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rPr>
              <w:t>Against</w:t>
            </w:r>
          </w:p>
        </w:tc>
        <w:tc>
          <w:tcPr>
            <w:tcW w:w="600" w:type="dxa"/>
            <w:vAlign w:val="bottom"/>
          </w:tcPr>
          <w:p>
            <w:pPr>
              <w:jc w:val="center"/>
              <w:ind w:left="17"/>
              <w:spacing w:after="0"/>
              <w:rPr>
                <w:sz w:val="20"/>
                <w:szCs w:val="20"/>
                <w:color w:val="auto"/>
              </w:rPr>
            </w:pPr>
            <w:r>
              <w:rPr>
                <w:rFonts w:ascii="Arial" w:cs="Arial" w:eastAsia="Arial" w:hAnsi="Arial"/>
                <w:sz w:val="13"/>
                <w:szCs w:val="13"/>
                <w:b w:val="1"/>
                <w:bCs w:val="1"/>
                <w:color w:val="auto"/>
              </w:rPr>
              <w:t>Abstain</w:t>
            </w:r>
          </w:p>
        </w:tc>
        <w:tc>
          <w:tcPr>
            <w:tcW w:w="0" w:type="dxa"/>
            <w:vAlign w:val="bottom"/>
          </w:tcPr>
          <w:p>
            <w:pPr>
              <w:spacing w:after="0"/>
              <w:rPr>
                <w:sz w:val="1"/>
                <w:szCs w:val="1"/>
                <w:color w:val="auto"/>
              </w:rPr>
            </w:pPr>
          </w:p>
        </w:tc>
      </w:tr>
      <w:tr>
        <w:trPr>
          <w:trHeight w:val="95"/>
        </w:trPr>
        <w:tc>
          <w:tcPr>
            <w:tcW w:w="2760" w:type="dxa"/>
            <w:vAlign w:val="bottom"/>
            <w:gridSpan w:val="2"/>
            <w:vMerge w:val="continue"/>
          </w:tcPr>
          <w:p>
            <w:pPr>
              <w:spacing w:after="0"/>
              <w:rPr>
                <w:sz w:val="8"/>
                <w:szCs w:val="8"/>
                <w:color w:val="auto"/>
              </w:rPr>
            </w:pPr>
          </w:p>
        </w:tc>
        <w:tc>
          <w:tcPr>
            <w:tcW w:w="9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6"/>
        </w:trPr>
        <w:tc>
          <w:tcPr>
            <w:tcW w:w="620" w:type="dxa"/>
            <w:vAlign w:val="bottom"/>
          </w:tcPr>
          <w:p>
            <w:pPr>
              <w:ind w:left="340"/>
              <w:spacing w:after="0"/>
              <w:rPr>
                <w:sz w:val="20"/>
                <w:szCs w:val="20"/>
                <w:color w:val="auto"/>
              </w:rPr>
            </w:pPr>
            <w:r>
              <w:rPr>
                <w:rFonts w:ascii="Arial" w:cs="Arial" w:eastAsia="Arial" w:hAnsi="Arial"/>
                <w:sz w:val="13"/>
                <w:szCs w:val="13"/>
                <w:color w:val="auto"/>
              </w:rPr>
              <w:t>1a.</w:t>
            </w:r>
          </w:p>
        </w:tc>
        <w:tc>
          <w:tcPr>
            <w:tcW w:w="2140" w:type="dxa"/>
            <w:vAlign w:val="bottom"/>
          </w:tcPr>
          <w:p>
            <w:pPr>
              <w:ind w:left="120"/>
              <w:spacing w:after="0"/>
              <w:rPr>
                <w:sz w:val="20"/>
                <w:szCs w:val="20"/>
                <w:color w:val="auto"/>
              </w:rPr>
            </w:pPr>
            <w:r>
              <w:rPr>
                <w:rFonts w:ascii="Arial" w:cs="Arial" w:eastAsia="Arial" w:hAnsi="Arial"/>
                <w:sz w:val="13"/>
                <w:szCs w:val="13"/>
                <w:color w:val="auto"/>
              </w:rPr>
              <w:t>Kimberly E. Alexy</w:t>
            </w:r>
          </w:p>
        </w:tc>
        <w:tc>
          <w:tcPr>
            <w:tcW w:w="980" w:type="dxa"/>
            <w:vAlign w:val="bottom"/>
          </w:tcPr>
          <w:p>
            <w:pPr>
              <w:ind w:left="660"/>
              <w:spacing w:after="0" w:line="221" w:lineRule="exact"/>
              <w:rPr>
                <w:sz w:val="20"/>
                <w:szCs w:val="20"/>
                <w:color w:val="auto"/>
              </w:rPr>
            </w:pPr>
            <w:r>
              <w:rPr>
                <w:rFonts w:ascii="MS PGothic" w:cs="MS PGothic" w:eastAsia="MS PGothic" w:hAnsi="MS PGothic"/>
                <w:sz w:val="22"/>
                <w:szCs w:val="22"/>
                <w:color w:val="auto"/>
              </w:rPr>
              <w:t>☐</w:t>
            </w:r>
          </w:p>
        </w:tc>
        <w:tc>
          <w:tcPr>
            <w:tcW w:w="72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rPr>
              <w:t>☐</w:t>
            </w:r>
          </w:p>
        </w:tc>
        <w:tc>
          <w:tcPr>
            <w:tcW w:w="600" w:type="dxa"/>
            <w:vAlign w:val="bottom"/>
          </w:tcPr>
          <w:p>
            <w:pPr>
              <w:jc w:val="center"/>
              <w:ind w:left="17"/>
              <w:spacing w:after="0" w:line="221" w:lineRule="exact"/>
              <w:rPr>
                <w:sz w:val="20"/>
                <w:szCs w:val="20"/>
                <w:color w:val="auto"/>
              </w:rPr>
            </w:pPr>
            <w:r>
              <w:rPr>
                <w:rFonts w:ascii="MS PGothic" w:cs="MS PGothic" w:eastAsia="MS PGothic" w:hAnsi="MS PGothic"/>
                <w:sz w:val="22"/>
                <w:szCs w:val="22"/>
                <w:color w:val="auto"/>
                <w:w w:val="90"/>
              </w:rPr>
              <w:t>☐</w:t>
            </w:r>
          </w:p>
        </w:tc>
        <w:tc>
          <w:tcPr>
            <w:tcW w:w="0" w:type="dxa"/>
            <w:vAlign w:val="bottom"/>
          </w:tcPr>
          <w:p>
            <w:pPr>
              <w:spacing w:after="0"/>
              <w:rPr>
                <w:sz w:val="1"/>
                <w:szCs w:val="1"/>
                <w:color w:val="auto"/>
              </w:rPr>
            </w:pPr>
          </w:p>
        </w:tc>
      </w:tr>
      <w:tr>
        <w:trPr>
          <w:trHeight w:val="405"/>
        </w:trPr>
        <w:tc>
          <w:tcPr>
            <w:tcW w:w="620" w:type="dxa"/>
            <w:vAlign w:val="bottom"/>
          </w:tcPr>
          <w:p>
            <w:pPr>
              <w:ind w:left="340"/>
              <w:spacing w:after="0"/>
              <w:rPr>
                <w:sz w:val="20"/>
                <w:szCs w:val="20"/>
                <w:color w:val="auto"/>
              </w:rPr>
            </w:pPr>
            <w:r>
              <w:rPr>
                <w:rFonts w:ascii="Arial" w:cs="Arial" w:eastAsia="Arial" w:hAnsi="Arial"/>
                <w:sz w:val="13"/>
                <w:szCs w:val="13"/>
                <w:color w:val="auto"/>
              </w:rPr>
              <w:t>1b.</w:t>
            </w:r>
          </w:p>
        </w:tc>
        <w:tc>
          <w:tcPr>
            <w:tcW w:w="2140" w:type="dxa"/>
            <w:vAlign w:val="bottom"/>
          </w:tcPr>
          <w:p>
            <w:pPr>
              <w:ind w:left="120"/>
              <w:spacing w:after="0"/>
              <w:rPr>
                <w:sz w:val="20"/>
                <w:szCs w:val="20"/>
                <w:color w:val="auto"/>
              </w:rPr>
            </w:pPr>
            <w:r>
              <w:rPr>
                <w:rFonts w:ascii="Arial" w:cs="Arial" w:eastAsia="Arial" w:hAnsi="Arial"/>
                <w:sz w:val="13"/>
                <w:szCs w:val="13"/>
                <w:color w:val="auto"/>
              </w:rPr>
              <w:t>Martin I. Cole</w:t>
            </w:r>
          </w:p>
        </w:tc>
        <w:tc>
          <w:tcPr>
            <w:tcW w:w="980" w:type="dxa"/>
            <w:vAlign w:val="bottom"/>
          </w:tcPr>
          <w:p>
            <w:pPr>
              <w:ind w:left="660"/>
              <w:spacing w:after="0" w:line="221" w:lineRule="exact"/>
              <w:rPr>
                <w:sz w:val="20"/>
                <w:szCs w:val="20"/>
                <w:color w:val="auto"/>
              </w:rPr>
            </w:pPr>
            <w:r>
              <w:rPr>
                <w:rFonts w:ascii="MS PGothic" w:cs="MS PGothic" w:eastAsia="MS PGothic" w:hAnsi="MS PGothic"/>
                <w:sz w:val="22"/>
                <w:szCs w:val="22"/>
                <w:color w:val="auto"/>
              </w:rPr>
              <w:t>☐</w:t>
            </w:r>
          </w:p>
        </w:tc>
        <w:tc>
          <w:tcPr>
            <w:tcW w:w="72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rPr>
              <w:t>☐</w:t>
            </w:r>
          </w:p>
        </w:tc>
        <w:tc>
          <w:tcPr>
            <w:tcW w:w="600" w:type="dxa"/>
            <w:vAlign w:val="bottom"/>
          </w:tcPr>
          <w:p>
            <w:pPr>
              <w:jc w:val="center"/>
              <w:ind w:left="17"/>
              <w:spacing w:after="0" w:line="221" w:lineRule="exact"/>
              <w:rPr>
                <w:sz w:val="20"/>
                <w:szCs w:val="20"/>
                <w:color w:val="auto"/>
              </w:rPr>
            </w:pPr>
            <w:r>
              <w:rPr>
                <w:rFonts w:ascii="MS PGothic" w:cs="MS PGothic" w:eastAsia="MS PGothic" w:hAnsi="MS PGothic"/>
                <w:sz w:val="22"/>
                <w:szCs w:val="22"/>
                <w:color w:val="auto"/>
                <w:w w:val="90"/>
              </w:rPr>
              <w:t>☐</w:t>
            </w:r>
          </w:p>
        </w:tc>
        <w:tc>
          <w:tcPr>
            <w:tcW w:w="0" w:type="dxa"/>
            <w:vAlign w:val="bottom"/>
          </w:tcPr>
          <w:p>
            <w:pPr>
              <w:spacing w:after="0"/>
              <w:rPr>
                <w:sz w:val="1"/>
                <w:szCs w:val="1"/>
                <w:color w:val="auto"/>
              </w:rPr>
            </w:pPr>
          </w:p>
        </w:tc>
      </w:tr>
      <w:tr>
        <w:trPr>
          <w:trHeight w:val="405"/>
        </w:trPr>
        <w:tc>
          <w:tcPr>
            <w:tcW w:w="620" w:type="dxa"/>
            <w:vAlign w:val="bottom"/>
          </w:tcPr>
          <w:p>
            <w:pPr>
              <w:ind w:left="340"/>
              <w:spacing w:after="0"/>
              <w:rPr>
                <w:sz w:val="20"/>
                <w:szCs w:val="20"/>
                <w:color w:val="auto"/>
              </w:rPr>
            </w:pPr>
            <w:r>
              <w:rPr>
                <w:rFonts w:ascii="Arial" w:cs="Arial" w:eastAsia="Arial" w:hAnsi="Arial"/>
                <w:sz w:val="13"/>
                <w:szCs w:val="13"/>
                <w:color w:val="auto"/>
              </w:rPr>
              <w:t>1c.</w:t>
            </w:r>
          </w:p>
        </w:tc>
        <w:tc>
          <w:tcPr>
            <w:tcW w:w="2140" w:type="dxa"/>
            <w:vAlign w:val="bottom"/>
          </w:tcPr>
          <w:p>
            <w:pPr>
              <w:ind w:left="120"/>
              <w:spacing w:after="0"/>
              <w:rPr>
                <w:sz w:val="20"/>
                <w:szCs w:val="20"/>
                <w:color w:val="auto"/>
              </w:rPr>
            </w:pPr>
            <w:r>
              <w:rPr>
                <w:rFonts w:ascii="Arial" w:cs="Arial" w:eastAsia="Arial" w:hAnsi="Arial"/>
                <w:sz w:val="13"/>
                <w:szCs w:val="13"/>
                <w:color w:val="auto"/>
              </w:rPr>
              <w:t>Kathleen A. Cote</w:t>
            </w:r>
          </w:p>
        </w:tc>
        <w:tc>
          <w:tcPr>
            <w:tcW w:w="980" w:type="dxa"/>
            <w:vAlign w:val="bottom"/>
          </w:tcPr>
          <w:p>
            <w:pPr>
              <w:ind w:left="660"/>
              <w:spacing w:after="0" w:line="221" w:lineRule="exact"/>
              <w:rPr>
                <w:sz w:val="20"/>
                <w:szCs w:val="20"/>
                <w:color w:val="auto"/>
              </w:rPr>
            </w:pPr>
            <w:r>
              <w:rPr>
                <w:rFonts w:ascii="MS PGothic" w:cs="MS PGothic" w:eastAsia="MS PGothic" w:hAnsi="MS PGothic"/>
                <w:sz w:val="22"/>
                <w:szCs w:val="22"/>
                <w:color w:val="auto"/>
              </w:rPr>
              <w:t>☐</w:t>
            </w:r>
          </w:p>
        </w:tc>
        <w:tc>
          <w:tcPr>
            <w:tcW w:w="72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rPr>
              <w:t>☐</w:t>
            </w:r>
          </w:p>
        </w:tc>
        <w:tc>
          <w:tcPr>
            <w:tcW w:w="600" w:type="dxa"/>
            <w:vAlign w:val="bottom"/>
          </w:tcPr>
          <w:p>
            <w:pPr>
              <w:jc w:val="center"/>
              <w:ind w:left="17"/>
              <w:spacing w:after="0" w:line="221" w:lineRule="exact"/>
              <w:rPr>
                <w:sz w:val="20"/>
                <w:szCs w:val="20"/>
                <w:color w:val="auto"/>
              </w:rPr>
            </w:pPr>
            <w:r>
              <w:rPr>
                <w:rFonts w:ascii="MS PGothic" w:cs="MS PGothic" w:eastAsia="MS PGothic" w:hAnsi="MS PGothic"/>
                <w:sz w:val="22"/>
                <w:szCs w:val="22"/>
                <w:color w:val="auto"/>
                <w:w w:val="90"/>
              </w:rPr>
              <w:t>☐</w:t>
            </w:r>
          </w:p>
        </w:tc>
        <w:tc>
          <w:tcPr>
            <w:tcW w:w="0" w:type="dxa"/>
            <w:vAlign w:val="bottom"/>
          </w:tcPr>
          <w:p>
            <w:pPr>
              <w:spacing w:after="0"/>
              <w:rPr>
                <w:sz w:val="1"/>
                <w:szCs w:val="1"/>
                <w:color w:val="auto"/>
              </w:rPr>
            </w:pPr>
          </w:p>
        </w:tc>
      </w:tr>
      <w:tr>
        <w:trPr>
          <w:trHeight w:val="405"/>
        </w:trPr>
        <w:tc>
          <w:tcPr>
            <w:tcW w:w="620" w:type="dxa"/>
            <w:vAlign w:val="bottom"/>
          </w:tcPr>
          <w:p>
            <w:pPr>
              <w:ind w:left="340"/>
              <w:spacing w:after="0"/>
              <w:rPr>
                <w:sz w:val="20"/>
                <w:szCs w:val="20"/>
                <w:color w:val="auto"/>
              </w:rPr>
            </w:pPr>
            <w:r>
              <w:rPr>
                <w:rFonts w:ascii="Arial" w:cs="Arial" w:eastAsia="Arial" w:hAnsi="Arial"/>
                <w:sz w:val="13"/>
                <w:szCs w:val="13"/>
                <w:color w:val="auto"/>
              </w:rPr>
              <w:t>1d.</w:t>
            </w:r>
          </w:p>
        </w:tc>
        <w:tc>
          <w:tcPr>
            <w:tcW w:w="2140" w:type="dxa"/>
            <w:vAlign w:val="bottom"/>
          </w:tcPr>
          <w:p>
            <w:pPr>
              <w:ind w:left="120"/>
              <w:spacing w:after="0"/>
              <w:rPr>
                <w:sz w:val="20"/>
                <w:szCs w:val="20"/>
                <w:color w:val="auto"/>
              </w:rPr>
            </w:pPr>
            <w:r>
              <w:rPr>
                <w:rFonts w:ascii="Arial" w:cs="Arial" w:eastAsia="Arial" w:hAnsi="Arial"/>
                <w:sz w:val="13"/>
                <w:szCs w:val="13"/>
                <w:color w:val="auto"/>
              </w:rPr>
              <w:t>Tunç Doluca</w:t>
            </w:r>
          </w:p>
        </w:tc>
        <w:tc>
          <w:tcPr>
            <w:tcW w:w="980" w:type="dxa"/>
            <w:vAlign w:val="bottom"/>
          </w:tcPr>
          <w:p>
            <w:pPr>
              <w:ind w:left="660"/>
              <w:spacing w:after="0" w:line="221" w:lineRule="exact"/>
              <w:rPr>
                <w:sz w:val="20"/>
                <w:szCs w:val="20"/>
                <w:color w:val="auto"/>
              </w:rPr>
            </w:pPr>
            <w:r>
              <w:rPr>
                <w:rFonts w:ascii="MS PGothic" w:cs="MS PGothic" w:eastAsia="MS PGothic" w:hAnsi="MS PGothic"/>
                <w:sz w:val="22"/>
                <w:szCs w:val="22"/>
                <w:color w:val="auto"/>
              </w:rPr>
              <w:t>☐</w:t>
            </w:r>
          </w:p>
        </w:tc>
        <w:tc>
          <w:tcPr>
            <w:tcW w:w="72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rPr>
              <w:t>☐</w:t>
            </w:r>
          </w:p>
        </w:tc>
        <w:tc>
          <w:tcPr>
            <w:tcW w:w="600" w:type="dxa"/>
            <w:vAlign w:val="bottom"/>
          </w:tcPr>
          <w:p>
            <w:pPr>
              <w:jc w:val="center"/>
              <w:ind w:left="17"/>
              <w:spacing w:after="0" w:line="221" w:lineRule="exact"/>
              <w:rPr>
                <w:sz w:val="20"/>
                <w:szCs w:val="20"/>
                <w:color w:val="auto"/>
              </w:rPr>
            </w:pPr>
            <w:r>
              <w:rPr>
                <w:rFonts w:ascii="MS PGothic" w:cs="MS PGothic" w:eastAsia="MS PGothic" w:hAnsi="MS PGothic"/>
                <w:sz w:val="22"/>
                <w:szCs w:val="22"/>
                <w:color w:val="auto"/>
                <w:w w:val="90"/>
              </w:rPr>
              <w:t>☐</w:t>
            </w:r>
          </w:p>
        </w:tc>
        <w:tc>
          <w:tcPr>
            <w:tcW w:w="0" w:type="dxa"/>
            <w:vAlign w:val="bottom"/>
          </w:tcPr>
          <w:p>
            <w:pPr>
              <w:spacing w:after="0"/>
              <w:rPr>
                <w:sz w:val="1"/>
                <w:szCs w:val="1"/>
                <w:color w:val="auto"/>
              </w:rPr>
            </w:pPr>
          </w:p>
        </w:tc>
      </w:tr>
      <w:tr>
        <w:trPr>
          <w:trHeight w:val="405"/>
        </w:trPr>
        <w:tc>
          <w:tcPr>
            <w:tcW w:w="620" w:type="dxa"/>
            <w:vAlign w:val="bottom"/>
          </w:tcPr>
          <w:p>
            <w:pPr>
              <w:ind w:left="340"/>
              <w:spacing w:after="0"/>
              <w:rPr>
                <w:sz w:val="20"/>
                <w:szCs w:val="20"/>
                <w:color w:val="auto"/>
              </w:rPr>
            </w:pPr>
            <w:r>
              <w:rPr>
                <w:rFonts w:ascii="Arial" w:cs="Arial" w:eastAsia="Arial" w:hAnsi="Arial"/>
                <w:sz w:val="13"/>
                <w:szCs w:val="13"/>
                <w:color w:val="auto"/>
              </w:rPr>
              <w:t>1e.</w:t>
            </w:r>
          </w:p>
        </w:tc>
        <w:tc>
          <w:tcPr>
            <w:tcW w:w="2140" w:type="dxa"/>
            <w:vAlign w:val="bottom"/>
          </w:tcPr>
          <w:p>
            <w:pPr>
              <w:ind w:left="120"/>
              <w:spacing w:after="0"/>
              <w:rPr>
                <w:sz w:val="20"/>
                <w:szCs w:val="20"/>
                <w:color w:val="auto"/>
              </w:rPr>
            </w:pPr>
            <w:r>
              <w:rPr>
                <w:rFonts w:ascii="Arial" w:cs="Arial" w:eastAsia="Arial" w:hAnsi="Arial"/>
                <w:sz w:val="13"/>
                <w:szCs w:val="13"/>
                <w:color w:val="auto"/>
              </w:rPr>
              <w:t>David V. Goeckeler</w:t>
            </w:r>
          </w:p>
        </w:tc>
        <w:tc>
          <w:tcPr>
            <w:tcW w:w="980" w:type="dxa"/>
            <w:vAlign w:val="bottom"/>
          </w:tcPr>
          <w:p>
            <w:pPr>
              <w:ind w:left="660"/>
              <w:spacing w:after="0" w:line="221" w:lineRule="exact"/>
              <w:rPr>
                <w:sz w:val="20"/>
                <w:szCs w:val="20"/>
                <w:color w:val="auto"/>
              </w:rPr>
            </w:pPr>
            <w:r>
              <w:rPr>
                <w:rFonts w:ascii="MS PGothic" w:cs="MS PGothic" w:eastAsia="MS PGothic" w:hAnsi="MS PGothic"/>
                <w:sz w:val="22"/>
                <w:szCs w:val="22"/>
                <w:color w:val="auto"/>
              </w:rPr>
              <w:t>☐</w:t>
            </w:r>
          </w:p>
        </w:tc>
        <w:tc>
          <w:tcPr>
            <w:tcW w:w="72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rPr>
              <w:t>☐</w:t>
            </w:r>
          </w:p>
        </w:tc>
        <w:tc>
          <w:tcPr>
            <w:tcW w:w="600" w:type="dxa"/>
            <w:vAlign w:val="bottom"/>
          </w:tcPr>
          <w:p>
            <w:pPr>
              <w:jc w:val="center"/>
              <w:ind w:left="17"/>
              <w:spacing w:after="0" w:line="221" w:lineRule="exact"/>
              <w:rPr>
                <w:sz w:val="20"/>
                <w:szCs w:val="20"/>
                <w:color w:val="auto"/>
              </w:rPr>
            </w:pPr>
            <w:r>
              <w:rPr>
                <w:rFonts w:ascii="MS PGothic" w:cs="MS PGothic" w:eastAsia="MS PGothic" w:hAnsi="MS PGothic"/>
                <w:sz w:val="22"/>
                <w:szCs w:val="22"/>
                <w:color w:val="auto"/>
                <w:w w:val="90"/>
              </w:rPr>
              <w:t>☐</w:t>
            </w:r>
          </w:p>
        </w:tc>
        <w:tc>
          <w:tcPr>
            <w:tcW w:w="0" w:type="dxa"/>
            <w:vAlign w:val="bottom"/>
          </w:tcPr>
          <w:p>
            <w:pPr>
              <w:spacing w:after="0"/>
              <w:rPr>
                <w:sz w:val="1"/>
                <w:szCs w:val="1"/>
                <w:color w:val="auto"/>
              </w:rPr>
            </w:pPr>
          </w:p>
        </w:tc>
      </w:tr>
      <w:tr>
        <w:trPr>
          <w:trHeight w:val="405"/>
        </w:trPr>
        <w:tc>
          <w:tcPr>
            <w:tcW w:w="620" w:type="dxa"/>
            <w:vAlign w:val="bottom"/>
          </w:tcPr>
          <w:p>
            <w:pPr>
              <w:ind w:left="340"/>
              <w:spacing w:after="0"/>
              <w:rPr>
                <w:sz w:val="20"/>
                <w:szCs w:val="20"/>
                <w:color w:val="auto"/>
              </w:rPr>
            </w:pPr>
            <w:r>
              <w:rPr>
                <w:rFonts w:ascii="Arial" w:cs="Arial" w:eastAsia="Arial" w:hAnsi="Arial"/>
                <w:sz w:val="13"/>
                <w:szCs w:val="13"/>
                <w:color w:val="auto"/>
              </w:rPr>
              <w:t>1f.</w:t>
            </w:r>
          </w:p>
        </w:tc>
        <w:tc>
          <w:tcPr>
            <w:tcW w:w="2140" w:type="dxa"/>
            <w:vAlign w:val="bottom"/>
          </w:tcPr>
          <w:p>
            <w:pPr>
              <w:ind w:left="120"/>
              <w:spacing w:after="0"/>
              <w:rPr>
                <w:sz w:val="20"/>
                <w:szCs w:val="20"/>
                <w:color w:val="auto"/>
              </w:rPr>
            </w:pPr>
            <w:r>
              <w:rPr>
                <w:rFonts w:ascii="Arial" w:cs="Arial" w:eastAsia="Arial" w:hAnsi="Arial"/>
                <w:sz w:val="13"/>
                <w:szCs w:val="13"/>
                <w:color w:val="auto"/>
              </w:rPr>
              <w:t>Matthew E. Massengill</w:t>
            </w:r>
          </w:p>
        </w:tc>
        <w:tc>
          <w:tcPr>
            <w:tcW w:w="980" w:type="dxa"/>
            <w:vAlign w:val="bottom"/>
          </w:tcPr>
          <w:p>
            <w:pPr>
              <w:ind w:left="660"/>
              <w:spacing w:after="0" w:line="221" w:lineRule="exact"/>
              <w:rPr>
                <w:sz w:val="20"/>
                <w:szCs w:val="20"/>
                <w:color w:val="auto"/>
              </w:rPr>
            </w:pPr>
            <w:r>
              <w:rPr>
                <w:rFonts w:ascii="MS PGothic" w:cs="MS PGothic" w:eastAsia="MS PGothic" w:hAnsi="MS PGothic"/>
                <w:sz w:val="22"/>
                <w:szCs w:val="22"/>
                <w:color w:val="auto"/>
              </w:rPr>
              <w:t>☐</w:t>
            </w:r>
          </w:p>
        </w:tc>
        <w:tc>
          <w:tcPr>
            <w:tcW w:w="72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rPr>
              <w:t>☐</w:t>
            </w:r>
          </w:p>
        </w:tc>
        <w:tc>
          <w:tcPr>
            <w:tcW w:w="600" w:type="dxa"/>
            <w:vAlign w:val="bottom"/>
          </w:tcPr>
          <w:p>
            <w:pPr>
              <w:jc w:val="center"/>
              <w:ind w:left="17"/>
              <w:spacing w:after="0" w:line="221" w:lineRule="exact"/>
              <w:rPr>
                <w:sz w:val="20"/>
                <w:szCs w:val="20"/>
                <w:color w:val="auto"/>
              </w:rPr>
            </w:pPr>
            <w:r>
              <w:rPr>
                <w:rFonts w:ascii="MS PGothic" w:cs="MS PGothic" w:eastAsia="MS PGothic" w:hAnsi="MS PGothic"/>
                <w:sz w:val="22"/>
                <w:szCs w:val="22"/>
                <w:color w:val="auto"/>
                <w:w w:val="90"/>
              </w:rPr>
              <w:t>☐</w:t>
            </w:r>
          </w:p>
        </w:tc>
        <w:tc>
          <w:tcPr>
            <w:tcW w:w="0" w:type="dxa"/>
            <w:vAlign w:val="bottom"/>
          </w:tcPr>
          <w:p>
            <w:pPr>
              <w:spacing w:after="0"/>
              <w:rPr>
                <w:sz w:val="1"/>
                <w:szCs w:val="1"/>
                <w:color w:val="auto"/>
              </w:rPr>
            </w:pPr>
          </w:p>
        </w:tc>
      </w:tr>
      <w:tr>
        <w:trPr>
          <w:trHeight w:val="405"/>
        </w:trPr>
        <w:tc>
          <w:tcPr>
            <w:tcW w:w="620" w:type="dxa"/>
            <w:vAlign w:val="bottom"/>
          </w:tcPr>
          <w:p>
            <w:pPr>
              <w:ind w:left="340"/>
              <w:spacing w:after="0"/>
              <w:rPr>
                <w:sz w:val="20"/>
                <w:szCs w:val="20"/>
                <w:color w:val="auto"/>
              </w:rPr>
            </w:pPr>
            <w:r>
              <w:rPr>
                <w:rFonts w:ascii="Arial" w:cs="Arial" w:eastAsia="Arial" w:hAnsi="Arial"/>
                <w:sz w:val="13"/>
                <w:szCs w:val="13"/>
                <w:color w:val="auto"/>
              </w:rPr>
              <w:t>1g.</w:t>
            </w:r>
          </w:p>
        </w:tc>
        <w:tc>
          <w:tcPr>
            <w:tcW w:w="2140" w:type="dxa"/>
            <w:vAlign w:val="bottom"/>
          </w:tcPr>
          <w:p>
            <w:pPr>
              <w:ind w:left="120"/>
              <w:spacing w:after="0"/>
              <w:rPr>
                <w:sz w:val="20"/>
                <w:szCs w:val="20"/>
                <w:color w:val="auto"/>
              </w:rPr>
            </w:pPr>
            <w:r>
              <w:rPr>
                <w:rFonts w:ascii="Arial" w:cs="Arial" w:eastAsia="Arial" w:hAnsi="Arial"/>
                <w:sz w:val="13"/>
                <w:szCs w:val="13"/>
                <w:color w:val="auto"/>
              </w:rPr>
              <w:t>Paula A. Price</w:t>
            </w:r>
          </w:p>
        </w:tc>
        <w:tc>
          <w:tcPr>
            <w:tcW w:w="980" w:type="dxa"/>
            <w:vAlign w:val="bottom"/>
          </w:tcPr>
          <w:p>
            <w:pPr>
              <w:ind w:left="660"/>
              <w:spacing w:after="0" w:line="221" w:lineRule="exact"/>
              <w:rPr>
                <w:sz w:val="20"/>
                <w:szCs w:val="20"/>
                <w:color w:val="auto"/>
              </w:rPr>
            </w:pPr>
            <w:r>
              <w:rPr>
                <w:rFonts w:ascii="MS PGothic" w:cs="MS PGothic" w:eastAsia="MS PGothic" w:hAnsi="MS PGothic"/>
                <w:sz w:val="22"/>
                <w:szCs w:val="22"/>
                <w:color w:val="auto"/>
              </w:rPr>
              <w:t>☐</w:t>
            </w:r>
          </w:p>
        </w:tc>
        <w:tc>
          <w:tcPr>
            <w:tcW w:w="72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rPr>
              <w:t>☐</w:t>
            </w:r>
          </w:p>
        </w:tc>
        <w:tc>
          <w:tcPr>
            <w:tcW w:w="600" w:type="dxa"/>
            <w:vAlign w:val="bottom"/>
          </w:tcPr>
          <w:p>
            <w:pPr>
              <w:jc w:val="center"/>
              <w:ind w:left="17"/>
              <w:spacing w:after="0" w:line="221" w:lineRule="exact"/>
              <w:rPr>
                <w:sz w:val="20"/>
                <w:szCs w:val="20"/>
                <w:color w:val="auto"/>
              </w:rPr>
            </w:pPr>
            <w:r>
              <w:rPr>
                <w:rFonts w:ascii="MS PGothic" w:cs="MS PGothic" w:eastAsia="MS PGothic" w:hAnsi="MS PGothic"/>
                <w:sz w:val="22"/>
                <w:szCs w:val="22"/>
                <w:color w:val="auto"/>
                <w:w w:val="90"/>
              </w:rPr>
              <w:t>☐</w:t>
            </w:r>
          </w:p>
        </w:tc>
        <w:tc>
          <w:tcPr>
            <w:tcW w:w="0" w:type="dxa"/>
            <w:vAlign w:val="bottom"/>
          </w:tcPr>
          <w:p>
            <w:pPr>
              <w:spacing w:after="0"/>
              <w:rPr>
                <w:sz w:val="1"/>
                <w:szCs w:val="1"/>
                <w:color w:val="auto"/>
              </w:rPr>
            </w:pPr>
          </w:p>
        </w:tc>
      </w:tr>
      <w:tr>
        <w:trPr>
          <w:trHeight w:val="405"/>
        </w:trPr>
        <w:tc>
          <w:tcPr>
            <w:tcW w:w="620" w:type="dxa"/>
            <w:vAlign w:val="bottom"/>
          </w:tcPr>
          <w:p>
            <w:pPr>
              <w:ind w:left="340"/>
              <w:spacing w:after="0"/>
              <w:rPr>
                <w:sz w:val="20"/>
                <w:szCs w:val="20"/>
                <w:color w:val="auto"/>
              </w:rPr>
            </w:pPr>
            <w:r>
              <w:rPr>
                <w:rFonts w:ascii="Arial" w:cs="Arial" w:eastAsia="Arial" w:hAnsi="Arial"/>
                <w:sz w:val="13"/>
                <w:szCs w:val="13"/>
                <w:color w:val="auto"/>
              </w:rPr>
              <w:t>1h.</w:t>
            </w:r>
          </w:p>
        </w:tc>
        <w:tc>
          <w:tcPr>
            <w:tcW w:w="2140" w:type="dxa"/>
            <w:vAlign w:val="bottom"/>
          </w:tcPr>
          <w:p>
            <w:pPr>
              <w:ind w:left="120"/>
              <w:spacing w:after="0"/>
              <w:rPr>
                <w:sz w:val="20"/>
                <w:szCs w:val="20"/>
                <w:color w:val="auto"/>
              </w:rPr>
            </w:pPr>
            <w:r>
              <w:rPr>
                <w:rFonts w:ascii="Arial" w:cs="Arial" w:eastAsia="Arial" w:hAnsi="Arial"/>
                <w:sz w:val="13"/>
                <w:szCs w:val="13"/>
                <w:color w:val="auto"/>
              </w:rPr>
              <w:t>Stephanie A. Streeter</w:t>
            </w:r>
          </w:p>
        </w:tc>
        <w:tc>
          <w:tcPr>
            <w:tcW w:w="980" w:type="dxa"/>
            <w:vAlign w:val="bottom"/>
          </w:tcPr>
          <w:p>
            <w:pPr>
              <w:ind w:left="660"/>
              <w:spacing w:after="0" w:line="221" w:lineRule="exact"/>
              <w:rPr>
                <w:sz w:val="20"/>
                <w:szCs w:val="20"/>
                <w:color w:val="auto"/>
              </w:rPr>
            </w:pPr>
            <w:r>
              <w:rPr>
                <w:rFonts w:ascii="MS PGothic" w:cs="MS PGothic" w:eastAsia="MS PGothic" w:hAnsi="MS PGothic"/>
                <w:sz w:val="22"/>
                <w:szCs w:val="22"/>
                <w:color w:val="auto"/>
              </w:rPr>
              <w:t>☐</w:t>
            </w:r>
          </w:p>
        </w:tc>
        <w:tc>
          <w:tcPr>
            <w:tcW w:w="72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rPr>
              <w:t>☐</w:t>
            </w:r>
          </w:p>
        </w:tc>
        <w:tc>
          <w:tcPr>
            <w:tcW w:w="600" w:type="dxa"/>
            <w:vAlign w:val="bottom"/>
          </w:tcPr>
          <w:p>
            <w:pPr>
              <w:jc w:val="center"/>
              <w:ind w:left="17"/>
              <w:spacing w:after="0" w:line="221" w:lineRule="exact"/>
              <w:rPr>
                <w:sz w:val="20"/>
                <w:szCs w:val="20"/>
                <w:color w:val="auto"/>
              </w:rPr>
            </w:pPr>
            <w:r>
              <w:rPr>
                <w:rFonts w:ascii="MS PGothic" w:cs="MS PGothic" w:eastAsia="MS PGothic" w:hAnsi="MS PGothic"/>
                <w:sz w:val="22"/>
                <w:szCs w:val="22"/>
                <w:color w:val="auto"/>
                <w:w w:val="90"/>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line="284" w:lineRule="auto"/>
        <w:rPr>
          <w:sz w:val="20"/>
          <w:szCs w:val="20"/>
          <w:color w:val="auto"/>
        </w:rPr>
      </w:pPr>
      <w:r>
        <w:rPr>
          <w:rFonts w:ascii="Arial" w:cs="Arial" w:eastAsia="Arial" w:hAnsi="Arial"/>
          <w:sz w:val="13"/>
          <w:szCs w:val="13"/>
          <w:b w:val="1"/>
          <w:bCs w:val="1"/>
          <w:color w:val="auto"/>
        </w:rPr>
        <w:t>The Board of Directors recommends a vote FOR Proposals 2, 3 and 4:</w:t>
      </w:r>
    </w:p>
    <w:p>
      <w:pPr>
        <w:spacing w:after="0" w:line="108" w:lineRule="exact"/>
        <w:rPr>
          <w:sz w:val="20"/>
          <w:szCs w:val="20"/>
          <w:color w:val="auto"/>
        </w:rPr>
      </w:pPr>
    </w:p>
    <w:p>
      <w:pPr>
        <w:jc w:val="both"/>
        <w:ind w:left="340" w:hanging="335"/>
        <w:spacing w:after="0" w:line="248" w:lineRule="auto"/>
        <w:tabs>
          <w:tab w:leader="none" w:pos="340" w:val="left"/>
        </w:tabs>
        <w:numPr>
          <w:ilvl w:val="0"/>
          <w:numId w:val="267"/>
        </w:numPr>
        <w:rPr>
          <w:rFonts w:ascii="Arial" w:cs="Arial" w:eastAsia="Arial" w:hAnsi="Arial"/>
          <w:sz w:val="13"/>
          <w:szCs w:val="13"/>
          <w:color w:val="auto"/>
        </w:rPr>
      </w:pPr>
      <w:r>
        <w:rPr>
          <w:rFonts w:ascii="Arial" w:cs="Arial" w:eastAsia="Arial" w:hAnsi="Arial"/>
          <w:sz w:val="13"/>
          <w:szCs w:val="13"/>
          <w:color w:val="auto"/>
        </w:rPr>
        <w:t>To approve on an advisory basis the named executive officer compensation disclosed in the Proxy Statement;</w:t>
      </w:r>
    </w:p>
    <w:p>
      <w:pPr>
        <w:spacing w:after="0" w:line="130" w:lineRule="exact"/>
        <w:rPr>
          <w:rFonts w:ascii="Arial" w:cs="Arial" w:eastAsia="Arial" w:hAnsi="Arial"/>
          <w:sz w:val="13"/>
          <w:szCs w:val="13"/>
          <w:color w:val="auto"/>
        </w:rPr>
      </w:pPr>
    </w:p>
    <w:p>
      <w:pPr>
        <w:jc w:val="both"/>
        <w:ind w:left="340" w:hanging="335"/>
        <w:spacing w:after="0" w:line="245" w:lineRule="auto"/>
        <w:tabs>
          <w:tab w:leader="none" w:pos="340" w:val="left"/>
        </w:tabs>
        <w:numPr>
          <w:ilvl w:val="0"/>
          <w:numId w:val="267"/>
        </w:numPr>
        <w:rPr>
          <w:rFonts w:ascii="Arial" w:cs="Arial" w:eastAsia="Arial" w:hAnsi="Arial"/>
          <w:sz w:val="13"/>
          <w:szCs w:val="13"/>
          <w:color w:val="auto"/>
        </w:rPr>
      </w:pPr>
      <w:r>
        <w:rPr>
          <w:rFonts w:ascii="Arial" w:cs="Arial" w:eastAsia="Arial" w:hAnsi="Arial"/>
          <w:sz w:val="13"/>
          <w:szCs w:val="13"/>
          <w:color w:val="auto"/>
        </w:rPr>
        <w:t>To approve an amendment and restatement of our 2017 Performance Incentive Plan to increase by 9.8 million the number of shares of our common stock available for issuance under that plan; and</w:t>
      </w:r>
    </w:p>
    <w:p>
      <w:pPr>
        <w:spacing w:after="0" w:line="132" w:lineRule="exact"/>
        <w:rPr>
          <w:rFonts w:ascii="Arial" w:cs="Arial" w:eastAsia="Arial" w:hAnsi="Arial"/>
          <w:sz w:val="13"/>
          <w:szCs w:val="13"/>
          <w:color w:val="auto"/>
        </w:rPr>
      </w:pPr>
    </w:p>
    <w:p>
      <w:pPr>
        <w:jc w:val="both"/>
        <w:ind w:left="340" w:hanging="335"/>
        <w:spacing w:after="0" w:line="248" w:lineRule="auto"/>
        <w:tabs>
          <w:tab w:leader="none" w:pos="340" w:val="left"/>
        </w:tabs>
        <w:numPr>
          <w:ilvl w:val="0"/>
          <w:numId w:val="267"/>
        </w:numPr>
        <w:rPr>
          <w:rFonts w:ascii="Arial" w:cs="Arial" w:eastAsia="Arial" w:hAnsi="Arial"/>
          <w:sz w:val="13"/>
          <w:szCs w:val="13"/>
          <w:color w:val="auto"/>
        </w:rPr>
      </w:pPr>
      <w:r>
        <w:rPr>
          <w:rFonts w:ascii="Arial" w:cs="Arial" w:eastAsia="Arial" w:hAnsi="Arial"/>
          <w:sz w:val="13"/>
          <w:szCs w:val="13"/>
          <w:color w:val="auto"/>
        </w:rPr>
        <w:t>To ratify the appointment of KPMG LLP as our independent registered public accounting firm for fiscal 2021.</w:t>
      </w:r>
    </w:p>
    <w:p>
      <w:pPr>
        <w:spacing w:after="0" w:line="225" w:lineRule="exact"/>
        <w:rPr>
          <w:sz w:val="20"/>
          <w:szCs w:val="20"/>
          <w:color w:val="auto"/>
        </w:rPr>
      </w:pPr>
    </w:p>
    <w:p>
      <w:pPr>
        <w:jc w:val="both"/>
        <w:spacing w:after="0" w:line="245" w:lineRule="auto"/>
        <w:rPr>
          <w:sz w:val="20"/>
          <w:szCs w:val="20"/>
          <w:color w:val="auto"/>
        </w:rPr>
      </w:pPr>
      <w:r>
        <w:rPr>
          <w:rFonts w:ascii="Arial" w:cs="Arial" w:eastAsia="Arial" w:hAnsi="Arial"/>
          <w:sz w:val="13"/>
          <w:szCs w:val="13"/>
          <w:color w:val="auto"/>
        </w:rPr>
        <w:t>In their discretion, the Proxies are authorized to vote on such other business as may properly come before the meeting and any postponement or adjournment of the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tabs>
          <w:tab w:leader="none" w:pos="420" w:val="left"/>
          <w:tab w:leader="none" w:pos="1140" w:val="left"/>
        </w:tabs>
        <w:rPr>
          <w:sz w:val="20"/>
          <w:szCs w:val="20"/>
          <w:color w:val="auto"/>
        </w:rPr>
      </w:pPr>
      <w:r>
        <w:rPr>
          <w:rFonts w:ascii="Arial" w:cs="Arial" w:eastAsia="Arial" w:hAnsi="Arial"/>
          <w:sz w:val="13"/>
          <w:szCs w:val="13"/>
          <w:b w:val="1"/>
          <w:bCs w:val="1"/>
          <w:color w:val="auto"/>
        </w:rPr>
        <w:t>For</w:t>
        <w:tab/>
        <w:t>Against</w:t>
        <w:tab/>
        <w:t>Abstain</w:t>
      </w:r>
    </w:p>
    <w:p>
      <w:pPr>
        <w:spacing w:after="0" w:line="265" w:lineRule="exact"/>
        <w:rPr>
          <w:sz w:val="20"/>
          <w:szCs w:val="20"/>
          <w:color w:val="auto"/>
        </w:rPr>
      </w:pPr>
    </w:p>
    <w:p>
      <w:pPr>
        <w:jc w:val="center"/>
        <w:ind w:right="240"/>
        <w:spacing w:after="0" w:line="221" w:lineRule="exact"/>
        <w:tabs>
          <w:tab w:leader="none" w:pos="360" w:val="left"/>
          <w:tab w:leader="none" w:pos="500" w:val="left"/>
        </w:tabs>
        <w:rPr>
          <w:sz w:val="20"/>
          <w:szCs w:val="20"/>
          <w:color w:val="auto"/>
        </w:rPr>
      </w:pPr>
      <w:r>
        <w:rPr>
          <w:rFonts w:ascii="MS PGothic" w:cs="MS PGothic" w:eastAsia="MS PGothic" w:hAnsi="MS PGothic"/>
          <w:sz w:val="22"/>
          <w:szCs w:val="22"/>
          <w:color w:val="auto"/>
        </w:rPr>
        <w:t>☐</w:t>
        <w:tab/>
        <w:t>☐</w:t>
      </w:r>
      <w:r>
        <w:rPr>
          <w:sz w:val="20"/>
          <w:szCs w:val="20"/>
          <w:color w:val="auto"/>
        </w:rPr>
        <w:tab/>
      </w:r>
      <w:r>
        <w:rPr>
          <w:rFonts w:ascii="MS PGothic" w:cs="MS PGothic" w:eastAsia="MS PGothic" w:hAnsi="MS PGothic"/>
          <w:sz w:val="18"/>
          <w:szCs w:val="18"/>
          <w:color w:val="auto"/>
        </w:rPr>
        <w:t>☐</w:t>
      </w:r>
    </w:p>
    <w:p>
      <w:pPr>
        <w:spacing w:after="0" w:line="374" w:lineRule="exact"/>
        <w:rPr>
          <w:sz w:val="20"/>
          <w:szCs w:val="20"/>
          <w:color w:val="auto"/>
        </w:rPr>
      </w:pPr>
    </w:p>
    <w:p>
      <w:pPr>
        <w:jc w:val="center"/>
        <w:ind w:right="240"/>
        <w:spacing w:after="0" w:line="221" w:lineRule="exact"/>
        <w:tabs>
          <w:tab w:leader="none" w:pos="360" w:val="left"/>
          <w:tab w:leader="none" w:pos="500" w:val="left"/>
        </w:tabs>
        <w:rPr>
          <w:sz w:val="20"/>
          <w:szCs w:val="20"/>
          <w:color w:val="auto"/>
        </w:rPr>
      </w:pPr>
      <w:r>
        <w:rPr>
          <w:rFonts w:ascii="MS PGothic" w:cs="MS PGothic" w:eastAsia="MS PGothic" w:hAnsi="MS PGothic"/>
          <w:sz w:val="22"/>
          <w:szCs w:val="22"/>
          <w:color w:val="auto"/>
        </w:rPr>
        <w:t>☐</w:t>
        <w:tab/>
        <w:t>☐</w:t>
      </w:r>
      <w:r>
        <w:rPr>
          <w:sz w:val="20"/>
          <w:szCs w:val="20"/>
          <w:color w:val="auto"/>
        </w:rPr>
        <w:tab/>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323" w:lineRule="exact"/>
        <w:rPr>
          <w:sz w:val="20"/>
          <w:szCs w:val="20"/>
          <w:color w:val="auto"/>
        </w:rPr>
      </w:pPr>
    </w:p>
    <w:p>
      <w:pPr>
        <w:jc w:val="center"/>
        <w:ind w:right="240"/>
        <w:spacing w:after="0" w:line="221" w:lineRule="exact"/>
        <w:tabs>
          <w:tab w:leader="none" w:pos="360" w:val="left"/>
          <w:tab w:leader="none" w:pos="500" w:val="left"/>
        </w:tabs>
        <w:rPr>
          <w:sz w:val="20"/>
          <w:szCs w:val="20"/>
          <w:color w:val="auto"/>
        </w:rPr>
      </w:pPr>
      <w:r>
        <w:rPr>
          <w:rFonts w:ascii="MS PGothic" w:cs="MS PGothic" w:eastAsia="MS PGothic" w:hAnsi="MS PGothic"/>
          <w:sz w:val="22"/>
          <w:szCs w:val="22"/>
          <w:color w:val="auto"/>
        </w:rPr>
        <w:t>☐</w:t>
        <w:tab/>
        <w:t>☐</w:t>
      </w:r>
      <w:r>
        <w:rPr>
          <w:sz w:val="20"/>
          <w:szCs w:val="20"/>
          <w:color w:val="auto"/>
        </w:rPr>
        <w:tab/>
      </w:r>
      <w:r>
        <w:rPr>
          <w:rFonts w:ascii="MS PGothic" w:cs="MS PGothic" w:eastAsia="MS PGothic" w:hAnsi="MS PGothic"/>
          <w:sz w:val="18"/>
          <w:szCs w:val="18"/>
          <w:color w:val="auto"/>
        </w:rPr>
        <w:t>☐</w:t>
      </w:r>
    </w:p>
    <w:p>
      <w:pPr>
        <w:spacing w:after="0" w:line="1803" w:lineRule="exact"/>
        <w:rPr>
          <w:sz w:val="20"/>
          <w:szCs w:val="20"/>
          <w:color w:val="auto"/>
        </w:rPr>
      </w:pPr>
    </w:p>
    <w:p>
      <w:pPr>
        <w:sectPr>
          <w:pgSz w:w="11900" w:h="16838" w:orient="portrait"/>
          <w:cols w:equalWidth="0" w:num="3">
            <w:col w:w="5380" w:space="460"/>
            <w:col w:w="3420" w:space="220"/>
            <w:col w:w="176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60" w:right="2300"/>
        <w:spacing w:after="0" w:line="284" w:lineRule="auto"/>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Please sign as name appears hereon. Joint owners should each sign. When signing as attorney, executor, administrator, trustee or</w:t>
      </w:r>
      <w:r>
        <w:rPr>
          <w:rFonts w:ascii="Arial" w:cs="Arial" w:eastAsia="Arial" w:hAnsi="Arial"/>
          <w:sz w:val="13"/>
          <w:szCs w:val="13"/>
          <w:b w:val="1"/>
          <w:bCs w:val="1"/>
          <w:color w:val="auto"/>
        </w:rPr>
        <w:t xml:space="preserve"> </w:t>
      </w:r>
      <w:r>
        <w:rPr>
          <w:rFonts w:ascii="Arial" w:cs="Arial" w:eastAsia="Arial" w:hAnsi="Arial"/>
          <w:sz w:val="13"/>
          <w:szCs w:val="13"/>
          <w:color w:val="auto"/>
        </w:rPr>
        <w:t>guardian, please give full title as such.</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394" w:lineRule="exact"/>
        <w:rPr>
          <w:sz w:val="20"/>
          <w:szCs w:val="20"/>
          <w:color w:val="auto"/>
        </w:rPr>
      </w:pPr>
    </w:p>
    <w:p>
      <w:pPr>
        <w:ind w:left="360"/>
        <w:spacing w:after="0"/>
        <w:tabs>
          <w:tab w:leader="none" w:pos="3420" w:val="left"/>
        </w:tabs>
        <w:rPr>
          <w:sz w:val="20"/>
          <w:szCs w:val="20"/>
          <w:color w:val="auto"/>
        </w:rPr>
      </w:pPr>
      <w:r>
        <w:rPr>
          <w:rFonts w:ascii="Arial" w:cs="Arial" w:eastAsia="Arial" w:hAnsi="Arial"/>
          <w:sz w:val="13"/>
          <w:szCs w:val="13"/>
          <w:color w:val="auto"/>
        </w:rPr>
        <w:t>Signature [PLEASE SIGN WITHIN BOX]</w:t>
      </w:r>
      <w:r>
        <w:rPr>
          <w:sz w:val="20"/>
          <w:szCs w:val="20"/>
          <w:color w:val="auto"/>
        </w:rPr>
        <w:tab/>
      </w: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spacing w:after="0"/>
        <w:tabs>
          <w:tab w:leader="none" w:pos="3220" w:val="left"/>
        </w:tabs>
        <w:rPr>
          <w:sz w:val="20"/>
          <w:szCs w:val="20"/>
          <w:color w:val="auto"/>
        </w:rPr>
      </w:pPr>
      <w:r>
        <w:rPr>
          <w:rFonts w:ascii="Arial" w:cs="Arial" w:eastAsia="Arial" w:hAnsi="Arial"/>
          <w:sz w:val="13"/>
          <w:szCs w:val="13"/>
          <w:color w:val="auto"/>
        </w:rPr>
        <w:t>Signature (Joint Owners)</w:t>
      </w:r>
      <w:r>
        <w:rPr>
          <w:sz w:val="20"/>
          <w:szCs w:val="20"/>
          <w:color w:val="auto"/>
        </w:rPr>
        <w:tab/>
      </w: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-3221990</wp:posOffset>
            </wp:positionH>
            <wp:positionV relativeFrom="paragraph">
              <wp:posOffset>280670</wp:posOffset>
            </wp:positionV>
            <wp:extent cx="7153275" cy="215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2">
            <w:col w:w="4360" w:space="720"/>
            <w:col w:w="6160"/>
          </w:cols>
          <w:pgMar w:left="320" w:top="121" w:right="339" w:bottom="1440" w:gutter="0" w:footer="0" w:header="0"/>
          <w:type w:val="continuous"/>
        </w:sectPr>
      </w:pPr>
    </w:p>
    <w:bookmarkStart w:id="140" w:name="page141"/>
    <w:bookmarkEnd w:id="140"/>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1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to be held November 18, 2020:</w:t>
      </w:r>
    </w:p>
    <w:p>
      <w:pPr>
        <w:jc w:val="center"/>
        <w:ind w:left="540"/>
        <w:spacing w:after="0"/>
        <w:rPr>
          <w:sz w:val="20"/>
          <w:szCs w:val="20"/>
          <w:color w:val="auto"/>
        </w:rPr>
      </w:pPr>
      <w:r>
        <w:rPr>
          <w:rFonts w:ascii="Arial" w:cs="Arial" w:eastAsia="Arial" w:hAnsi="Arial"/>
          <w:sz w:val="18"/>
          <w:szCs w:val="18"/>
          <w:color w:val="auto"/>
        </w:rPr>
        <w:t>The Notice and Proxy Statement and 2020 Annual Report are available at investor.wdc.com. You can also view these materials at www.proxyvote.com by using the control number printed in the box marked by an arrow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1337945</wp:posOffset>
            </wp:positionV>
            <wp:extent cx="713232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9980"/>
        <w:spacing w:after="0"/>
        <w:rPr>
          <w:sz w:val="20"/>
          <w:szCs w:val="20"/>
          <w:color w:val="auto"/>
        </w:rPr>
      </w:pPr>
      <w:r>
        <w:rPr>
          <w:rFonts w:ascii="Arial" w:cs="Arial" w:eastAsia="Arial" w:hAnsi="Arial"/>
          <w:sz w:val="13"/>
          <w:szCs w:val="13"/>
          <w:color w:val="auto"/>
        </w:rPr>
        <w:t>D23343-P39005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27875" cy="435864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27875" cy="4358640"/>
                    </a:xfrm>
                    <a:prstGeom prst="rect">
                      <a:avLst/>
                    </a:prstGeom>
                    <a:noFill/>
                  </pic:spPr>
                </pic:pic>
              </a:graphicData>
            </a:graphic>
          </wp:anchor>
        </w:drawing>
      </w:r>
    </w:p>
    <w:p>
      <w:pPr>
        <w:spacing w:after="0" w:line="3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WESTERN DIGITAL CORPORATION</w:t>
      </w:r>
    </w:p>
    <w:p>
      <w:pPr>
        <w:spacing w:after="0" w:line="1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5601 Great Oaks Parkway</w:t>
      </w:r>
    </w:p>
    <w:p>
      <w:pPr>
        <w:jc w:val="center"/>
        <w:ind w:right="-219"/>
        <w:spacing w:after="0"/>
        <w:rPr>
          <w:sz w:val="20"/>
          <w:szCs w:val="20"/>
          <w:color w:val="auto"/>
        </w:rPr>
      </w:pPr>
      <w:r>
        <w:rPr>
          <w:rFonts w:ascii="Arial" w:cs="Arial" w:eastAsia="Arial" w:hAnsi="Arial"/>
          <w:sz w:val="18"/>
          <w:szCs w:val="18"/>
          <w:b w:val="1"/>
          <w:bCs w:val="1"/>
          <w:color w:val="auto"/>
        </w:rPr>
        <w:t>San Jose, CA 95119</w:t>
      </w:r>
    </w:p>
    <w:p>
      <w:pPr>
        <w:spacing w:after="0" w:line="19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THIS PROXY CARD IS SOLICITED ON BEHALF OF THE BOARD OF DIRECTORS</w:t>
      </w:r>
    </w:p>
    <w:p>
      <w:pPr>
        <w:spacing w:after="0" w:line="234" w:lineRule="exact"/>
        <w:rPr>
          <w:sz w:val="20"/>
          <w:szCs w:val="20"/>
          <w:color w:val="auto"/>
        </w:rPr>
      </w:pPr>
    </w:p>
    <w:p>
      <w:pPr>
        <w:jc w:val="both"/>
        <w:ind w:left="300" w:right="100"/>
        <w:spacing w:after="0" w:line="271" w:lineRule="auto"/>
        <w:rPr>
          <w:sz w:val="20"/>
          <w:szCs w:val="20"/>
          <w:color w:val="auto"/>
        </w:rPr>
      </w:pPr>
      <w:r>
        <w:rPr>
          <w:rFonts w:ascii="Arial" w:cs="Arial" w:eastAsia="Arial" w:hAnsi="Arial"/>
          <w:sz w:val="16"/>
          <w:szCs w:val="16"/>
          <w:color w:val="auto"/>
        </w:rPr>
        <w:t>The undersigned, hereby revoking any proxy previously given, appoints Matthew E. Massengill and Michael C. Ray, and each of them, as Proxies, each with the power to appoint his substitute, and hereby authorizes either of them to represent and to vote all the shares of common stock of Western Digital Corporation held of record by the undersigned on September 21, 2020, with all the powers which the undersigned would possess if personally present, at the Annual Meeting of Stockholders of Western Digital Corporation to be held on November 18, 2020, and at any postponements or adjournments thereof. The proposals of the Company referred to on the other side are described in the Proxy Statement, dated as of October 5, 2020, which is being delivered herewith in connection with the Annual Meeting.</w:t>
      </w:r>
    </w:p>
    <w:p>
      <w:pPr>
        <w:spacing w:after="0" w:line="162" w:lineRule="exact"/>
        <w:rPr>
          <w:sz w:val="20"/>
          <w:szCs w:val="20"/>
          <w:color w:val="auto"/>
        </w:rPr>
      </w:pPr>
    </w:p>
    <w:p>
      <w:pPr>
        <w:jc w:val="both"/>
        <w:ind w:left="300" w:right="100"/>
        <w:spacing w:after="0" w:line="244" w:lineRule="auto"/>
        <w:rPr>
          <w:sz w:val="20"/>
          <w:szCs w:val="20"/>
          <w:color w:val="auto"/>
        </w:rPr>
      </w:pPr>
      <w:r>
        <w:rPr>
          <w:rFonts w:ascii="Arial" w:cs="Arial" w:eastAsia="Arial" w:hAnsi="Arial"/>
          <w:sz w:val="18"/>
          <w:szCs w:val="18"/>
          <w:b w:val="1"/>
          <w:bCs w:val="1"/>
          <w:color w:val="auto"/>
        </w:rPr>
        <w:t>This proxy, when properly executed and returned, will be voted in the manner directed herein by the undersigned stockholder. If no direction is made, this proxy will be voted "FOR" each of the eight nominees named in Proposal 1 and "FOR" Proposals 2, 3 and 4. Whether or not direction is made, each of the Proxies is authorized to vote in his discretion on such other business as may properly come before the Annual Meeting or any postponement or adjournment thereof.</w:t>
      </w:r>
    </w:p>
    <w:p>
      <w:pPr>
        <w:spacing w:after="0" w:line="184" w:lineRule="exact"/>
        <w:rPr>
          <w:sz w:val="20"/>
          <w:szCs w:val="20"/>
          <w:color w:val="auto"/>
        </w:rPr>
      </w:pPr>
    </w:p>
    <w:p>
      <w:pPr>
        <w:jc w:val="both"/>
        <w:ind w:left="300" w:right="100"/>
        <w:spacing w:after="0" w:line="244" w:lineRule="auto"/>
        <w:rPr>
          <w:sz w:val="20"/>
          <w:szCs w:val="20"/>
          <w:color w:val="auto"/>
        </w:rPr>
      </w:pPr>
      <w:r>
        <w:rPr>
          <w:rFonts w:ascii="Arial" w:cs="Arial" w:eastAsia="Arial" w:hAnsi="Arial"/>
          <w:sz w:val="18"/>
          <w:szCs w:val="18"/>
          <w:b w:val="1"/>
          <w:bCs w:val="1"/>
          <w:color w:val="auto"/>
        </w:rPr>
        <w:t>If you have a beneficial interest in shares held by the Western Digital Corporation 401(k) Plan, then this card also constitutes your voting instructions to the Trustee of such plan. If you do not submit voting instructions for any shares held in the Western Digital Corporation 401(k) Plan, such shares will be voted by the Trustee in the same proportion as other shares in the Western Digital Corporation 401(k) Plan are affirmatively voted by plan participants.</w:t>
      </w:r>
    </w:p>
    <w:p>
      <w:pPr>
        <w:spacing w:after="0" w:line="184" w:lineRule="exact"/>
        <w:rPr>
          <w:sz w:val="20"/>
          <w:szCs w:val="20"/>
          <w:color w:val="auto"/>
        </w:rPr>
      </w:pPr>
    </w:p>
    <w:p>
      <w:pPr>
        <w:jc w:val="both"/>
        <w:ind w:left="300" w:right="100"/>
        <w:spacing w:after="0" w:line="264" w:lineRule="auto"/>
        <w:rPr>
          <w:sz w:val="20"/>
          <w:szCs w:val="20"/>
          <w:color w:val="auto"/>
        </w:rPr>
      </w:pPr>
      <w:r>
        <w:rPr>
          <w:rFonts w:ascii="Arial" w:cs="Arial" w:eastAsia="Arial" w:hAnsi="Arial"/>
          <w:sz w:val="18"/>
          <w:szCs w:val="18"/>
          <w:b w:val="1"/>
          <w:bCs w:val="1"/>
          <w:color w:val="auto"/>
        </w:rPr>
        <w:t>PLEASE MARK, SIGN, DATE AND RETURN THIS PROXY CARD PROMPTLY USING THE ENCLOSED ENVELOPE. IF YOU CHOOSE TO VOTE THESE SHARES BY TELEPHONE OR INTERNET, DO NOT RETURN THIS PROXY.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(Continued and to be marked, dated and signed, on the other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315595</wp:posOffset>
            </wp:positionV>
            <wp:extent cx="7153275" cy="215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sectPr>
      <w:pgSz w:w="11900" w:h="16838" w:orient="portrait"/>
      <w:cols w:equalWidth="0" w:num="1">
        <w:col w:w="11040"/>
      </w:cols>
      <w:pgMar w:left="320" w:top="121"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4E1DD5"/>
    <w:multiLevelType w:val="hybridMultilevel"/>
    <w:lvl w:ilvl="0">
      <w:lvlJc w:val="left"/>
      <w:lvlText w:val="☐"/>
      <w:numFmt w:val="bullet"/>
      <w:start w:val="1"/>
    </w:lvl>
  </w:abstractNum>
  <w:abstractNum w:abstractNumId="1">
    <w:nsid w:val="57D2F10E"/>
    <w:multiLevelType w:val="hybridMultilevel"/>
    <w:lvl w:ilvl="0">
      <w:lvlJc w:val="left"/>
      <w:lvlText w:val="☑"/>
      <w:numFmt w:val="bullet"/>
      <w:start w:val="1"/>
    </w:lvl>
  </w:abstractNum>
  <w:abstractNum w:abstractNumId="2">
    <w:nsid w:val="BFFAE18"/>
    <w:multiLevelType w:val="hybridMultilevel"/>
    <w:lvl w:ilvl="0">
      <w:lvlJc w:val="left"/>
      <w:lvlText w:val="☐"/>
      <w:numFmt w:val="bullet"/>
      <w:start w:val="1"/>
    </w:lvl>
    <w:lvl w:ilvl="1">
      <w:lvlJc w:val="left"/>
      <w:lvlText w:val="%2)"/>
      <w:numFmt w:val="decimal"/>
      <w:start w:val="1"/>
    </w:lvl>
  </w:abstractNum>
  <w:abstractNum w:abstractNumId="3">
    <w:nsid w:val="E3E47A8"/>
    <w:multiLevelType w:val="hybridMultilevel"/>
    <w:lvl w:ilvl="0">
      <w:lvlJc w:val="left"/>
      <w:lvlText w:val="●"/>
      <w:numFmt w:val="bullet"/>
      <w:start w:val="1"/>
    </w:lvl>
  </w:abstractNum>
  <w:abstractNum w:abstractNumId="4">
    <w:nsid w:val="2E48F044"/>
    <w:multiLevelType w:val="hybridMultilevel"/>
    <w:lvl w:ilvl="0">
      <w:lvlJc w:val="left"/>
      <w:lvlText w:val="2"/>
      <w:numFmt w:val="bullet"/>
      <w:start w:val="1"/>
    </w:lvl>
  </w:abstractNum>
  <w:abstractNum w:abstractNumId="5">
    <w:nsid w:val="49D0FEAC"/>
    <w:multiLevelType w:val="hybridMultilevel"/>
    <w:lvl w:ilvl="0">
      <w:lvlJc w:val="left"/>
      <w:lvlText w:val="1"/>
      <w:numFmt w:val="bullet"/>
      <w:start w:val="1"/>
    </w:lvl>
  </w:abstractNum>
  <w:abstractNum w:abstractNumId="6">
    <w:nsid w:val="4BEE5A5B"/>
    <w:multiLevelType w:val="hybridMultilevel"/>
    <w:lvl w:ilvl="0">
      <w:lvlJc w:val="left"/>
      <w:lvlText w:val="2"/>
      <w:numFmt w:val="bullet"/>
      <w:start w:val="1"/>
    </w:lvl>
  </w:abstractNum>
  <w:abstractNum w:abstractNumId="7">
    <w:nsid w:val="5551B9F3"/>
    <w:multiLevelType w:val="hybridMultilevel"/>
    <w:lvl w:ilvl="0">
      <w:lvlJc w:val="left"/>
      <w:lvlText w:val="3"/>
      <w:numFmt w:val="bullet"/>
      <w:start w:val="1"/>
    </w:lvl>
  </w:abstractNum>
  <w:abstractNum w:abstractNumId="8">
    <w:nsid w:val="24F6AB8E"/>
    <w:multiLevelType w:val="hybridMultilevel"/>
    <w:lvl w:ilvl="0">
      <w:lvlJc w:val="left"/>
      <w:lvlText w:val="4"/>
      <w:numFmt w:val="bullet"/>
      <w:start w:val="1"/>
    </w:lvl>
  </w:abstractNum>
  <w:abstractNum w:abstractNumId="9">
    <w:nsid w:val="634C574C"/>
    <w:multiLevelType w:val="hybridMultilevel"/>
    <w:lvl w:ilvl="0">
      <w:lvlJc w:val="left"/>
      <w:lvlText w:val="●"/>
      <w:numFmt w:val="bullet"/>
      <w:start w:val="1"/>
    </w:lvl>
  </w:abstractNum>
  <w:abstractNum w:abstractNumId="10">
    <w:nsid w:val="24E99DD7"/>
    <w:multiLevelType w:val="hybridMultilevel"/>
    <w:lvl w:ilvl="0">
      <w:lvlJc w:val="left"/>
      <w:lvlText w:val="●"/>
      <w:numFmt w:val="bullet"/>
      <w:start w:val="1"/>
    </w:lvl>
  </w:abstractNum>
  <w:abstractNum w:abstractNumId="11">
    <w:nsid w:val="2A31B62D"/>
    <w:multiLevelType w:val="hybridMultilevel"/>
    <w:lvl w:ilvl="0">
      <w:lvlJc w:val="left"/>
      <w:lvlText w:val="●"/>
      <w:numFmt w:val="bullet"/>
      <w:start w:val="1"/>
    </w:lvl>
  </w:abstractNum>
  <w:abstractNum w:abstractNumId="12">
    <w:nsid w:val="1849C29B"/>
    <w:multiLevelType w:val="hybridMultilevel"/>
    <w:lvl w:ilvl="0">
      <w:lvlJc w:val="left"/>
      <w:lvlText w:val="4"/>
      <w:numFmt w:val="bullet"/>
      <w:start w:val="1"/>
    </w:lvl>
  </w:abstractNum>
  <w:abstractNum w:abstractNumId="13">
    <w:nsid w:val="7DFF9D09"/>
    <w:multiLevelType w:val="hybridMultilevel"/>
    <w:lvl w:ilvl="0">
      <w:lvlJc w:val="left"/>
      <w:lvlText w:val="4"/>
      <w:numFmt w:val="bullet"/>
      <w:start w:val="1"/>
    </w:lvl>
  </w:abstractNum>
  <w:abstractNum w:abstractNumId="14">
    <w:nsid w:val="754342"/>
    <w:multiLevelType w:val="hybridMultilevel"/>
    <w:lvl w:ilvl="0">
      <w:lvlJc w:val="left"/>
      <w:lvlText w:val="%1"/>
      <w:numFmt w:val="decimal"/>
      <w:start w:val="23"/>
    </w:lvl>
  </w:abstractNum>
  <w:abstractNum w:abstractNumId="15">
    <w:nsid w:val="69E7F3E5"/>
    <w:multiLevelType w:val="hybridMultilevel"/>
    <w:lvl w:ilvl="0">
      <w:lvlJc w:val="left"/>
      <w:lvlText w:val="%1"/>
      <w:numFmt w:val="decimal"/>
      <w:start w:val="27"/>
    </w:lvl>
  </w:abstractNum>
  <w:abstractNum w:abstractNumId="16">
    <w:nsid w:val="2A6DE806"/>
    <w:multiLevelType w:val="hybridMultilevel"/>
    <w:lvl w:ilvl="0">
      <w:lvlJc w:val="left"/>
      <w:lvlText w:val="%1"/>
      <w:numFmt w:val="decimal"/>
      <w:start w:val="33"/>
    </w:lvl>
  </w:abstractNum>
  <w:abstractNum w:abstractNumId="17">
    <w:nsid w:val="1816F8C4"/>
    <w:multiLevelType w:val="hybridMultilevel"/>
    <w:lvl w:ilvl="0">
      <w:lvlJc w:val="left"/>
      <w:lvlText w:val="%1"/>
      <w:numFmt w:val="decimal"/>
      <w:start w:val="37"/>
    </w:lvl>
  </w:abstractNum>
  <w:abstractNum w:abstractNumId="18">
    <w:nsid w:val="37DF2233"/>
    <w:multiLevelType w:val="hybridMultilevel"/>
    <w:lvl w:ilvl="0">
      <w:lvlJc w:val="left"/>
      <w:lvlText w:val="%1"/>
      <w:numFmt w:val="decimal"/>
      <w:start w:val="39"/>
    </w:lvl>
  </w:abstractNum>
  <w:abstractNum w:abstractNumId="19">
    <w:nsid w:val="7AB49DAF"/>
    <w:multiLevelType w:val="hybridMultilevel"/>
    <w:lvl w:ilvl="0">
      <w:lvlJc w:val="left"/>
      <w:lvlText w:val="%1"/>
      <w:numFmt w:val="decimal"/>
      <w:start w:val="46"/>
    </w:lvl>
  </w:abstractNum>
  <w:abstractNum w:abstractNumId="20">
    <w:nsid w:val="759F82CD"/>
    <w:multiLevelType w:val="hybridMultilevel"/>
    <w:lvl w:ilvl="0">
      <w:lvlJc w:val="left"/>
      <w:lvlText w:val="%1"/>
      <w:numFmt w:val="decimal"/>
      <w:start w:val="50"/>
    </w:lvl>
  </w:abstractNum>
  <w:abstractNum w:abstractNumId="21">
    <w:nsid w:val="61E74EA3"/>
    <w:multiLevelType w:val="hybridMultilevel"/>
    <w:lvl w:ilvl="0">
      <w:lvlJc w:val="left"/>
      <w:lvlText w:val="%1"/>
      <w:numFmt w:val="decimal"/>
      <w:start w:val="59"/>
    </w:lvl>
  </w:abstractNum>
  <w:abstractNum w:abstractNumId="22">
    <w:nsid w:val="597B4D84"/>
    <w:multiLevelType w:val="hybridMultilevel"/>
    <w:lvl w:ilvl="0">
      <w:lvlJc w:val="left"/>
      <w:lvlText w:val="%1"/>
      <w:numFmt w:val="decimal"/>
      <w:start w:val="64"/>
    </w:lvl>
  </w:abstractNum>
  <w:abstractNum w:abstractNumId="23">
    <w:nsid w:val="F819E7F"/>
    <w:multiLevelType w:val="hybridMultilevel"/>
    <w:lvl w:ilvl="0">
      <w:lvlJc w:val="left"/>
      <w:lvlText w:val="%1"/>
      <w:numFmt w:val="decimal"/>
      <w:start w:val="71"/>
    </w:lvl>
  </w:abstractNum>
  <w:abstractNum w:abstractNumId="24">
    <w:nsid w:val="57C7D42D"/>
    <w:multiLevelType w:val="hybridMultilevel"/>
    <w:lvl w:ilvl="0">
      <w:lvlJc w:val="left"/>
      <w:lvlText w:val="%1"/>
      <w:numFmt w:val="decimal"/>
      <w:start w:val="74"/>
    </w:lvl>
  </w:abstractNum>
  <w:abstractNum w:abstractNumId="25">
    <w:nsid w:val="312167AD"/>
    <w:multiLevelType w:val="hybridMultilevel"/>
    <w:lvl w:ilvl="0">
      <w:lvlJc w:val="left"/>
      <w:lvlText w:val="%1"/>
      <w:numFmt w:val="decimal"/>
      <w:start w:val="77"/>
    </w:lvl>
  </w:abstractNum>
  <w:abstractNum w:abstractNumId="26">
    <w:nsid w:val="631B64D4"/>
    <w:multiLevelType w:val="hybridMultilevel"/>
    <w:lvl w:ilvl="0">
      <w:lvlJc w:val="left"/>
      <w:lvlText w:val="%1"/>
      <w:numFmt w:val="decimal"/>
      <w:start w:val="77"/>
    </w:lvl>
  </w:abstractNum>
  <w:abstractNum w:abstractNumId="27">
    <w:nsid w:val="78B5E776"/>
    <w:multiLevelType w:val="hybridMultilevel"/>
    <w:lvl w:ilvl="0">
      <w:lvlJc w:val="left"/>
      <w:lvlText w:val="%1"/>
      <w:numFmt w:val="decimal"/>
      <w:start w:val="79"/>
    </w:lvl>
  </w:abstractNum>
  <w:abstractNum w:abstractNumId="28">
    <w:nsid w:val="75486E47"/>
    <w:multiLevelType w:val="hybridMultilevel"/>
    <w:lvl w:ilvl="0">
      <w:lvlJc w:val="left"/>
      <w:lvlText w:val="%1"/>
      <w:numFmt w:val="decimal"/>
      <w:start w:val="82"/>
    </w:lvl>
  </w:abstractNum>
  <w:abstractNum w:abstractNumId="29">
    <w:nsid w:val="6E534CDE"/>
    <w:multiLevelType w:val="hybridMultilevel"/>
    <w:lvl w:ilvl="0">
      <w:lvlJc w:val="left"/>
      <w:lvlText w:val="%1"/>
      <w:numFmt w:val="decimal"/>
      <w:start w:val="84"/>
    </w:lvl>
  </w:abstractNum>
  <w:abstractNum w:abstractNumId="30">
    <w:nsid w:val="1A0DDE32"/>
    <w:multiLevelType w:val="hybridMultilevel"/>
    <w:lvl w:ilvl="0">
      <w:lvlJc w:val="left"/>
      <w:lvlText w:val="%1"/>
      <w:numFmt w:val="decimal"/>
      <w:start w:val="92"/>
    </w:lvl>
  </w:abstractNum>
  <w:abstractNum w:abstractNumId="31">
    <w:nsid w:val="65968C1C"/>
    <w:multiLevelType w:val="hybridMultilevel"/>
    <w:lvl w:ilvl="0">
      <w:lvlJc w:val="left"/>
      <w:lvlText w:val="%1"/>
      <w:numFmt w:val="decimal"/>
      <w:start w:val="93"/>
    </w:lvl>
  </w:abstractNum>
  <w:abstractNum w:abstractNumId="32">
    <w:nsid w:val="46263DEC"/>
    <w:multiLevelType w:val="hybridMultilevel"/>
    <w:lvl w:ilvl="0">
      <w:lvlJc w:val="left"/>
      <w:lvlText w:val="%1"/>
      <w:numFmt w:val="decimal"/>
      <w:start w:val="109"/>
    </w:lvl>
  </w:abstractNum>
  <w:abstractNum w:abstractNumId="33">
    <w:nsid w:val="260D8C4A"/>
    <w:multiLevelType w:val="hybridMultilevel"/>
    <w:lvl w:ilvl="0">
      <w:lvlJc w:val="left"/>
      <w:lvlText w:val="%1"/>
      <w:numFmt w:val="decimal"/>
      <w:start w:val="112"/>
    </w:lvl>
  </w:abstractNum>
  <w:abstractNum w:abstractNumId="34">
    <w:nsid w:val="73D4D3C4"/>
    <w:multiLevelType w:val="hybridMultilevel"/>
    <w:lvl w:ilvl="0">
      <w:lvlJc w:val="left"/>
      <w:lvlText w:val="%1"/>
      <w:numFmt w:val="decimal"/>
      <w:start w:val="117"/>
    </w:lvl>
  </w:abstractNum>
  <w:abstractNum w:abstractNumId="35">
    <w:nsid w:val="746F2E30"/>
    <w:multiLevelType w:val="hybridMultilevel"/>
    <w:lvl w:ilvl="0">
      <w:lvlJc w:val="left"/>
      <w:lvlText w:val="%1"/>
      <w:numFmt w:val="decimal"/>
      <w:start w:val="117"/>
    </w:lvl>
  </w:abstractNum>
  <w:abstractNum w:abstractNumId="36">
    <w:nsid w:val="6FDE8AF6"/>
    <w:multiLevelType w:val="hybridMultilevel"/>
    <w:lvl w:ilvl="0">
      <w:lvlJc w:val="left"/>
      <w:lvlText w:val="6"/>
      <w:numFmt w:val="bullet"/>
      <w:start w:val="1"/>
    </w:lvl>
  </w:abstractNum>
  <w:abstractNum w:abstractNumId="37">
    <w:nsid w:val="3FC32E20"/>
    <w:multiLevelType w:val="hybridMultilevel"/>
    <w:lvl w:ilvl="0">
      <w:lvlJc w:val="left"/>
      <w:lvlText w:val="●"/>
      <w:numFmt w:val="bullet"/>
      <w:start w:val="1"/>
    </w:lvl>
  </w:abstractNum>
  <w:abstractNum w:abstractNumId="38">
    <w:nsid w:val="49C0E823"/>
    <w:multiLevelType w:val="hybridMultilevel"/>
    <w:lvl w:ilvl="0">
      <w:lvlJc w:val="left"/>
      <w:lvlText w:val="(%1)"/>
      <w:numFmt w:val="decimal"/>
      <w:start w:val="1"/>
    </w:lvl>
  </w:abstractNum>
  <w:abstractNum w:abstractNumId="39">
    <w:nsid w:val="14D53685"/>
    <w:multiLevelType w:val="hybridMultilevel"/>
    <w:lvl w:ilvl="0">
      <w:lvlJc w:val="left"/>
      <w:lvlText w:val="●"/>
      <w:numFmt w:val="bullet"/>
      <w:start w:val="1"/>
    </w:lvl>
  </w:abstractNum>
  <w:abstractNum w:abstractNumId="40">
    <w:nsid w:val="230F856C"/>
    <w:multiLevelType w:val="hybridMultilevel"/>
    <w:lvl w:ilvl="0">
      <w:lvlJc w:val="left"/>
      <w:lvlText w:val="●"/>
      <w:numFmt w:val="bullet"/>
      <w:start w:val="1"/>
    </w:lvl>
  </w:abstractNum>
  <w:abstractNum w:abstractNumId="41">
    <w:nsid w:val="6EAA85FB"/>
    <w:multiLevelType w:val="hybridMultilevel"/>
    <w:lvl w:ilvl="0">
      <w:lvlJc w:val="left"/>
      <w:lvlText w:val="●"/>
      <w:numFmt w:val="bullet"/>
      <w:start w:val="1"/>
    </w:lvl>
  </w:abstractNum>
  <w:abstractNum w:abstractNumId="42">
    <w:nsid w:val="3F06ECB2"/>
    <w:multiLevelType w:val="hybridMultilevel"/>
    <w:lvl w:ilvl="0">
      <w:lvlJc w:val="left"/>
      <w:lvlText w:val="8"/>
      <w:numFmt w:val="bullet"/>
      <w:start w:val="1"/>
    </w:lvl>
  </w:abstractNum>
  <w:abstractNum w:abstractNumId="43">
    <w:nsid w:val="3B594807"/>
    <w:multiLevelType w:val="hybridMultilevel"/>
    <w:lvl w:ilvl="0">
      <w:lvlJc w:val="left"/>
      <w:lvlText w:val="(%1)"/>
      <w:numFmt w:val="decimal"/>
      <w:start w:val="1"/>
    </w:lvl>
  </w:abstractNum>
  <w:abstractNum w:abstractNumId="44">
    <w:nsid w:val="6CAA2304"/>
    <w:multiLevelType w:val="hybridMultilevel"/>
    <w:lvl w:ilvl="0">
      <w:lvlJc w:val="left"/>
      <w:lvlText w:val="%1"/>
      <w:numFmt w:val="decimal"/>
      <w:start w:val="10"/>
    </w:lvl>
  </w:abstractNum>
  <w:abstractNum w:abstractNumId="45">
    <w:nsid w:val="3F7C2FF4"/>
    <w:multiLevelType w:val="hybridMultilevel"/>
    <w:lvl w:ilvl="0">
      <w:lvlJc w:val="left"/>
      <w:lvlText w:val="●"/>
      <w:numFmt w:val="bullet"/>
      <w:start w:val="1"/>
    </w:lvl>
  </w:abstractNum>
  <w:abstractNum w:abstractNumId="46">
    <w:nsid w:val="25413BEC"/>
    <w:multiLevelType w:val="hybridMultilevel"/>
    <w:lvl w:ilvl="0">
      <w:lvlJc w:val="left"/>
      <w:lvlText w:val="●"/>
      <w:numFmt w:val="bullet"/>
      <w:start w:val="1"/>
    </w:lvl>
  </w:abstractNum>
  <w:abstractNum w:abstractNumId="47">
    <w:nsid w:val="17180B0B"/>
    <w:multiLevelType w:val="hybridMultilevel"/>
    <w:lvl w:ilvl="0">
      <w:lvlJc w:val="left"/>
      <w:lvlText w:val="●"/>
      <w:numFmt w:val="bullet"/>
      <w:start w:val="1"/>
    </w:lvl>
  </w:abstractNum>
  <w:abstractNum w:abstractNumId="48">
    <w:nsid w:val="579328B9"/>
    <w:multiLevelType w:val="hybridMultilevel"/>
    <w:lvl w:ilvl="0">
      <w:lvlJc w:val="left"/>
      <w:lvlText w:val="%1"/>
      <w:numFmt w:val="decimal"/>
      <w:start w:val="12"/>
    </w:lvl>
  </w:abstractNum>
  <w:abstractNum w:abstractNumId="49">
    <w:nsid w:val="5D205E20"/>
    <w:multiLevelType w:val="hybridMultilevel"/>
    <w:lvl w:ilvl="0">
      <w:lvlJc w:val="left"/>
      <w:lvlText w:val="●"/>
      <w:numFmt w:val="bullet"/>
      <w:start w:val="1"/>
    </w:lvl>
  </w:abstractNum>
  <w:abstractNum w:abstractNumId="50">
    <w:nsid w:val="11CCA8BA"/>
    <w:multiLevelType w:val="hybridMultilevel"/>
    <w:lvl w:ilvl="0">
      <w:lvlJc w:val="left"/>
      <w:lvlText w:val="●"/>
      <w:numFmt w:val="bullet"/>
      <w:start w:val="1"/>
    </w:lvl>
  </w:abstractNum>
  <w:abstractNum w:abstractNumId="51">
    <w:nsid w:val="4D32AB86"/>
    <w:multiLevelType w:val="hybridMultilevel"/>
    <w:lvl w:ilvl="0">
      <w:lvlJc w:val="left"/>
      <w:lvlText w:val="●"/>
      <w:numFmt w:val="bullet"/>
      <w:start w:val="1"/>
    </w:lvl>
  </w:abstractNum>
  <w:abstractNum w:abstractNumId="52">
    <w:nsid w:val="3F07ACC3"/>
    <w:multiLevelType w:val="hybridMultilevel"/>
    <w:lvl w:ilvl="0">
      <w:lvlJc w:val="left"/>
      <w:lvlText w:val="●"/>
      <w:numFmt w:val="bullet"/>
      <w:start w:val="1"/>
    </w:lvl>
  </w:abstractNum>
  <w:abstractNum w:abstractNumId="53">
    <w:nsid w:val="6B47F63E"/>
    <w:multiLevelType w:val="hybridMultilevel"/>
    <w:lvl w:ilvl="0">
      <w:lvlJc w:val="left"/>
      <w:lvlText w:val="●"/>
      <w:numFmt w:val="bullet"/>
      <w:start w:val="1"/>
    </w:lvl>
  </w:abstractNum>
  <w:abstractNum w:abstractNumId="54">
    <w:nsid w:val="5CB44A05"/>
    <w:multiLevelType w:val="hybridMultilevel"/>
    <w:lvl w:ilvl="0">
      <w:lvlJc w:val="left"/>
      <w:lvlText w:val="%1"/>
      <w:numFmt w:val="decimal"/>
      <w:start w:val="14"/>
    </w:lvl>
  </w:abstractNum>
  <w:abstractNum w:abstractNumId="55">
    <w:nsid w:val="16CF80F1"/>
    <w:multiLevelType w:val="hybridMultilevel"/>
    <w:lvl w:ilvl="0">
      <w:lvlJc w:val="left"/>
      <w:lvlText w:val="●"/>
      <w:numFmt w:val="bullet"/>
      <w:start w:val="1"/>
    </w:lvl>
  </w:abstractNum>
  <w:abstractNum w:abstractNumId="56">
    <w:nsid w:val="1C695DEC"/>
    <w:multiLevelType w:val="hybridMultilevel"/>
    <w:lvl w:ilvl="0">
      <w:lvlJc w:val="left"/>
      <w:lvlText w:val="%1"/>
      <w:numFmt w:val="decimal"/>
      <w:start w:val="16"/>
    </w:lvl>
  </w:abstractNum>
  <w:abstractNum w:abstractNumId="57">
    <w:nsid w:val="3FCFAED9"/>
    <w:multiLevelType w:val="hybridMultilevel"/>
    <w:lvl w:ilvl="0">
      <w:lvlJc w:val="left"/>
      <w:lvlText w:val="●"/>
      <w:numFmt w:val="bullet"/>
      <w:start w:val="1"/>
    </w:lvl>
  </w:abstractNum>
  <w:abstractNum w:abstractNumId="58">
    <w:nsid w:val="F856867"/>
    <w:multiLevelType w:val="hybridMultilevel"/>
    <w:lvl w:ilvl="0">
      <w:lvlJc w:val="left"/>
      <w:lvlText w:val="●"/>
      <w:numFmt w:val="bullet"/>
      <w:start w:val="1"/>
    </w:lvl>
  </w:abstractNum>
  <w:abstractNum w:abstractNumId="59">
    <w:nsid w:val="11B1CC33"/>
    <w:multiLevelType w:val="hybridMultilevel"/>
    <w:lvl w:ilvl="0">
      <w:lvlJc w:val="left"/>
      <w:lvlText w:val="●"/>
      <w:numFmt w:val="bullet"/>
      <w:start w:val="1"/>
    </w:lvl>
  </w:abstractNum>
  <w:abstractNum w:abstractNumId="60">
    <w:nsid w:val="2E22FBB7"/>
    <w:multiLevelType w:val="hybridMultilevel"/>
    <w:lvl w:ilvl="0">
      <w:lvlJc w:val="left"/>
      <w:lvlText w:val="●"/>
      <w:numFmt w:val="bullet"/>
      <w:start w:val="1"/>
    </w:lvl>
  </w:abstractNum>
  <w:abstractNum w:abstractNumId="61">
    <w:nsid w:val="29934699"/>
    <w:multiLevelType w:val="hybridMultilevel"/>
    <w:lvl w:ilvl="0">
      <w:lvlJc w:val="left"/>
      <w:lvlText w:val="●"/>
      <w:numFmt w:val="bullet"/>
      <w:start w:val="1"/>
    </w:lvl>
  </w:abstractNum>
  <w:abstractNum w:abstractNumId="62">
    <w:nsid w:val="77485850"/>
    <w:multiLevelType w:val="hybridMultilevel"/>
    <w:lvl w:ilvl="0">
      <w:lvlJc w:val="left"/>
      <w:lvlText w:val="●"/>
      <w:numFmt w:val="bullet"/>
      <w:start w:val="1"/>
    </w:lvl>
  </w:abstractNum>
  <w:abstractNum w:abstractNumId="63">
    <w:nsid w:val="744939A3"/>
    <w:multiLevelType w:val="hybridMultilevel"/>
    <w:lvl w:ilvl="0">
      <w:lvlJc w:val="left"/>
      <w:lvlText w:val="●"/>
      <w:numFmt w:val="bullet"/>
      <w:start w:val="1"/>
    </w:lvl>
  </w:abstractNum>
  <w:abstractNum w:abstractNumId="64">
    <w:nsid w:val="4FA0D2E3"/>
    <w:multiLevelType w:val="hybridMultilevel"/>
    <w:lvl w:ilvl="0">
      <w:lvlJc w:val="left"/>
      <w:lvlText w:val="●"/>
      <w:numFmt w:val="bullet"/>
      <w:start w:val="1"/>
    </w:lvl>
  </w:abstractNum>
  <w:abstractNum w:abstractNumId="65">
    <w:nsid w:val="6B1D2C14"/>
    <w:multiLevelType w:val="hybridMultilevel"/>
    <w:lvl w:ilvl="0">
      <w:lvlJc w:val="left"/>
      <w:lvlText w:val="●"/>
      <w:numFmt w:val="bullet"/>
      <w:start w:val="1"/>
    </w:lvl>
  </w:abstractNum>
  <w:abstractNum w:abstractNumId="66">
    <w:nsid w:val="68B867D3"/>
    <w:multiLevelType w:val="hybridMultilevel"/>
    <w:lvl w:ilvl="0">
      <w:lvlJc w:val="left"/>
      <w:lvlText w:val="●"/>
      <w:numFmt w:val="bullet"/>
      <w:start w:val="1"/>
    </w:lvl>
  </w:abstractNum>
  <w:abstractNum w:abstractNumId="67">
    <w:nsid w:val="3F7F5DD9"/>
    <w:multiLevelType w:val="hybridMultilevel"/>
    <w:lvl w:ilvl="0">
      <w:lvlJc w:val="left"/>
      <w:lvlText w:val="●"/>
      <w:numFmt w:val="bullet"/>
      <w:start w:val="1"/>
    </w:lvl>
  </w:abstractNum>
  <w:abstractNum w:abstractNumId="68">
    <w:nsid w:val="2AE05A34"/>
    <w:multiLevelType w:val="hybridMultilevel"/>
    <w:lvl w:ilvl="0">
      <w:lvlJc w:val="left"/>
      <w:lvlText w:val="●"/>
      <w:numFmt w:val="bullet"/>
      <w:start w:val="1"/>
    </w:lvl>
  </w:abstractNum>
  <w:abstractNum w:abstractNumId="69">
    <w:nsid w:val="32794FF7"/>
    <w:multiLevelType w:val="hybridMultilevel"/>
    <w:lvl w:ilvl="0">
      <w:lvlJc w:val="left"/>
      <w:lvlText w:val="●"/>
      <w:numFmt w:val="bullet"/>
      <w:start w:val="1"/>
    </w:lvl>
  </w:abstractNum>
  <w:abstractNum w:abstractNumId="70">
    <w:nsid w:val="5454945E"/>
    <w:multiLevelType w:val="hybridMultilevel"/>
    <w:lvl w:ilvl="0">
      <w:lvlJc w:val="left"/>
      <w:lvlText w:val="●"/>
      <w:numFmt w:val="bullet"/>
      <w:start w:val="1"/>
    </w:lvl>
  </w:abstractNum>
  <w:abstractNum w:abstractNumId="71">
    <w:nsid w:val="4DEFDFA0"/>
    <w:multiLevelType w:val="hybridMultilevel"/>
    <w:lvl w:ilvl="0">
      <w:lvlJc w:val="left"/>
      <w:lvlText w:val="●"/>
      <w:numFmt w:val="bullet"/>
      <w:start w:val="1"/>
    </w:lvl>
  </w:abstractNum>
  <w:abstractNum w:abstractNumId="72">
    <w:nsid w:val="2123D5F2"/>
    <w:multiLevelType w:val="hybridMultilevel"/>
    <w:lvl w:ilvl="0">
      <w:lvlJc w:val="left"/>
      <w:lvlText w:val="%1"/>
      <w:numFmt w:val="decimal"/>
      <w:start w:val="18"/>
    </w:lvl>
  </w:abstractNum>
  <w:abstractNum w:abstractNumId="73">
    <w:nsid w:val="135B8110"/>
    <w:multiLevelType w:val="hybridMultilevel"/>
    <w:lvl w:ilvl="0">
      <w:lvlJc w:val="left"/>
      <w:lvlText w:val="●"/>
      <w:numFmt w:val="bullet"/>
      <w:start w:val="1"/>
    </w:lvl>
  </w:abstractNum>
  <w:abstractNum w:abstractNumId="74">
    <w:nsid w:val="94927A8"/>
    <w:multiLevelType w:val="hybridMultilevel"/>
    <w:lvl w:ilvl="0">
      <w:lvlJc w:val="left"/>
      <w:lvlText w:val="●"/>
      <w:numFmt w:val="bullet"/>
      <w:start w:val="1"/>
    </w:lvl>
  </w:abstractNum>
  <w:abstractNum w:abstractNumId="75">
    <w:nsid w:val="DCDF8F6"/>
    <w:multiLevelType w:val="hybridMultilevel"/>
    <w:lvl w:ilvl="0">
      <w:lvlJc w:val="left"/>
      <w:lvlText w:val="●"/>
      <w:numFmt w:val="bullet"/>
      <w:start w:val="1"/>
    </w:lvl>
  </w:abstractNum>
  <w:abstractNum w:abstractNumId="76">
    <w:nsid w:val="52D7B105"/>
    <w:multiLevelType w:val="hybridMultilevel"/>
    <w:lvl w:ilvl="0">
      <w:lvlJc w:val="left"/>
      <w:lvlText w:val="●"/>
      <w:numFmt w:val="bullet"/>
      <w:start w:val="1"/>
    </w:lvl>
  </w:abstractNum>
  <w:abstractNum w:abstractNumId="77">
    <w:nsid w:val="2E8A6394"/>
    <w:multiLevelType w:val="hybridMultilevel"/>
    <w:lvl w:ilvl="0">
      <w:lvlJc w:val="left"/>
      <w:lvlText w:val="●"/>
      <w:numFmt w:val="bullet"/>
      <w:start w:val="1"/>
    </w:lvl>
  </w:abstractNum>
  <w:abstractNum w:abstractNumId="78">
    <w:nsid w:val="24E60401"/>
    <w:multiLevelType w:val="hybridMultilevel"/>
    <w:lvl w:ilvl="0">
      <w:lvlJc w:val="left"/>
      <w:lvlText w:val="●"/>
      <w:numFmt w:val="bullet"/>
      <w:start w:val="1"/>
    </w:lvl>
  </w:abstractNum>
  <w:abstractNum w:abstractNumId="79">
    <w:nsid w:val="2A6AD9BE"/>
    <w:multiLevelType w:val="hybridMultilevel"/>
    <w:lvl w:ilvl="0">
      <w:lvlJc w:val="left"/>
      <w:lvlText w:val="●"/>
      <w:numFmt w:val="bullet"/>
      <w:start w:val="1"/>
    </w:lvl>
  </w:abstractNum>
  <w:abstractNum w:abstractNumId="80">
    <w:nsid w:val="BAAC1B4"/>
    <w:multiLevelType w:val="hybridMultilevel"/>
    <w:lvl w:ilvl="0">
      <w:lvlJc w:val="left"/>
      <w:lvlText w:val="●"/>
      <w:numFmt w:val="bullet"/>
      <w:start w:val="1"/>
    </w:lvl>
  </w:abstractNum>
  <w:abstractNum w:abstractNumId="81">
    <w:nsid w:val="36B2ACBC"/>
    <w:multiLevelType w:val="hybridMultilevel"/>
    <w:lvl w:ilvl="0">
      <w:lvlJc w:val="left"/>
      <w:lvlText w:val="●"/>
      <w:numFmt w:val="bullet"/>
      <w:start w:val="1"/>
    </w:lvl>
  </w:abstractNum>
  <w:abstractNum w:abstractNumId="82">
    <w:nsid w:val="779D8544"/>
    <w:multiLevelType w:val="hybridMultilevel"/>
    <w:lvl w:ilvl="0">
      <w:lvlJc w:val="left"/>
      <w:lvlText w:val="●"/>
      <w:numFmt w:val="bullet"/>
      <w:start w:val="1"/>
    </w:lvl>
  </w:abstractNum>
  <w:abstractNum w:abstractNumId="83">
    <w:nsid w:val="4AB26E78"/>
    <w:multiLevelType w:val="hybridMultilevel"/>
    <w:lvl w:ilvl="0">
      <w:lvlJc w:val="left"/>
      <w:lvlText w:val="●"/>
      <w:numFmt w:val="bullet"/>
      <w:start w:val="1"/>
    </w:lvl>
  </w:abstractNum>
  <w:abstractNum w:abstractNumId="84">
    <w:nsid w:val="21FAA2FA"/>
    <w:multiLevelType w:val="hybridMultilevel"/>
    <w:lvl w:ilvl="0">
      <w:lvlJc w:val="left"/>
      <w:lvlText w:val="●"/>
      <w:numFmt w:val="bullet"/>
      <w:start w:val="1"/>
    </w:lvl>
  </w:abstractNum>
  <w:abstractNum w:abstractNumId="85">
    <w:nsid w:val="5451CF49"/>
    <w:multiLevelType w:val="hybridMultilevel"/>
    <w:lvl w:ilvl="0">
      <w:lvlJc w:val="left"/>
      <w:lvlText w:val="●"/>
      <w:numFmt w:val="bullet"/>
      <w:start w:val="1"/>
    </w:lvl>
  </w:abstractNum>
  <w:abstractNum w:abstractNumId="86">
    <w:nsid w:val="6181EF69"/>
    <w:multiLevelType w:val="hybridMultilevel"/>
    <w:lvl w:ilvl="0">
      <w:lvlJc w:val="left"/>
      <w:lvlText w:val="%1"/>
      <w:numFmt w:val="decimal"/>
      <w:start w:val="20"/>
    </w:lvl>
  </w:abstractNum>
  <w:abstractNum w:abstractNumId="87">
    <w:nsid w:val="3E6400E6"/>
    <w:multiLevelType w:val="hybridMultilevel"/>
    <w:lvl w:ilvl="0">
      <w:lvlJc w:val="left"/>
      <w:lvlText w:val="(%1)"/>
      <w:numFmt w:val="decimal"/>
      <w:start w:val="1"/>
    </w:lvl>
  </w:abstractNum>
  <w:abstractNum w:abstractNumId="88">
    <w:nsid w:val="14217E23"/>
    <w:multiLevelType w:val="hybridMultilevel"/>
    <w:lvl w:ilvl="0">
      <w:lvlJc w:val="left"/>
      <w:lvlText w:val="%1"/>
      <w:numFmt w:val="decimal"/>
      <w:start w:val="22"/>
    </w:lvl>
  </w:abstractNum>
  <w:abstractNum w:abstractNumId="89">
    <w:nsid w:val="710757D0"/>
    <w:multiLevelType w:val="hybridMultilevel"/>
    <w:lvl w:ilvl="0">
      <w:lvlJc w:val="left"/>
      <w:lvlText w:val="%1"/>
      <w:numFmt w:val="decimal"/>
      <w:start w:val="24"/>
    </w:lvl>
  </w:abstractNum>
  <w:abstractNum w:abstractNumId="90">
    <w:nsid w:val="5015CD1A"/>
    <w:multiLevelType w:val="hybridMultilevel"/>
    <w:lvl w:ilvl="0">
      <w:lvlJc w:val="left"/>
      <w:lvlText w:val="%1"/>
      <w:numFmt w:val="decimal"/>
      <w:start w:val="26"/>
    </w:lvl>
  </w:abstractNum>
  <w:abstractNum w:abstractNumId="91">
    <w:nsid w:val="424479DA"/>
    <w:multiLevelType w:val="hybridMultilevel"/>
    <w:lvl w:ilvl="0">
      <w:lvlJc w:val="left"/>
      <w:lvlText w:val="●"/>
      <w:numFmt w:val="bullet"/>
      <w:start w:val="1"/>
    </w:lvl>
  </w:abstractNum>
  <w:abstractNum w:abstractNumId="92">
    <w:nsid w:val="1A9A9E69"/>
    <w:multiLevelType w:val="hybridMultilevel"/>
    <w:lvl w:ilvl="0">
      <w:lvlJc w:val="left"/>
      <w:lvlText w:val="●"/>
      <w:numFmt w:val="bullet"/>
      <w:start w:val="1"/>
    </w:lvl>
  </w:abstractNum>
  <w:abstractNum w:abstractNumId="93">
    <w:nsid w:val="475E256A"/>
    <w:multiLevelType w:val="hybridMultilevel"/>
    <w:lvl w:ilvl="0">
      <w:lvlJc w:val="left"/>
      <w:lvlText w:val="●"/>
      <w:numFmt w:val="bullet"/>
      <w:start w:val="1"/>
    </w:lvl>
  </w:abstractNum>
  <w:abstractNum w:abstractNumId="94">
    <w:nsid w:val="368DB37E"/>
    <w:multiLevelType w:val="hybridMultilevel"/>
    <w:lvl w:ilvl="0">
      <w:lvlJc w:val="left"/>
      <w:lvlText w:val="●"/>
      <w:numFmt w:val="bullet"/>
      <w:start w:val="1"/>
    </w:lvl>
  </w:abstractNum>
  <w:abstractNum w:abstractNumId="95">
    <w:nsid w:val="6A3B714C"/>
    <w:multiLevelType w:val="hybridMultilevel"/>
    <w:lvl w:ilvl="0">
      <w:lvlJc w:val="left"/>
      <w:lvlText w:val="●"/>
      <w:numFmt w:val="bullet"/>
      <w:start w:val="1"/>
    </w:lvl>
  </w:abstractNum>
  <w:abstractNum w:abstractNumId="96">
    <w:nsid w:val="327B517E"/>
    <w:multiLevelType w:val="hybridMultilevel"/>
    <w:lvl w:ilvl="0">
      <w:lvlJc w:val="left"/>
      <w:lvlText w:val="●"/>
      <w:numFmt w:val="bullet"/>
      <w:start w:val="1"/>
    </w:lvl>
  </w:abstractNum>
  <w:abstractNum w:abstractNumId="97">
    <w:nsid w:val="1F461B51"/>
    <w:multiLevelType w:val="hybridMultilevel"/>
    <w:lvl w:ilvl="0">
      <w:lvlJc w:val="left"/>
      <w:lvlText w:val="%1"/>
      <w:numFmt w:val="decimal"/>
      <w:start w:val="28"/>
    </w:lvl>
  </w:abstractNum>
  <w:abstractNum w:abstractNumId="98">
    <w:nsid w:val="29BACF25"/>
    <w:multiLevelType w:val="hybridMultilevel"/>
    <w:lvl w:ilvl="0">
      <w:lvlJc w:val="left"/>
      <w:lvlText w:val="%1"/>
      <w:numFmt w:val="decimal"/>
      <w:start w:val="30"/>
    </w:lvl>
  </w:abstractNum>
  <w:abstractNum w:abstractNumId="99">
    <w:nsid w:val="5D5BABB3"/>
    <w:multiLevelType w:val="hybridMultilevel"/>
    <w:lvl w:ilvl="0">
      <w:lvlJc w:val="left"/>
      <w:lvlText w:val="●"/>
      <w:numFmt w:val="bullet"/>
      <w:start w:val="1"/>
    </w:lvl>
    <w:lvl w:ilvl="1">
      <w:lvlJc w:val="left"/>
      <w:lvlText w:val="●"/>
      <w:numFmt w:val="bullet"/>
      <w:start w:val="1"/>
    </w:lvl>
  </w:abstractNum>
  <w:abstractNum w:abstractNumId="100">
    <w:nsid w:val="51BF6B48"/>
    <w:multiLevelType w:val="hybridMultilevel"/>
    <w:lvl w:ilvl="0">
      <w:lvlJc w:val="left"/>
      <w:lvlText w:val="1"/>
      <w:numFmt w:val="bullet"/>
      <w:start w:val="1"/>
    </w:lvl>
  </w:abstractNum>
  <w:abstractNum w:abstractNumId="101">
    <w:nsid w:val="7E0F6384"/>
    <w:multiLevelType w:val="hybridMultilevel"/>
    <w:lvl w:ilvl="0">
      <w:lvlJc w:val="left"/>
      <w:lvlText w:val="4"/>
      <w:numFmt w:val="bullet"/>
      <w:start w:val="1"/>
    </w:lvl>
  </w:abstractNum>
  <w:abstractNum w:abstractNumId="102">
    <w:nsid w:val="2B4B8B53"/>
    <w:multiLevelType w:val="hybridMultilevel"/>
    <w:lvl w:ilvl="0">
      <w:lvlJc w:val="left"/>
      <w:lvlText w:val="5"/>
      <w:numFmt w:val="bullet"/>
      <w:start w:val="1"/>
    </w:lvl>
  </w:abstractNum>
  <w:abstractNum w:abstractNumId="103">
    <w:nsid w:val="72E3413A"/>
    <w:multiLevelType w:val="hybridMultilevel"/>
    <w:lvl w:ilvl="0">
      <w:lvlJc w:val="left"/>
      <w:lvlText w:val="●"/>
      <w:numFmt w:val="bullet"/>
      <w:start w:val="1"/>
    </w:lvl>
  </w:abstractNum>
  <w:abstractNum w:abstractNumId="104">
    <w:nsid w:val="116AE494"/>
    <w:multiLevelType w:val="hybridMultilevel"/>
    <w:lvl w:ilvl="0">
      <w:lvlJc w:val="left"/>
      <w:lvlText w:val="●"/>
      <w:numFmt w:val="bullet"/>
      <w:start w:val="1"/>
    </w:lvl>
  </w:abstractNum>
  <w:abstractNum w:abstractNumId="105">
    <w:nsid w:val="3494B2FB"/>
    <w:multiLevelType w:val="hybridMultilevel"/>
    <w:lvl w:ilvl="0">
      <w:lvlJc w:val="left"/>
      <w:lvlText w:val="●"/>
      <w:numFmt w:val="bullet"/>
      <w:start w:val="1"/>
    </w:lvl>
  </w:abstractNum>
  <w:abstractNum w:abstractNumId="106">
    <w:nsid w:val="B13A31"/>
    <w:multiLevelType w:val="hybridMultilevel"/>
    <w:lvl w:ilvl="0">
      <w:lvlJc w:val="left"/>
      <w:lvlText w:val="%1"/>
      <w:numFmt w:val="decimal"/>
      <w:start w:val="32"/>
    </w:lvl>
  </w:abstractNum>
  <w:abstractNum w:abstractNumId="107">
    <w:nsid w:val="64429599"/>
    <w:multiLevelType w:val="hybridMultilevel"/>
    <w:lvl w:ilvl="0">
      <w:lvlJc w:val="left"/>
      <w:lvlText w:val="●"/>
      <w:numFmt w:val="bullet"/>
      <w:start w:val="1"/>
    </w:lvl>
  </w:abstractNum>
  <w:abstractNum w:abstractNumId="108">
    <w:nsid w:val="631F1690"/>
    <w:multiLevelType w:val="hybridMultilevel"/>
    <w:lvl w:ilvl="0">
      <w:lvlJc w:val="left"/>
      <w:lvlText w:val="●"/>
      <w:numFmt w:val="bullet"/>
      <w:start w:val="1"/>
    </w:lvl>
  </w:abstractNum>
  <w:abstractNum w:abstractNumId="109">
    <w:nsid w:val="25973E32"/>
    <w:multiLevelType w:val="hybridMultilevel"/>
    <w:lvl w:ilvl="0">
      <w:lvlJc w:val="left"/>
      <w:lvlText w:val="%1"/>
      <w:numFmt w:val="decimal"/>
      <w:start w:val="34"/>
    </w:lvl>
  </w:abstractNum>
  <w:abstractNum w:abstractNumId="110">
    <w:nsid w:val="EAD6F57"/>
    <w:multiLevelType w:val="hybridMultilevel"/>
    <w:lvl w:ilvl="0">
      <w:lvlJc w:val="left"/>
      <w:lvlText w:val="●"/>
      <w:numFmt w:val="bullet"/>
      <w:start w:val="1"/>
    </w:lvl>
  </w:abstractNum>
  <w:abstractNum w:abstractNumId="111">
    <w:nsid w:val="6EC9D844"/>
    <w:multiLevelType w:val="hybridMultilevel"/>
    <w:lvl w:ilvl="0">
      <w:lvlJc w:val="left"/>
      <w:lvlText w:val="●"/>
      <w:numFmt w:val="bullet"/>
      <w:start w:val="1"/>
    </w:lvl>
  </w:abstractNum>
  <w:abstractNum w:abstractNumId="112">
    <w:nsid w:val="5C49EAEE"/>
    <w:multiLevelType w:val="hybridMultilevel"/>
    <w:lvl w:ilvl="0">
      <w:lvlJc w:val="left"/>
      <w:lvlText w:val="%1"/>
      <w:numFmt w:val="decimal"/>
      <w:start w:val="36"/>
    </w:lvl>
  </w:abstractNum>
  <w:abstractNum w:abstractNumId="113">
    <w:nsid w:val="64AF49B"/>
    <w:multiLevelType w:val="hybridMultilevel"/>
    <w:lvl w:ilvl="0">
      <w:lvlJc w:val="left"/>
      <w:lvlText w:val="●"/>
      <w:numFmt w:val="bullet"/>
      <w:start w:val="1"/>
    </w:lvl>
  </w:abstractNum>
  <w:abstractNum w:abstractNumId="114">
    <w:nsid w:val="397C46BC"/>
    <w:multiLevelType w:val="hybridMultilevel"/>
    <w:lvl w:ilvl="0">
      <w:lvlJc w:val="left"/>
      <w:lvlText w:val="●"/>
      <w:numFmt w:val="bullet"/>
      <w:start w:val="1"/>
    </w:lvl>
  </w:abstractNum>
  <w:abstractNum w:abstractNumId="115">
    <w:nsid w:val="7E448DE9"/>
    <w:multiLevelType w:val="hybridMultilevel"/>
    <w:lvl w:ilvl="0">
      <w:lvlJc w:val="left"/>
      <w:lvlText w:val="◯"/>
      <w:numFmt w:val="bullet"/>
      <w:start w:val="1"/>
    </w:lvl>
  </w:abstractNum>
  <w:abstractNum w:abstractNumId="116">
    <w:nsid w:val="5A9CC3E5"/>
    <w:multiLevelType w:val="hybridMultilevel"/>
    <w:lvl w:ilvl="0">
      <w:lvlJc w:val="left"/>
      <w:lvlText w:val="●"/>
      <w:numFmt w:val="bullet"/>
      <w:start w:val="1"/>
    </w:lvl>
  </w:abstractNum>
  <w:abstractNum w:abstractNumId="117">
    <w:nsid w:val="1AFE3625"/>
    <w:multiLevelType w:val="hybridMultilevel"/>
    <w:lvl w:ilvl="0">
      <w:lvlJc w:val="left"/>
      <w:lvlText w:val="%1"/>
      <w:numFmt w:val="decimal"/>
      <w:start w:val="38"/>
    </w:lvl>
  </w:abstractNum>
  <w:abstractNum w:abstractNumId="118">
    <w:nsid w:val="3CA88ECF"/>
    <w:multiLevelType w:val="hybridMultilevel"/>
    <w:lvl w:ilvl="0">
      <w:lvlJc w:val="left"/>
      <w:lvlText w:val="●"/>
      <w:numFmt w:val="bullet"/>
      <w:start w:val="1"/>
    </w:lvl>
  </w:abstractNum>
  <w:abstractNum w:abstractNumId="119">
    <w:nsid w:val="6EBE4208"/>
    <w:multiLevelType w:val="hybridMultilevel"/>
    <w:lvl w:ilvl="0">
      <w:lvlJc w:val="left"/>
      <w:lvlText w:val="3"/>
      <w:numFmt w:val="bullet"/>
      <w:start w:val="1"/>
    </w:lvl>
  </w:abstractNum>
  <w:abstractNum w:abstractNumId="120">
    <w:nsid w:val="C058DF5"/>
    <w:multiLevelType w:val="hybridMultilevel"/>
    <w:lvl w:ilvl="0">
      <w:lvlJc w:val="left"/>
      <w:lvlText w:val="(%1)"/>
      <w:numFmt w:val="decimal"/>
      <w:start w:val="1"/>
    </w:lvl>
  </w:abstractNum>
  <w:abstractNum w:abstractNumId="121">
    <w:nsid w:val="CBE5BE9"/>
    <w:multiLevelType w:val="hybridMultilevel"/>
    <w:lvl w:ilvl="0">
      <w:lvlJc w:val="left"/>
      <w:lvlText w:val="%1"/>
      <w:numFmt w:val="decimal"/>
      <w:start w:val="42"/>
    </w:lvl>
  </w:abstractNum>
  <w:abstractNum w:abstractNumId="122">
    <w:nsid w:val="3102BBE2"/>
    <w:multiLevelType w:val="hybridMultilevel"/>
    <w:lvl w:ilvl="0">
      <w:lvlJc w:val="left"/>
      <w:lvlText w:val="%1"/>
      <w:numFmt w:val="decimal"/>
      <w:start w:val="1"/>
    </w:lvl>
    <w:lvl w:ilvl="1">
      <w:lvlJc w:val="left"/>
      <w:lvlText w:val="(%2)"/>
      <w:numFmt w:val="lowerLetter"/>
      <w:start w:val="1"/>
    </w:lvl>
  </w:abstractNum>
  <w:abstractNum w:abstractNumId="123">
    <w:nsid w:val="26A02C5E"/>
    <w:multiLevelType w:val="hybridMultilevel"/>
    <w:lvl w:ilvl="0">
      <w:lvlJc w:val="left"/>
      <w:lvlText w:val="(%1)"/>
      <w:numFmt w:val="decimal"/>
      <w:start w:val="3"/>
    </w:lvl>
    <w:lvl w:ilvl="1">
      <w:lvlJc w:val="left"/>
      <w:lvlText w:val="%2"/>
      <w:numFmt w:val="lowerLetter"/>
      <w:start w:val="1"/>
    </w:lvl>
  </w:abstractNum>
  <w:abstractNum w:abstractNumId="124">
    <w:nsid w:val="541C8153"/>
    <w:multiLevelType w:val="hybridMultilevel"/>
    <w:lvl w:ilvl="0">
      <w:lvlJc w:val="left"/>
      <w:lvlText w:val="●"/>
      <w:numFmt w:val="bullet"/>
      <w:start w:val="1"/>
    </w:lvl>
  </w:abstractNum>
  <w:abstractNum w:abstractNumId="125">
    <w:nsid w:val="67906F60"/>
    <w:multiLevelType w:val="hybridMultilevel"/>
    <w:lvl w:ilvl="0">
      <w:lvlJc w:val="left"/>
      <w:lvlText w:val="●"/>
      <w:numFmt w:val="bullet"/>
      <w:start w:val="1"/>
    </w:lvl>
  </w:abstractNum>
  <w:abstractNum w:abstractNumId="126">
    <w:nsid w:val="10DB9DAA"/>
    <w:multiLevelType w:val="hybridMultilevel"/>
    <w:lvl w:ilvl="0">
      <w:lvlJc w:val="left"/>
      <w:lvlText w:val="●"/>
      <w:numFmt w:val="bullet"/>
      <w:start w:val="1"/>
    </w:lvl>
  </w:abstractNum>
  <w:abstractNum w:abstractNumId="127">
    <w:nsid w:val="697D2D2"/>
    <w:multiLevelType w:val="hybridMultilevel"/>
    <w:lvl w:ilvl="0">
      <w:lvlJc w:val="left"/>
      <w:lvlText w:val="%1"/>
      <w:numFmt w:val="decimal"/>
      <w:start w:val="44"/>
    </w:lvl>
  </w:abstractNum>
  <w:abstractNum w:abstractNumId="128">
    <w:nsid w:val="6D68AB2"/>
    <w:multiLevelType w:val="hybridMultilevel"/>
    <w:lvl w:ilvl="0">
      <w:lvlJc w:val="left"/>
      <w:lvlText w:val="●"/>
      <w:numFmt w:val="bullet"/>
      <w:start w:val="1"/>
    </w:lvl>
  </w:abstractNum>
  <w:abstractNum w:abstractNumId="129">
    <w:nsid w:val="3A966CD0"/>
    <w:multiLevelType w:val="hybridMultilevel"/>
    <w:lvl w:ilvl="0">
      <w:lvlJc w:val="left"/>
      <w:lvlText w:val="●"/>
      <w:numFmt w:val="bullet"/>
      <w:start w:val="1"/>
    </w:lvl>
  </w:abstractNum>
  <w:abstractNum w:abstractNumId="130">
    <w:nsid w:val="63F37E85"/>
    <w:multiLevelType w:val="hybridMultilevel"/>
    <w:lvl w:ilvl="0">
      <w:lvlJc w:val="left"/>
      <w:lvlText w:val="●"/>
      <w:numFmt w:val="bullet"/>
      <w:start w:val="1"/>
    </w:lvl>
  </w:abstractNum>
  <w:abstractNum w:abstractNumId="131">
    <w:nsid w:val="5895F5FA"/>
    <w:multiLevelType w:val="hybridMultilevel"/>
    <w:lvl w:ilvl="0">
      <w:lvlJc w:val="left"/>
      <w:lvlText w:val="●"/>
      <w:numFmt w:val="bullet"/>
      <w:start w:val="1"/>
    </w:lvl>
  </w:abstractNum>
  <w:abstractNum w:abstractNumId="132">
    <w:nsid w:val="38A5D054"/>
    <w:multiLevelType w:val="hybridMultilevel"/>
    <w:lvl w:ilvl="0">
      <w:lvlJc w:val="left"/>
      <w:lvlText w:val="●"/>
      <w:numFmt w:val="bullet"/>
      <w:start w:val="1"/>
    </w:lvl>
  </w:abstractNum>
  <w:abstractNum w:abstractNumId="133">
    <w:nsid w:val="F3F09D8"/>
    <w:multiLevelType w:val="hybridMultilevel"/>
    <w:lvl w:ilvl="0">
      <w:lvlJc w:val="left"/>
      <w:lvlText w:val="%1"/>
      <w:numFmt w:val="decimal"/>
      <w:start w:val="46"/>
    </w:lvl>
  </w:abstractNum>
  <w:abstractNum w:abstractNumId="134">
    <w:nsid w:val="4B793735"/>
    <w:multiLevelType w:val="hybridMultilevel"/>
    <w:lvl w:ilvl="0">
      <w:lvlJc w:val="left"/>
      <w:lvlText w:val="%1"/>
      <w:numFmt w:val="decimal"/>
      <w:start w:val="48"/>
    </w:lvl>
  </w:abstractNum>
  <w:abstractNum w:abstractNumId="135">
    <w:nsid w:val="4A10B4E8"/>
    <w:multiLevelType w:val="hybridMultilevel"/>
    <w:lvl w:ilvl="0">
      <w:lvlJc w:val="left"/>
      <w:lvlText w:val="●"/>
      <w:numFmt w:val="bullet"/>
      <w:start w:val="1"/>
    </w:lvl>
  </w:abstractNum>
  <w:abstractNum w:abstractNumId="136">
    <w:nsid w:val="43D3BCD4"/>
    <w:multiLevelType w:val="hybridMultilevel"/>
    <w:lvl w:ilvl="0">
      <w:lvlJc w:val="left"/>
      <w:lvlText w:val="%1"/>
      <w:numFmt w:val="decimal"/>
      <w:start w:val="50"/>
    </w:lvl>
  </w:abstractNum>
  <w:abstractNum w:abstractNumId="137">
    <w:nsid w:val="4C2A7166"/>
    <w:multiLevelType w:val="hybridMultilevel"/>
    <w:lvl w:ilvl="0">
      <w:lvlJc w:val="left"/>
      <w:lvlText w:val="●"/>
      <w:numFmt w:val="bullet"/>
      <w:start w:val="1"/>
    </w:lvl>
  </w:abstractNum>
  <w:abstractNum w:abstractNumId="138">
    <w:nsid w:val="2E534A82"/>
    <w:multiLevelType w:val="hybridMultilevel"/>
    <w:lvl w:ilvl="0">
      <w:lvlJc w:val="left"/>
      <w:lvlText w:val="●"/>
      <w:numFmt w:val="bullet"/>
      <w:start w:val="1"/>
    </w:lvl>
  </w:abstractNum>
  <w:abstractNum w:abstractNumId="139">
    <w:nsid w:val="26F2D364"/>
    <w:multiLevelType w:val="hybridMultilevel"/>
    <w:lvl w:ilvl="0">
      <w:lvlJc w:val="left"/>
      <w:lvlText w:val="●"/>
      <w:numFmt w:val="bullet"/>
      <w:start w:val="1"/>
    </w:lvl>
  </w:abstractNum>
  <w:abstractNum w:abstractNumId="140">
    <w:nsid w:val="71C1AF98"/>
    <w:multiLevelType w:val="hybridMultilevel"/>
    <w:lvl w:ilvl="0">
      <w:lvlJc w:val="left"/>
      <w:lvlText w:val="●"/>
      <w:numFmt w:val="bullet"/>
      <w:start w:val="1"/>
    </w:lvl>
    <w:lvl w:ilvl="1">
      <w:lvlJc w:val="left"/>
      <w:lvlText w:val="●"/>
      <w:numFmt w:val="bullet"/>
      <w:start w:val="1"/>
    </w:lvl>
  </w:abstractNum>
  <w:abstractNum w:abstractNumId="141">
    <w:nsid w:val="3D00B9D9"/>
    <w:multiLevelType w:val="hybridMultilevel"/>
    <w:lvl w:ilvl="0">
      <w:lvlJc w:val="left"/>
      <w:lvlText w:val="●"/>
      <w:numFmt w:val="bullet"/>
      <w:start w:val="1"/>
    </w:lvl>
  </w:abstractNum>
  <w:abstractNum w:abstractNumId="142">
    <w:nsid w:val="15BCABA8"/>
    <w:multiLevelType w:val="hybridMultilevel"/>
    <w:lvl w:ilvl="0">
      <w:lvlJc w:val="left"/>
      <w:lvlText w:val="●"/>
      <w:numFmt w:val="bullet"/>
      <w:start w:val="1"/>
    </w:lvl>
  </w:abstractNum>
  <w:abstractNum w:abstractNumId="143">
    <w:nsid w:val="4E0B9A87"/>
    <w:multiLevelType w:val="hybridMultilevel"/>
    <w:lvl w:ilvl="0">
      <w:lvlJc w:val="left"/>
      <w:lvlText w:val="●"/>
      <w:numFmt w:val="bullet"/>
      <w:start w:val="1"/>
    </w:lvl>
  </w:abstractNum>
  <w:abstractNum w:abstractNumId="144">
    <w:nsid w:val="434BAE75"/>
    <w:multiLevelType w:val="hybridMultilevel"/>
    <w:lvl w:ilvl="0">
      <w:lvlJc w:val="left"/>
      <w:lvlText w:val="%1"/>
      <w:numFmt w:val="decimal"/>
      <w:start w:val="52"/>
    </w:lvl>
  </w:abstractNum>
  <w:abstractNum w:abstractNumId="145">
    <w:nsid w:val="4F38F265"/>
    <w:multiLevelType w:val="hybridMultilevel"/>
    <w:lvl w:ilvl="0">
      <w:lvlJc w:val="left"/>
      <w:lvlText w:val="(%1)"/>
      <w:numFmt w:val="decimal"/>
      <w:start w:val="1"/>
    </w:lvl>
  </w:abstractNum>
  <w:abstractNum w:abstractNumId="146">
    <w:nsid w:val="4C502870"/>
    <w:multiLevelType w:val="hybridMultilevel"/>
    <w:lvl w:ilvl="0">
      <w:lvlJc w:val="left"/>
      <w:lvlText w:val="●"/>
      <w:numFmt w:val="bullet"/>
      <w:start w:val="1"/>
    </w:lvl>
    <w:lvl w:ilvl="1">
      <w:lvlJc w:val="left"/>
      <w:lvlText w:val="○"/>
      <w:numFmt w:val="bullet"/>
      <w:start w:val="1"/>
    </w:lvl>
  </w:abstractNum>
  <w:abstractNum w:abstractNumId="147">
    <w:nsid w:val="1DE8725A"/>
    <w:multiLevelType w:val="hybridMultilevel"/>
    <w:lvl w:ilvl="0">
      <w:lvlJc w:val="left"/>
      <w:lvlText w:val="(%1)"/>
      <w:numFmt w:val="decimal"/>
      <w:start w:val="1"/>
    </w:lvl>
  </w:abstractNum>
  <w:abstractNum w:abstractNumId="148">
    <w:nsid w:val="6A37288A"/>
    <w:multiLevelType w:val="hybridMultilevel"/>
    <w:lvl w:ilvl="0">
      <w:lvlJc w:val="left"/>
      <w:lvlText w:val="(%1)"/>
      <w:numFmt w:val="decimal"/>
    </w:lvl>
    <w:lvl w:ilvl="1">
      <w:lvlJc w:val="left"/>
      <w:lvlText w:val="●"/>
      <w:numFmt w:val="bullet"/>
      <w:start w:val="1"/>
    </w:lvl>
  </w:abstractNum>
  <w:abstractNum w:abstractNumId="149">
    <w:nsid w:val="8F8B73F"/>
    <w:multiLevelType w:val="hybridMultilevel"/>
    <w:lvl w:ilvl="0">
      <w:lvlJc w:val="left"/>
      <w:lvlText w:val="●"/>
      <w:numFmt w:val="bullet"/>
      <w:start w:val="1"/>
    </w:lvl>
  </w:abstractNum>
  <w:abstractNum w:abstractNumId="150">
    <w:nsid w:val="CA6B462"/>
    <w:multiLevelType w:val="hybridMultilevel"/>
    <w:lvl w:ilvl="0">
      <w:lvlJc w:val="left"/>
      <w:lvlText w:val="(%1)"/>
      <w:numFmt w:val="decimal"/>
      <w:start w:val="1"/>
    </w:lvl>
  </w:abstractNum>
  <w:abstractNum w:abstractNumId="151">
    <w:nsid w:val="763CB680"/>
    <w:multiLevelType w:val="hybridMultilevel"/>
    <w:lvl w:ilvl="0">
      <w:lvlJc w:val="left"/>
      <w:lvlText w:val="●"/>
      <w:numFmt w:val="bullet"/>
      <w:start w:val="1"/>
    </w:lvl>
  </w:abstractNum>
  <w:abstractNum w:abstractNumId="152">
    <w:nsid w:val="15B71329"/>
    <w:multiLevelType w:val="hybridMultilevel"/>
    <w:lvl w:ilvl="0">
      <w:lvlJc w:val="left"/>
      <w:lvlText w:val="%1"/>
      <w:numFmt w:val="decimal"/>
      <w:start w:val="56"/>
    </w:lvl>
  </w:abstractNum>
  <w:abstractNum w:abstractNumId="153">
    <w:nsid w:val="3DA97044"/>
    <w:multiLevelType w:val="hybridMultilevel"/>
    <w:lvl w:ilvl="0">
      <w:lvlJc w:val="left"/>
      <w:lvlText w:val="(%1)"/>
      <w:numFmt w:val="decimal"/>
      <w:start w:val="1"/>
    </w:lvl>
  </w:abstractNum>
  <w:abstractNum w:abstractNumId="154">
    <w:nsid w:val="1CDCE2DE"/>
    <w:multiLevelType w:val="hybridMultilevel"/>
    <w:lvl w:ilvl="0">
      <w:lvlJc w:val="left"/>
      <w:lvlText w:val="%1"/>
      <w:numFmt w:val="decimal"/>
      <w:start w:val="58"/>
    </w:lvl>
  </w:abstractNum>
  <w:abstractNum w:abstractNumId="155">
    <w:nsid w:val="69D3947C"/>
    <w:multiLevelType w:val="hybridMultilevel"/>
    <w:lvl w:ilvl="0">
      <w:lvlJc w:val="left"/>
      <w:lvlText w:val="●"/>
      <w:numFmt w:val="bullet"/>
      <w:start w:val="1"/>
    </w:lvl>
  </w:abstractNum>
  <w:abstractNum w:abstractNumId="156">
    <w:nsid w:val="2539DFA5"/>
    <w:multiLevelType w:val="hybridMultilevel"/>
    <w:lvl w:ilvl="0">
      <w:lvlJc w:val="left"/>
      <w:lvlText w:val="●"/>
      <w:numFmt w:val="bullet"/>
      <w:start w:val="1"/>
    </w:lvl>
  </w:abstractNum>
  <w:abstractNum w:abstractNumId="157">
    <w:nsid w:val="2DB88089"/>
    <w:multiLevelType w:val="hybridMultilevel"/>
    <w:lvl w:ilvl="0">
      <w:lvlJc w:val="left"/>
      <w:lvlText w:val="●"/>
      <w:numFmt w:val="bullet"/>
      <w:start w:val="1"/>
    </w:lvl>
  </w:abstractNum>
  <w:abstractNum w:abstractNumId="158">
    <w:nsid w:val="706B674E"/>
    <w:multiLevelType w:val="hybridMultilevel"/>
    <w:lvl w:ilvl="0">
      <w:lvlJc w:val="left"/>
      <w:lvlText w:val="*"/>
      <w:numFmt w:val="bullet"/>
      <w:start w:val="1"/>
    </w:lvl>
  </w:abstractNum>
  <w:abstractNum w:abstractNumId="159">
    <w:nsid w:val="2C106A57"/>
    <w:multiLevelType w:val="hybridMultilevel"/>
    <w:lvl w:ilvl="0">
      <w:lvlJc w:val="left"/>
      <w:lvlText w:val="%1"/>
      <w:numFmt w:val="decimal"/>
      <w:start w:val="60"/>
    </w:lvl>
  </w:abstractNum>
  <w:abstractNum w:abstractNumId="160">
    <w:nsid w:val="684EED59"/>
    <w:multiLevelType w:val="hybridMultilevel"/>
    <w:lvl w:ilvl="0">
      <w:lvlJc w:val="left"/>
      <w:lvlText w:val="●"/>
      <w:numFmt w:val="bullet"/>
      <w:start w:val="1"/>
    </w:lvl>
  </w:abstractNum>
  <w:abstractNum w:abstractNumId="161">
    <w:nsid w:val="545EE5D3"/>
    <w:multiLevelType w:val="hybridMultilevel"/>
    <w:lvl w:ilvl="0">
      <w:lvlJc w:val="left"/>
      <w:lvlText w:val="●"/>
      <w:numFmt w:val="bullet"/>
      <w:start w:val="1"/>
    </w:lvl>
  </w:abstractNum>
  <w:abstractNum w:abstractNumId="162">
    <w:nsid w:val="4A66051"/>
    <w:multiLevelType w:val="hybridMultilevel"/>
    <w:lvl w:ilvl="0">
      <w:lvlJc w:val="left"/>
      <w:lvlText w:val="●"/>
      <w:numFmt w:val="bullet"/>
      <w:start w:val="1"/>
    </w:lvl>
  </w:abstractNum>
  <w:abstractNum w:abstractNumId="163">
    <w:nsid w:val="20F4BDAD"/>
    <w:multiLevelType w:val="hybridMultilevel"/>
    <w:lvl w:ilvl="0">
      <w:lvlJc w:val="left"/>
      <w:lvlText w:val="●"/>
      <w:numFmt w:val="bullet"/>
      <w:start w:val="1"/>
    </w:lvl>
  </w:abstractNum>
  <w:abstractNum w:abstractNumId="164">
    <w:nsid w:val="639DEFAC"/>
    <w:multiLevelType w:val="hybridMultilevel"/>
    <w:lvl w:ilvl="0">
      <w:lvlJc w:val="left"/>
      <w:lvlText w:val="●"/>
      <w:numFmt w:val="bullet"/>
      <w:start w:val="1"/>
    </w:lvl>
  </w:abstractNum>
  <w:abstractNum w:abstractNumId="165">
    <w:nsid w:val="501F9786"/>
    <w:multiLevelType w:val="hybridMultilevel"/>
    <w:lvl w:ilvl="0">
      <w:lvlJc w:val="left"/>
      <w:lvlText w:val="%1"/>
      <w:numFmt w:val="decimal"/>
      <w:start w:val="62"/>
    </w:lvl>
  </w:abstractNum>
  <w:abstractNum w:abstractNumId="166">
    <w:nsid w:val="6B057295"/>
    <w:multiLevelType w:val="hybridMultilevel"/>
    <w:lvl w:ilvl="0">
      <w:lvlJc w:val="left"/>
      <w:lvlText w:val="(%1)"/>
      <w:numFmt w:val="decimal"/>
      <w:start w:val="1"/>
    </w:lvl>
  </w:abstractNum>
  <w:abstractNum w:abstractNumId="167">
    <w:nsid w:val="2771AC80"/>
    <w:multiLevelType w:val="hybridMultilevel"/>
    <w:lvl w:ilvl="0">
      <w:lvlJc w:val="left"/>
      <w:lvlText w:val="●"/>
      <w:numFmt w:val="bullet"/>
      <w:start w:val="1"/>
    </w:lvl>
  </w:abstractNum>
  <w:abstractNum w:abstractNumId="168">
    <w:nsid w:val="1C4A08EC"/>
    <w:multiLevelType w:val="hybridMultilevel"/>
    <w:lvl w:ilvl="0">
      <w:lvlJc w:val="left"/>
      <w:lvlText w:val="%1"/>
      <w:numFmt w:val="decimal"/>
      <w:start w:val="64"/>
    </w:lvl>
  </w:abstractNum>
  <w:abstractNum w:abstractNumId="169">
    <w:nsid w:val="1958BD17"/>
    <w:multiLevelType w:val="hybridMultilevel"/>
    <w:lvl w:ilvl="0">
      <w:lvlJc w:val="left"/>
      <w:lvlText w:val="●"/>
      <w:numFmt w:val="bullet"/>
      <w:start w:val="1"/>
    </w:lvl>
  </w:abstractNum>
  <w:abstractNum w:abstractNumId="170">
    <w:nsid w:val="4E647FE4"/>
    <w:multiLevelType w:val="hybridMultilevel"/>
    <w:lvl w:ilvl="0">
      <w:lvlJc w:val="left"/>
      <w:lvlText w:val="(%1)"/>
      <w:numFmt w:val="decimal"/>
      <w:start w:val="1"/>
    </w:lvl>
  </w:abstractNum>
  <w:abstractNum w:abstractNumId="171">
    <w:nsid w:val="E0BB885"/>
    <w:multiLevelType w:val="hybridMultilevel"/>
    <w:lvl w:ilvl="0">
      <w:lvlJc w:val="left"/>
      <w:lvlText w:val="(%1)"/>
      <w:numFmt w:val="decimal"/>
      <w:start w:val="1"/>
    </w:lvl>
  </w:abstractNum>
  <w:abstractNum w:abstractNumId="172">
    <w:nsid w:val="565976F1"/>
    <w:multiLevelType w:val="hybridMultilevel"/>
    <w:lvl w:ilvl="0">
      <w:lvlJc w:val="left"/>
      <w:lvlText w:val="%1"/>
      <w:numFmt w:val="decimal"/>
      <w:start w:val="66"/>
    </w:lvl>
  </w:abstractNum>
  <w:abstractNum w:abstractNumId="173">
    <w:nsid w:val="64212B8C"/>
    <w:multiLevelType w:val="hybridMultilevel"/>
    <w:lvl w:ilvl="0">
      <w:lvlJc w:val="left"/>
      <w:lvlText w:val="(%1)"/>
      <w:numFmt w:val="decimal"/>
      <w:start w:val="1"/>
    </w:lvl>
  </w:abstractNum>
  <w:abstractNum w:abstractNumId="174">
    <w:nsid w:val="5C17530C"/>
    <w:multiLevelType w:val="hybridMultilevel"/>
    <w:lvl w:ilvl="0">
      <w:lvlJc w:val="left"/>
      <w:lvlText w:val="●"/>
      <w:numFmt w:val="bullet"/>
      <w:start w:val="1"/>
    </w:lvl>
  </w:abstractNum>
  <w:abstractNum w:abstractNumId="175">
    <w:nsid w:val="19A52566"/>
    <w:multiLevelType w:val="hybridMultilevel"/>
    <w:lvl w:ilvl="0">
      <w:lvlJc w:val="left"/>
      <w:lvlText w:val="●"/>
      <w:numFmt w:val="bullet"/>
      <w:start w:val="1"/>
    </w:lvl>
  </w:abstractNum>
  <w:abstractNum w:abstractNumId="176">
    <w:nsid w:val="335A1DF1"/>
    <w:multiLevelType w:val="hybridMultilevel"/>
    <w:lvl w:ilvl="0">
      <w:lvlJc w:val="left"/>
      <w:lvlText w:val="%1"/>
      <w:numFmt w:val="decimal"/>
      <w:start w:val="68"/>
    </w:lvl>
  </w:abstractNum>
  <w:abstractNum w:abstractNumId="177">
    <w:nsid w:val="28677B7C"/>
    <w:multiLevelType w:val="hybridMultilevel"/>
    <w:lvl w:ilvl="0">
      <w:lvlJc w:val="left"/>
      <w:lvlText w:val="●"/>
      <w:numFmt w:val="bullet"/>
      <w:start w:val="1"/>
    </w:lvl>
  </w:abstractNum>
  <w:abstractNum w:abstractNumId="178">
    <w:nsid w:val="378D97C0"/>
    <w:multiLevelType w:val="hybridMultilevel"/>
    <w:lvl w:ilvl="0">
      <w:lvlJc w:val="left"/>
      <w:lvlText w:val="●"/>
      <w:numFmt w:val="bullet"/>
      <w:start w:val="1"/>
    </w:lvl>
  </w:abstractNum>
  <w:abstractNum w:abstractNumId="179">
    <w:nsid w:val="1D91467C"/>
    <w:multiLevelType w:val="hybridMultilevel"/>
    <w:lvl w:ilvl="0">
      <w:lvlJc w:val="left"/>
      <w:lvlText w:val="%1"/>
      <w:numFmt w:val="decimal"/>
      <w:start w:val="70"/>
    </w:lvl>
  </w:abstractNum>
  <w:abstractNum w:abstractNumId="180">
    <w:nsid w:val="316032BB"/>
    <w:multiLevelType w:val="hybridMultilevel"/>
    <w:lvl w:ilvl="0">
      <w:lvlJc w:val="left"/>
      <w:lvlText w:val="●"/>
      <w:numFmt w:val="bullet"/>
      <w:start w:val="1"/>
    </w:lvl>
  </w:abstractNum>
  <w:abstractNum w:abstractNumId="181">
    <w:nsid w:val="44344C22"/>
    <w:multiLevelType w:val="hybridMultilevel"/>
    <w:lvl w:ilvl="0">
      <w:lvlJc w:val="left"/>
      <w:lvlText w:val="(%1)"/>
      <w:numFmt w:val="decimal"/>
      <w:start w:val="1"/>
    </w:lvl>
  </w:abstractNum>
  <w:abstractNum w:abstractNumId="182">
    <w:nsid w:val="13CDFCFC"/>
    <w:multiLevelType w:val="hybridMultilevel"/>
    <w:lvl w:ilvl="0">
      <w:lvlJc w:val="left"/>
      <w:lvlText w:val="●"/>
      <w:numFmt w:val="bullet"/>
      <w:start w:val="1"/>
    </w:lvl>
  </w:abstractNum>
  <w:abstractNum w:abstractNumId="183">
    <w:nsid w:val="471745E4"/>
    <w:multiLevelType w:val="hybridMultilevel"/>
    <w:lvl w:ilvl="0">
      <w:lvlJc w:val="left"/>
      <w:lvlText w:val="●"/>
      <w:numFmt w:val="bullet"/>
      <w:start w:val="1"/>
    </w:lvl>
  </w:abstractNum>
  <w:abstractNum w:abstractNumId="184">
    <w:nsid w:val="1DDBC66"/>
    <w:multiLevelType w:val="hybridMultilevel"/>
    <w:lvl w:ilvl="0">
      <w:lvlJc w:val="left"/>
      <w:lvlText w:val="●"/>
      <w:numFmt w:val="bullet"/>
      <w:start w:val="1"/>
    </w:lvl>
  </w:abstractNum>
  <w:abstractNum w:abstractNumId="185">
    <w:nsid w:val="30AADFDA"/>
    <w:multiLevelType w:val="hybridMultilevel"/>
    <w:lvl w:ilvl="0">
      <w:lvlJc w:val="left"/>
      <w:lvlText w:val="●"/>
      <w:numFmt w:val="bullet"/>
      <w:start w:val="1"/>
    </w:lvl>
  </w:abstractNum>
  <w:abstractNum w:abstractNumId="186">
    <w:nsid w:val="30EADA61"/>
    <w:multiLevelType w:val="hybridMultilevel"/>
    <w:lvl w:ilvl="0">
      <w:lvlJc w:val="left"/>
      <w:lvlText w:val="●"/>
      <w:numFmt w:val="bullet"/>
      <w:start w:val="1"/>
    </w:lvl>
  </w:abstractNum>
  <w:abstractNum w:abstractNumId="187">
    <w:nsid w:val="27179C0B"/>
    <w:multiLevelType w:val="hybridMultilevel"/>
    <w:lvl w:ilvl="0">
      <w:lvlJc w:val="left"/>
      <w:lvlText w:val="●"/>
      <w:numFmt w:val="bullet"/>
      <w:start w:val="1"/>
    </w:lvl>
    <w:lvl w:ilvl="1">
      <w:lvlJc w:val="left"/>
      <w:lvlText w:val="○"/>
      <w:numFmt w:val="bullet"/>
      <w:start w:val="1"/>
    </w:lvl>
  </w:abstractNum>
  <w:abstractNum w:abstractNumId="188">
    <w:nsid w:val="5E636063"/>
    <w:multiLevelType w:val="hybridMultilevel"/>
    <w:lvl w:ilvl="0">
      <w:lvlJc w:val="left"/>
      <w:lvlText w:val="%1"/>
      <w:numFmt w:val="decimal"/>
      <w:start w:val="72"/>
    </w:lvl>
  </w:abstractNum>
  <w:abstractNum w:abstractNumId="189">
    <w:nsid w:val="215641AF"/>
    <w:multiLevelType w:val="hybridMultilevel"/>
    <w:lvl w:ilvl="0">
      <w:lvlJc w:val="left"/>
      <w:lvlText w:val="○"/>
      <w:numFmt w:val="bullet"/>
      <w:start w:val="1"/>
    </w:lvl>
  </w:abstractNum>
  <w:abstractNum w:abstractNumId="190">
    <w:nsid w:val="53280662"/>
    <w:multiLevelType w:val="hybridMultilevel"/>
    <w:lvl w:ilvl="0">
      <w:lvlJc w:val="left"/>
      <w:lvlText w:val="(%1)"/>
      <w:numFmt w:val="decimal"/>
      <w:start w:val="1"/>
    </w:lvl>
  </w:abstractNum>
  <w:abstractNum w:abstractNumId="191">
    <w:nsid w:val="46B24DBC"/>
    <w:multiLevelType w:val="hybridMultilevel"/>
    <w:lvl w:ilvl="0">
      <w:lvlJc w:val="left"/>
      <w:lvlText w:val="%1"/>
      <w:numFmt w:val="decimal"/>
      <w:start w:val="74"/>
    </w:lvl>
  </w:abstractNum>
  <w:abstractNum w:abstractNumId="192">
    <w:nsid w:val="75B52783"/>
    <w:multiLevelType w:val="hybridMultilevel"/>
    <w:lvl w:ilvl="0">
      <w:lvlJc w:val="left"/>
      <w:lvlText w:val="%1"/>
      <w:numFmt w:val="decimal"/>
      <w:start w:val="76"/>
    </w:lvl>
  </w:abstractNum>
  <w:abstractNum w:abstractNumId="193">
    <w:nsid w:val="57CE66B4"/>
    <w:multiLevelType w:val="hybridMultilevel"/>
    <w:lvl w:ilvl="0">
      <w:lvlJc w:val="left"/>
      <w:lvlText w:val="(%1)"/>
      <w:numFmt w:val="decimal"/>
      <w:start w:val="1"/>
    </w:lvl>
  </w:abstractNum>
  <w:abstractNum w:abstractNumId="194">
    <w:nsid w:val="67A70B69"/>
    <w:multiLevelType w:val="hybridMultilevel"/>
    <w:lvl w:ilvl="0">
      <w:lvlJc w:val="left"/>
      <w:lvlText w:val="(%1)"/>
      <w:numFmt w:val="decimal"/>
      <w:start w:val="3"/>
    </w:lvl>
  </w:abstractNum>
  <w:abstractNum w:abstractNumId="195">
    <w:nsid w:val="5953172F"/>
    <w:multiLevelType w:val="hybridMultilevel"/>
    <w:lvl w:ilvl="0">
      <w:lvlJc w:val="left"/>
      <w:lvlText w:val="%1"/>
      <w:numFmt w:val="decimal"/>
      <w:start w:val="1"/>
    </w:lvl>
    <w:lvl w:ilvl="1">
      <w:lvlJc w:val="left"/>
      <w:lvlText w:val="(%2)"/>
      <w:numFmt w:val="lowerLetter"/>
      <w:start w:val="1"/>
    </w:lvl>
  </w:abstractNum>
  <w:abstractNum w:abstractNumId="196">
    <w:nsid w:val="27EDFE3A"/>
    <w:multiLevelType w:val="hybridMultilevel"/>
    <w:lvl w:ilvl="0">
      <w:lvlJc w:val="left"/>
      <w:lvlText w:val="(%1)"/>
      <w:numFmt w:val="decimal"/>
      <w:start w:val="5"/>
    </w:lvl>
    <w:lvl w:ilvl="1">
      <w:lvlJc w:val="left"/>
      <w:lvlText w:val="%2"/>
      <w:numFmt w:val="lowerLetter"/>
      <w:start w:val="1"/>
    </w:lvl>
  </w:abstractNum>
  <w:abstractNum w:abstractNumId="197">
    <w:nsid w:val="52AC7DFF"/>
    <w:multiLevelType w:val="hybridMultilevel"/>
    <w:lvl w:ilvl="0">
      <w:lvlJc w:val="left"/>
      <w:lvlText w:val="%1"/>
      <w:numFmt w:val="decimal"/>
      <w:start w:val="78"/>
    </w:lvl>
  </w:abstractNum>
  <w:abstractNum w:abstractNumId="198">
    <w:nsid w:val="C4C3AF"/>
    <w:multiLevelType w:val="hybridMultilevel"/>
    <w:lvl w:ilvl="0">
      <w:lvlJc w:val="left"/>
      <w:lvlText w:val="(%1)"/>
      <w:numFmt w:val="decimal"/>
      <w:start w:val="1"/>
    </w:lvl>
  </w:abstractNum>
  <w:abstractNum w:abstractNumId="199">
    <w:nsid w:val="44380727"/>
    <w:multiLevelType w:val="hybridMultilevel"/>
    <w:lvl w:ilvl="0">
      <w:lvlJc w:val="left"/>
      <w:lvlText w:val="(%1)"/>
      <w:numFmt w:val="decimal"/>
      <w:start w:val="3"/>
    </w:lvl>
  </w:abstractNum>
  <w:abstractNum w:abstractNumId="200">
    <w:nsid w:val="6C053B16"/>
    <w:multiLevelType w:val="hybridMultilevel"/>
    <w:lvl w:ilvl="0">
      <w:lvlJc w:val="left"/>
      <w:lvlText w:val="%1"/>
      <w:numFmt w:val="decimal"/>
      <w:start w:val="80"/>
    </w:lvl>
  </w:abstractNum>
  <w:abstractNum w:abstractNumId="201">
    <w:nsid w:val="4F294393"/>
    <w:multiLevelType w:val="hybridMultilevel"/>
    <w:lvl w:ilvl="0">
      <w:lvlJc w:val="left"/>
      <w:lvlText w:val="%1"/>
      <w:numFmt w:val="decimal"/>
      <w:start w:val="82"/>
    </w:lvl>
  </w:abstractNum>
  <w:abstractNum w:abstractNumId="202">
    <w:nsid w:val="5243BFAC"/>
    <w:multiLevelType w:val="hybridMultilevel"/>
    <w:lvl w:ilvl="0">
      <w:lvlJc w:val="left"/>
      <w:lvlText w:val="(%1)"/>
      <w:numFmt w:val="decimal"/>
      <w:start w:val="1"/>
    </w:lvl>
  </w:abstractNum>
  <w:abstractNum w:abstractNumId="203">
    <w:nsid w:val="425EB207"/>
    <w:multiLevelType w:val="hybridMultilevel"/>
    <w:lvl w:ilvl="0">
      <w:lvlJc w:val="left"/>
      <w:lvlText w:val="(%1)"/>
      <w:numFmt w:val="decimal"/>
      <w:start w:val="8"/>
    </w:lvl>
  </w:abstractNum>
  <w:abstractNum w:abstractNumId="204">
    <w:nsid w:val="334A6F1F"/>
    <w:multiLevelType w:val="hybridMultilevel"/>
    <w:lvl w:ilvl="0">
      <w:lvlJc w:val="left"/>
      <w:lvlText w:val="(%1)"/>
      <w:numFmt w:val="decimal"/>
      <w:start w:val="1"/>
    </w:lvl>
  </w:abstractNum>
  <w:abstractNum w:abstractNumId="205">
    <w:nsid w:val="2E5B12B8"/>
    <w:multiLevelType w:val="hybridMultilevel"/>
    <w:lvl w:ilvl="0">
      <w:lvlJc w:val="left"/>
      <w:lvlText w:val="%1"/>
      <w:numFmt w:val="decimal"/>
      <w:start w:val="84"/>
    </w:lvl>
  </w:abstractNum>
  <w:abstractNum w:abstractNumId="206">
    <w:nsid w:val="5C03D76D"/>
    <w:multiLevelType w:val="hybridMultilevel"/>
    <w:lvl w:ilvl="0">
      <w:lvlJc w:val="left"/>
      <w:lvlText w:val="(%1)"/>
      <w:numFmt w:val="decimal"/>
      <w:start w:val="1"/>
    </w:lvl>
  </w:abstractNum>
  <w:abstractNum w:abstractNumId="207">
    <w:nsid w:val="66A48D11"/>
    <w:multiLevelType w:val="hybridMultilevel"/>
    <w:lvl w:ilvl="0">
      <w:lvlJc w:val="left"/>
      <w:lvlText w:val="●"/>
      <w:numFmt w:val="bullet"/>
      <w:start w:val="1"/>
    </w:lvl>
  </w:abstractNum>
  <w:abstractNum w:abstractNumId="208">
    <w:nsid w:val="56C28E34"/>
    <w:multiLevelType w:val="hybridMultilevel"/>
    <w:lvl w:ilvl="0">
      <w:lvlJc w:val="left"/>
      <w:lvlText w:val="●"/>
      <w:numFmt w:val="bullet"/>
      <w:start w:val="1"/>
    </w:lvl>
  </w:abstractNum>
  <w:abstractNum w:abstractNumId="209">
    <w:nsid w:val="13916F2D"/>
    <w:multiLevelType w:val="hybridMultilevel"/>
    <w:lvl w:ilvl="0">
      <w:lvlJc w:val="left"/>
      <w:lvlText w:val="%1"/>
      <w:numFmt w:val="decimal"/>
      <w:start w:val="86"/>
    </w:lvl>
  </w:abstractNum>
  <w:abstractNum w:abstractNumId="210">
    <w:nsid w:val="435D38D"/>
    <w:multiLevelType w:val="hybridMultilevel"/>
    <w:lvl w:ilvl="0">
      <w:lvlJc w:val="left"/>
      <w:lvlText w:val="●"/>
      <w:numFmt w:val="bullet"/>
      <w:start w:val="1"/>
    </w:lvl>
  </w:abstractNum>
  <w:abstractNum w:abstractNumId="211">
    <w:nsid w:val="822C0EF"/>
    <w:multiLevelType w:val="hybridMultilevel"/>
    <w:lvl w:ilvl="0">
      <w:lvlJc w:val="left"/>
      <w:lvlText w:val="●"/>
      <w:numFmt w:val="bullet"/>
      <w:start w:val="1"/>
    </w:lvl>
  </w:abstractNum>
  <w:abstractNum w:abstractNumId="212">
    <w:nsid w:val="57C5BB4F"/>
    <w:multiLevelType w:val="hybridMultilevel"/>
    <w:lvl w:ilvl="0">
      <w:lvlJc w:val="left"/>
      <w:lvlText w:val="●"/>
      <w:numFmt w:val="bullet"/>
      <w:start w:val="1"/>
    </w:lvl>
  </w:abstractNum>
  <w:abstractNum w:abstractNumId="213">
    <w:nsid w:val="1803D089"/>
    <w:multiLevelType w:val="hybridMultilevel"/>
    <w:lvl w:ilvl="0">
      <w:lvlJc w:val="left"/>
      <w:lvlText w:val="●"/>
      <w:numFmt w:val="bullet"/>
      <w:start w:val="1"/>
    </w:lvl>
  </w:abstractNum>
  <w:abstractNum w:abstractNumId="214">
    <w:nsid w:val="4F3A06D4"/>
    <w:multiLevelType w:val="hybridMultilevel"/>
    <w:lvl w:ilvl="0">
      <w:lvlJc w:val="left"/>
      <w:lvlText w:val="%1"/>
      <w:numFmt w:val="decimal"/>
      <w:start w:val="88"/>
    </w:lvl>
  </w:abstractNum>
  <w:abstractNum w:abstractNumId="215">
    <w:nsid w:val="59A377B6"/>
    <w:multiLevelType w:val="hybridMultilevel"/>
    <w:lvl w:ilvl="0">
      <w:lvlJc w:val="left"/>
      <w:lvlText w:val="●"/>
      <w:numFmt w:val="bullet"/>
      <w:start w:val="1"/>
    </w:lvl>
  </w:abstractNum>
  <w:abstractNum w:abstractNumId="216">
    <w:nsid w:val="48AEB063"/>
    <w:multiLevelType w:val="hybridMultilevel"/>
    <w:lvl w:ilvl="0">
      <w:lvlJc w:val="left"/>
      <w:lvlText w:val="(%1)"/>
      <w:numFmt w:val="decimal"/>
      <w:start w:val="1"/>
    </w:lvl>
  </w:abstractNum>
  <w:abstractNum w:abstractNumId="217">
    <w:nsid w:val="24E135"/>
    <w:multiLevelType w:val="hybridMultilevel"/>
    <w:lvl w:ilvl="0">
      <w:lvlJc w:val="left"/>
      <w:lvlText w:val="%1"/>
      <w:numFmt w:val="decimal"/>
      <w:start w:val="90"/>
    </w:lvl>
  </w:abstractNum>
  <w:abstractNum w:abstractNumId="218">
    <w:nsid w:val="BB13C1"/>
    <w:multiLevelType w:val="hybridMultilevel"/>
    <w:lvl w:ilvl="0">
      <w:lvlJc w:val="left"/>
      <w:lvlText w:val="%1"/>
      <w:numFmt w:val="decimal"/>
      <w:start w:val="92"/>
    </w:lvl>
  </w:abstractNum>
  <w:abstractNum w:abstractNumId="219">
    <w:nsid w:val="271210C7"/>
    <w:multiLevelType w:val="hybridMultilevel"/>
    <w:lvl w:ilvl="0">
      <w:lvlJc w:val="left"/>
      <w:lvlText w:val="(%1)"/>
      <w:numFmt w:val="decimal"/>
      <w:start w:val="1"/>
    </w:lvl>
  </w:abstractNum>
  <w:abstractNum w:abstractNumId="220">
    <w:nsid w:val="217B22E4"/>
    <w:multiLevelType w:val="hybridMultilevel"/>
    <w:lvl w:ilvl="0">
      <w:lvlJc w:val="left"/>
      <w:lvlText w:val="*"/>
      <w:numFmt w:val="bullet"/>
      <w:start w:val="1"/>
    </w:lvl>
  </w:abstractNum>
  <w:abstractNum w:abstractNumId="221">
    <w:nsid w:val="53E31A24"/>
    <w:multiLevelType w:val="hybridMultilevel"/>
    <w:lvl w:ilvl="0">
      <w:lvlJc w:val="left"/>
      <w:lvlText w:val="(%1)"/>
      <w:numFmt w:val="decimal"/>
      <w:start w:val="1"/>
    </w:lvl>
  </w:abstractNum>
  <w:abstractNum w:abstractNumId="222">
    <w:nsid w:val="6DC45E83"/>
    <w:multiLevelType w:val="hybridMultilevel"/>
    <w:lvl w:ilvl="0">
      <w:lvlJc w:val="left"/>
      <w:lvlText w:val="%1"/>
      <w:numFmt w:val="decimal"/>
      <w:start w:val="94"/>
    </w:lvl>
  </w:abstractNum>
  <w:abstractNum w:abstractNumId="223">
    <w:nsid w:val="17304A67"/>
    <w:multiLevelType w:val="hybridMultilevel"/>
    <w:lvl w:ilvl="0">
      <w:lvlJc w:val="left"/>
      <w:lvlText w:val="(%1)"/>
      <w:numFmt w:val="decimal"/>
      <w:start w:val="3"/>
    </w:lvl>
  </w:abstractNum>
  <w:abstractNum w:abstractNumId="224">
    <w:nsid w:val="2BB180D8"/>
    <w:multiLevelType w:val="hybridMultilevel"/>
    <w:lvl w:ilvl="0">
      <w:lvlJc w:val="left"/>
      <w:lvlText w:val="●"/>
      <w:numFmt w:val="bullet"/>
      <w:start w:val="1"/>
    </w:lvl>
  </w:abstractNum>
  <w:abstractNum w:abstractNumId="225">
    <w:nsid w:val="556B69ED"/>
    <w:multiLevelType w:val="hybridMultilevel"/>
    <w:lvl w:ilvl="0">
      <w:lvlJc w:val="left"/>
      <w:lvlText w:val="%1"/>
      <w:numFmt w:val="decimal"/>
      <w:start w:val="96"/>
    </w:lvl>
  </w:abstractNum>
  <w:abstractNum w:abstractNumId="226">
    <w:nsid w:val="70836196"/>
    <w:multiLevelType w:val="hybridMultilevel"/>
    <w:lvl w:ilvl="0">
      <w:lvlJc w:val="left"/>
      <w:lvlText w:val="●"/>
      <w:numFmt w:val="bullet"/>
      <w:start w:val="1"/>
    </w:lvl>
  </w:abstractNum>
  <w:abstractNum w:abstractNumId="227">
    <w:nsid w:val="539F7F12"/>
    <w:multiLevelType w:val="hybridMultilevel"/>
    <w:lvl w:ilvl="0">
      <w:lvlJc w:val="left"/>
      <w:lvlText w:val="%1"/>
      <w:numFmt w:val="decimal"/>
      <w:start w:val="98"/>
    </w:lvl>
  </w:abstractNum>
  <w:abstractNum w:abstractNumId="228">
    <w:nsid w:val="2817E7EC"/>
    <w:multiLevelType w:val="hybridMultilevel"/>
    <w:lvl w:ilvl="0">
      <w:lvlJc w:val="left"/>
      <w:lvlText w:val="(%1)"/>
      <w:numFmt w:val="decimal"/>
      <w:start w:val="1"/>
    </w:lvl>
  </w:abstractNum>
  <w:abstractNum w:abstractNumId="229">
    <w:nsid w:val="71482545"/>
    <w:multiLevelType w:val="hybridMultilevel"/>
    <w:lvl w:ilvl="0">
      <w:lvlJc w:val="left"/>
      <w:lvlText w:val="(%1)"/>
      <w:numFmt w:val="decimal"/>
      <w:start w:val="1"/>
    </w:lvl>
  </w:abstractNum>
  <w:abstractNum w:abstractNumId="230">
    <w:nsid w:val="17D78639"/>
    <w:multiLevelType w:val="hybridMultilevel"/>
    <w:lvl w:ilvl="0">
      <w:lvlJc w:val="left"/>
      <w:lvlText w:val="%1"/>
      <w:numFmt w:val="decimal"/>
      <w:start w:val="100"/>
    </w:lvl>
  </w:abstractNum>
  <w:abstractNum w:abstractNumId="231">
    <w:nsid w:val="141D2302"/>
    <w:multiLevelType w:val="hybridMultilevel"/>
    <w:lvl w:ilvl="0">
      <w:lvlJc w:val="left"/>
      <w:lvlText w:val="●"/>
      <w:numFmt w:val="bullet"/>
      <w:start w:val="1"/>
    </w:lvl>
  </w:abstractNum>
  <w:abstractNum w:abstractNumId="232">
    <w:nsid w:val="407168D8"/>
    <w:multiLevelType w:val="hybridMultilevel"/>
    <w:lvl w:ilvl="0">
      <w:lvlJc w:val="left"/>
      <w:lvlText w:val="●"/>
      <w:numFmt w:val="bullet"/>
      <w:start w:val="1"/>
    </w:lvl>
  </w:abstractNum>
  <w:abstractNum w:abstractNumId="233">
    <w:nsid w:val="6A1B45E5"/>
    <w:multiLevelType w:val="hybridMultilevel"/>
    <w:lvl w:ilvl="0">
      <w:lvlJc w:val="left"/>
      <w:lvlText w:val="●"/>
      <w:numFmt w:val="bullet"/>
      <w:start w:val="1"/>
    </w:lvl>
  </w:abstractNum>
  <w:abstractNum w:abstractNumId="234">
    <w:nsid w:val="567BD50A"/>
    <w:multiLevelType w:val="hybridMultilevel"/>
    <w:lvl w:ilvl="0">
      <w:lvlJc w:val="left"/>
      <w:lvlText w:val="%1"/>
      <w:numFmt w:val="decimal"/>
      <w:start w:val="102"/>
    </w:lvl>
  </w:abstractNum>
  <w:abstractNum w:abstractNumId="235">
    <w:nsid w:val="73BBD7F8"/>
    <w:multiLevelType w:val="hybridMultilevel"/>
    <w:lvl w:ilvl="0">
      <w:lvlJc w:val="left"/>
      <w:lvlText w:val="●"/>
      <w:numFmt w:val="bullet"/>
      <w:start w:val="1"/>
    </w:lvl>
  </w:abstractNum>
  <w:abstractNum w:abstractNumId="236">
    <w:nsid w:val="1876589D"/>
    <w:multiLevelType w:val="hybridMultilevel"/>
    <w:lvl w:ilvl="0">
      <w:lvlJc w:val="left"/>
      <w:lvlText w:val="%1"/>
      <w:numFmt w:val="decimal"/>
      <w:start w:val="104"/>
    </w:lvl>
  </w:abstractNum>
  <w:abstractNum w:abstractNumId="237">
    <w:nsid w:val="327FAC77"/>
    <w:multiLevelType w:val="hybridMultilevel"/>
    <w:lvl w:ilvl="0">
      <w:lvlJc w:val="left"/>
      <w:lvlText w:val="%1"/>
      <w:numFmt w:val="decimal"/>
      <w:start w:val="106"/>
    </w:lvl>
  </w:abstractNum>
  <w:abstractNum w:abstractNumId="238">
    <w:nsid w:val="5A606509"/>
    <w:multiLevelType w:val="hybridMultilevel"/>
    <w:lvl w:ilvl="0">
      <w:lvlJc w:val="left"/>
      <w:lvlText w:val="(%1)"/>
      <w:numFmt w:val="decimal"/>
      <w:start w:val="1"/>
    </w:lvl>
  </w:abstractNum>
  <w:abstractNum w:abstractNumId="239">
    <w:nsid w:val="6F38E6D1"/>
    <w:multiLevelType w:val="hybridMultilevel"/>
    <w:lvl w:ilvl="0">
      <w:lvlJc w:val="left"/>
      <w:lvlText w:val="%1"/>
      <w:numFmt w:val="decimal"/>
      <w:start w:val="108"/>
    </w:lvl>
  </w:abstractNum>
  <w:abstractNum w:abstractNumId="240">
    <w:nsid w:val="46111BA5"/>
    <w:multiLevelType w:val="hybridMultilevel"/>
    <w:lvl w:ilvl="0">
      <w:lvlJc w:val="left"/>
      <w:lvlText w:val="●"/>
      <w:numFmt w:val="bullet"/>
      <w:start w:val="1"/>
    </w:lvl>
  </w:abstractNum>
  <w:abstractNum w:abstractNumId="241">
    <w:nsid w:val="5E963896"/>
    <w:multiLevelType w:val="hybridMultilevel"/>
    <w:lvl w:ilvl="0">
      <w:lvlJc w:val="left"/>
      <w:lvlText w:val="%1"/>
      <w:numFmt w:val="decimal"/>
      <w:start w:val="110"/>
    </w:lvl>
  </w:abstractNum>
  <w:abstractNum w:abstractNumId="242">
    <w:nsid w:val="775BA7C1"/>
    <w:multiLevelType w:val="hybridMultilevel"/>
    <w:lvl w:ilvl="0">
      <w:lvlJc w:val="left"/>
      <w:lvlText w:val="%1"/>
      <w:numFmt w:val="decimal"/>
      <w:start w:val="112"/>
    </w:lvl>
  </w:abstractNum>
  <w:abstractNum w:abstractNumId="243">
    <w:nsid w:val="1DD6D6F4"/>
    <w:multiLevelType w:val="hybridMultilevel"/>
    <w:lvl w:ilvl="0">
      <w:lvlJc w:val="left"/>
      <w:lvlText w:val="●"/>
      <w:numFmt w:val="bullet"/>
      <w:start w:val="1"/>
    </w:lvl>
  </w:abstractNum>
  <w:abstractNum w:abstractNumId="244">
    <w:nsid w:val="769A091F"/>
    <w:multiLevelType w:val="hybridMultilevel"/>
    <w:lvl w:ilvl="0">
      <w:lvlJc w:val="left"/>
      <w:lvlText w:val="●"/>
      <w:numFmt w:val="bullet"/>
      <w:start w:val="1"/>
    </w:lvl>
  </w:abstractNum>
  <w:abstractNum w:abstractNumId="245">
    <w:nsid w:val="4695AE95"/>
    <w:multiLevelType w:val="hybridMultilevel"/>
    <w:lvl w:ilvl="0">
      <w:lvlJc w:val="left"/>
      <w:lvlText w:val="●"/>
      <w:numFmt w:val="bullet"/>
      <w:start w:val="1"/>
    </w:lvl>
  </w:abstractNum>
  <w:abstractNum w:abstractNumId="246">
    <w:nsid w:val="777A4EAA"/>
    <w:multiLevelType w:val="hybridMultilevel"/>
    <w:lvl w:ilvl="0">
      <w:lvlJc w:val="left"/>
      <w:lvlText w:val="●"/>
      <w:numFmt w:val="bullet"/>
      <w:start w:val="1"/>
    </w:lvl>
  </w:abstractNum>
  <w:abstractNum w:abstractNumId="247">
    <w:nsid w:val="3F48B982"/>
    <w:multiLevelType w:val="hybridMultilevel"/>
    <w:lvl w:ilvl="0">
      <w:lvlJc w:val="left"/>
      <w:lvlText w:val="%1"/>
      <w:numFmt w:val="decimal"/>
      <w:start w:val="114"/>
    </w:lvl>
  </w:abstractNum>
  <w:abstractNum w:abstractNumId="248">
    <w:nsid w:val="46BA8FCA"/>
    <w:multiLevelType w:val="hybridMultilevel"/>
    <w:lvl w:ilvl="0">
      <w:lvlJc w:val="left"/>
      <w:lvlText w:val="%1"/>
      <w:numFmt w:val="decimal"/>
      <w:start w:val="116"/>
    </w:lvl>
  </w:abstractNum>
  <w:abstractNum w:abstractNumId="249">
    <w:nsid w:val="7835626C"/>
    <w:multiLevelType w:val="hybridMultilevel"/>
    <w:lvl w:ilvl="0">
      <w:lvlJc w:val="left"/>
      <w:lvlText w:val="%1."/>
      <w:numFmt w:val="decimal"/>
      <w:start w:val="1"/>
    </w:lvl>
    <w:lvl w:ilvl="1">
      <w:lvlJc w:val="left"/>
      <w:lvlText w:val="(%2)"/>
      <w:numFmt w:val="lowerLetter"/>
      <w:start w:val="1"/>
    </w:lvl>
  </w:abstractNum>
  <w:abstractNum w:abstractNumId="250">
    <w:nsid w:val="665ACA49"/>
    <w:multiLevelType w:val="hybridMultilevel"/>
    <w:lvl w:ilvl="0">
      <w:lvlJc w:val="left"/>
      <w:lvlText w:val="(%1)"/>
      <w:numFmt w:val="lowerLetter"/>
      <w:start w:val="2"/>
    </w:lvl>
  </w:abstractNum>
  <w:abstractNum w:abstractNumId="251">
    <w:nsid w:val="6835B2AE"/>
    <w:multiLevelType w:val="hybridMultilevel"/>
    <w:lvl w:ilvl="0">
      <w:lvlJc w:val="left"/>
      <w:lvlText w:val="%1."/>
      <w:numFmt w:val="decimal"/>
      <w:start w:val="4"/>
    </w:lvl>
  </w:abstractNum>
  <w:abstractNum w:abstractNumId="252">
    <w:nsid w:val="4C187C90"/>
    <w:multiLevelType w:val="hybridMultilevel"/>
    <w:lvl w:ilvl="0">
      <w:lvlJc w:val="left"/>
      <w:lvlText w:val="(%1)"/>
      <w:numFmt w:val="decimal"/>
      <w:start w:val="1"/>
    </w:lvl>
  </w:abstractNum>
  <w:abstractNum w:abstractNumId="253">
    <w:nsid w:val="541F28CD"/>
    <w:multiLevelType w:val="hybridMultilevel"/>
    <w:lvl w:ilvl="0">
      <w:lvlJc w:val="left"/>
      <w:lvlText w:val="(%1)"/>
      <w:numFmt w:val="decimal"/>
      <w:start w:val="1"/>
    </w:lvl>
  </w:abstractNum>
  <w:abstractNum w:abstractNumId="254">
    <w:nsid w:val="7F65FD16"/>
    <w:multiLevelType w:val="hybridMultilevel"/>
    <w:lvl w:ilvl="0">
      <w:lvlJc w:val="left"/>
      <w:lvlText w:val="(%1)"/>
      <w:numFmt w:val="lowerLetter"/>
      <w:start w:val="1"/>
    </w:lvl>
  </w:abstractNum>
  <w:abstractNum w:abstractNumId="255">
    <w:nsid w:val="77C9FD68"/>
    <w:multiLevelType w:val="hybridMultilevel"/>
    <w:lvl w:ilvl="0">
      <w:lvlJc w:val="left"/>
      <w:lvlText w:val="%1."/>
      <w:numFmt w:val="decimal"/>
      <w:start w:val="5"/>
    </w:lvl>
  </w:abstractNum>
  <w:abstractNum w:abstractNumId="256">
    <w:nsid w:val="298A92BA"/>
    <w:multiLevelType w:val="hybridMultilevel"/>
    <w:lvl w:ilvl="0">
      <w:lvlJc w:val="left"/>
      <w:lvlText w:val="(%1)"/>
      <w:numFmt w:val="lowerRoman"/>
      <w:start w:val="5"/>
    </w:lvl>
  </w:abstractNum>
  <w:abstractNum w:abstractNumId="257">
    <w:nsid w:val="6FE95EAC"/>
    <w:multiLevelType w:val="hybridMultilevel"/>
    <w:lvl w:ilvl="0">
      <w:lvlJc w:val="left"/>
      <w:lvlText w:val="●"/>
      <w:numFmt w:val="bullet"/>
      <w:start w:val="1"/>
    </w:lvl>
  </w:abstractNum>
  <w:abstractNum w:abstractNumId="258">
    <w:nsid w:val="4B697C7A"/>
    <w:multiLevelType w:val="hybridMultilevel"/>
    <w:lvl w:ilvl="0">
      <w:lvlJc w:val="left"/>
      <w:lvlText w:val="(%1)"/>
      <w:numFmt w:val="lowerLetter"/>
      <w:start w:val="1"/>
    </w:lvl>
  </w:abstractNum>
  <w:abstractNum w:abstractNumId="259">
    <w:nsid w:val="51A27AA6"/>
    <w:multiLevelType w:val="hybridMultilevel"/>
    <w:lvl w:ilvl="0">
      <w:lvlJc w:val="left"/>
      <w:lvlText w:val="%1."/>
      <w:numFmt w:val="decimal"/>
      <w:start w:val="6"/>
    </w:lvl>
  </w:abstractNum>
  <w:abstractNum w:abstractNumId="260">
    <w:nsid w:val="613183F2"/>
    <w:multiLevelType w:val="hybridMultilevel"/>
    <w:lvl w:ilvl="0">
      <w:lvlJc w:val="left"/>
      <w:lvlText w:val="%1."/>
      <w:numFmt w:val="decimal"/>
      <w:start w:val="7"/>
    </w:lvl>
    <w:lvl w:ilvl="1">
      <w:lvlJc w:val="left"/>
      <w:lvlText w:val="(%2)"/>
      <w:numFmt w:val="decimal"/>
      <w:start w:val="2"/>
    </w:lvl>
  </w:abstractNum>
  <w:abstractNum w:abstractNumId="261">
    <w:nsid w:val="634102B4"/>
    <w:multiLevelType w:val="hybridMultilevel"/>
    <w:lvl w:ilvl="0">
      <w:lvlJc w:val="left"/>
      <w:lvlText w:val="(%1)"/>
      <w:numFmt w:val="lowerLetter"/>
      <w:start w:val="1"/>
    </w:lvl>
  </w:abstractNum>
  <w:abstractNum w:abstractNumId="262">
    <w:nsid w:val="65BF9DA8"/>
    <w:multiLevelType w:val="hybridMultilevel"/>
    <w:lvl w:ilvl="0">
      <w:lvlJc w:val="left"/>
      <w:lvlText w:val="(%1)"/>
      <w:numFmt w:val="lowerLetter"/>
      <w:start w:val="3"/>
    </w:lvl>
  </w:abstractNum>
  <w:abstractNum w:abstractNumId="263">
    <w:nsid w:val="21A2ECCA"/>
    <w:multiLevelType w:val="hybridMultilevel"/>
    <w:lvl w:ilvl="0">
      <w:lvlJc w:val="left"/>
      <w:lvlText w:val="%1."/>
      <w:numFmt w:val="decimal"/>
      <w:start w:val="8"/>
    </w:lvl>
  </w:abstractNum>
  <w:abstractNum w:abstractNumId="264">
    <w:nsid w:val="4D5C4899"/>
    <w:multiLevelType w:val="hybridMultilevel"/>
    <w:lvl w:ilvl="0">
      <w:lvlJc w:val="left"/>
      <w:lvlText w:val="(%1)"/>
      <w:numFmt w:val="lowerLetter"/>
      <w:start w:val="1"/>
    </w:lvl>
  </w:abstractNum>
  <w:abstractNum w:abstractNumId="265">
    <w:nsid w:val="3C3B72B2"/>
    <w:multiLevelType w:val="hybridMultilevel"/>
    <w:lvl w:ilvl="0">
      <w:lvlJc w:val="left"/>
      <w:lvlText w:val="(%1)"/>
      <w:numFmt w:val="lowerLetter"/>
      <w:start w:val="1"/>
    </w:lvl>
  </w:abstractNum>
  <w:abstractNum w:abstractNumId="266">
    <w:nsid w:val="155EC4C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jpe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jpe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jpe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jpe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jpeg"/><Relationship Id="rId343" Type="http://schemas.openxmlformats.org/officeDocument/2006/relationships/image" Target="media/image336.jpeg"/><Relationship Id="rId344" Type="http://schemas.openxmlformats.org/officeDocument/2006/relationships/image" Target="media/image337.jpe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jpeg"/><Relationship Id="rId348" Type="http://schemas.openxmlformats.org/officeDocument/2006/relationships/image" Target="media/image341.jpeg"/><Relationship Id="rId349" Type="http://schemas.openxmlformats.org/officeDocument/2006/relationships/image" Target="media/image342.png"/><Relationship Id="rId350" Type="http://schemas.openxmlformats.org/officeDocument/2006/relationships/image" Target="media/image343.jpeg"/><Relationship Id="rId351" Type="http://schemas.openxmlformats.org/officeDocument/2006/relationships/image" Target="media/image344.jpeg"/><Relationship Id="rId352" Type="http://schemas.openxmlformats.org/officeDocument/2006/relationships/image" Target="media/image345.png"/><Relationship Id="rId353" Type="http://schemas.openxmlformats.org/officeDocument/2006/relationships/image" Target="media/image346.jpeg"/><Relationship Id="rId354" Type="http://schemas.openxmlformats.org/officeDocument/2006/relationships/image" Target="media/image347.jpeg"/><Relationship Id="rId355" Type="http://schemas.openxmlformats.org/officeDocument/2006/relationships/image" Target="media/image348.png"/><Relationship Id="rId356" Type="http://schemas.openxmlformats.org/officeDocument/2006/relationships/image" Target="media/image349.jpeg"/><Relationship Id="rId357" Type="http://schemas.openxmlformats.org/officeDocument/2006/relationships/image" Target="media/image350.jpeg"/><Relationship Id="rId358" Type="http://schemas.openxmlformats.org/officeDocument/2006/relationships/image" Target="media/image351.jpeg"/><Relationship Id="rId359" Type="http://schemas.openxmlformats.org/officeDocument/2006/relationships/image" Target="media/image352.jpe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jpeg"/><Relationship Id="rId366" Type="http://schemas.openxmlformats.org/officeDocument/2006/relationships/image" Target="media/image359.png"/><Relationship Id="rId367" Type="http://schemas.openxmlformats.org/officeDocument/2006/relationships/image" Target="media/image360.jpeg"/><Relationship Id="rId368" Type="http://schemas.openxmlformats.org/officeDocument/2006/relationships/image" Target="media/image361.png"/><Relationship Id="rId369" Type="http://schemas.openxmlformats.org/officeDocument/2006/relationships/image" Target="media/image362.jpe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jpeg"/><Relationship Id="rId373" Type="http://schemas.openxmlformats.org/officeDocument/2006/relationships/image" Target="media/image366.jpe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jpeg"/><Relationship Id="rId379" Type="http://schemas.openxmlformats.org/officeDocument/2006/relationships/image" Target="media/image372.jpeg"/><Relationship Id="rId380" Type="http://schemas.openxmlformats.org/officeDocument/2006/relationships/image" Target="media/image373.jpeg"/><Relationship Id="rId381" Type="http://schemas.openxmlformats.org/officeDocument/2006/relationships/image" Target="media/image374.jpeg"/><Relationship Id="rId382" Type="http://schemas.openxmlformats.org/officeDocument/2006/relationships/image" Target="media/image375.jpeg"/><Relationship Id="rId383" Type="http://schemas.openxmlformats.org/officeDocument/2006/relationships/image" Target="media/image376.jpe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jpe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jpeg"/><Relationship Id="rId399" Type="http://schemas.openxmlformats.org/officeDocument/2006/relationships/image" Target="media/image392.png"/><Relationship Id="rId400" Type="http://schemas.openxmlformats.org/officeDocument/2006/relationships/image" Target="media/image393.jpeg"/><Relationship Id="rId401" Type="http://schemas.openxmlformats.org/officeDocument/2006/relationships/image" Target="media/image394.jpe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jpe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jpe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jpe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jpe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jpe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jpe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jpeg"/><Relationship Id="rId499" Type="http://schemas.openxmlformats.org/officeDocument/2006/relationships/image" Target="media/image492.jpeg"/><Relationship Id="rId500" Type="http://schemas.openxmlformats.org/officeDocument/2006/relationships/image" Target="media/image493.jpeg"/><Relationship Id="rId501" Type="http://schemas.openxmlformats.org/officeDocument/2006/relationships/image" Target="media/image494.jpe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jpeg"/><Relationship Id="rId525" Type="http://schemas.openxmlformats.org/officeDocument/2006/relationships/image" Target="media/image518.jpe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2020-10-05T15:25:31Z</dcterms:created>
  <dcterms:modified xsi:type="dcterms:W3CDTF">2020-10-05T15:25:31Z</dcterms:modified>
</cp:coreProperties>
</file>