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Sennesael Kris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WESTERN DIGITAL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5601 GREAT OAKS PARKWAY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WESTERN DIGITAL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WDC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8,274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178,007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178,026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4,317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468.88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173,709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05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0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10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Dividend Equivalent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19.8821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19.8821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444.3222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were converted into, and paid in the form of, shares of the Issuer's common stock on a one-for-one basis in connection with the vesting of restricted stock units to which the dividend equivalent rights relate. A cash amount was also paid to the holder to settle a fractional dividend equivalent right.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Payment of tax obligation by withholding securities incident to the vesting of securities in accordance with Rule 16b-3(e).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Sandra Garcia Attorney-in-Fact For: Kris Sennesael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2383" TargetMode="External"/><Relationship Id="rId5" Type="http://schemas.openxmlformats.org/officeDocument/2006/relationships/hyperlink" Target="http://www.sec.gov/cgi-bin/browse-edgar?action=getcompany&amp;CIK=000010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708</Words>
  <Characters>3828</Characters>
  <CharactersWithSpaces>4438</CharactersWithSpaces>
  <Paragraphs>126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