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424815</wp:posOffset>
            </wp:positionV>
            <wp:extent cx="3728720" cy="1140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28720" cy="1140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WESTERN DIGITAL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3580" w:type="dxa"/>
            <w:vAlign w:val="bottom"/>
          </w:tcPr>
          <w:p>
            <w:pPr>
              <w:jc w:val="center"/>
              <w:ind w:right="18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001-08703</w:t>
            </w:r>
          </w:p>
        </w:tc>
        <w:tc>
          <w:tcPr>
            <w:tcW w:w="2820" w:type="dxa"/>
            <w:vAlign w:val="bottom"/>
          </w:tcPr>
          <w:p>
            <w:pPr>
              <w:jc w:val="center"/>
              <w:ind w:left="1601"/>
              <w:spacing w:after="0"/>
              <w:rPr>
                <w:sz w:val="20"/>
                <w:szCs w:val="20"/>
                <w:color w:val="auto"/>
              </w:rPr>
            </w:pPr>
            <w:r>
              <w:rPr>
                <w:rFonts w:ascii="Times New Roman" w:cs="Times New Roman" w:eastAsia="Times New Roman" w:hAnsi="Times New Roman"/>
                <w:sz w:val="18"/>
                <w:szCs w:val="18"/>
                <w:b w:val="1"/>
                <w:bCs w:val="1"/>
                <w:color w:val="auto"/>
                <w:w w:val="98"/>
              </w:rPr>
              <w:t>33-0956711</w:t>
            </w:r>
          </w:p>
        </w:tc>
        <w:tc>
          <w:tcPr>
            <w:tcW w:w="0" w:type="dxa"/>
            <w:vAlign w:val="bottom"/>
          </w:tcPr>
          <w:p>
            <w:pPr>
              <w:spacing w:after="0"/>
              <w:rPr>
                <w:sz w:val="1"/>
                <w:szCs w:val="1"/>
                <w:color w:val="auto"/>
              </w:rPr>
            </w:pPr>
          </w:p>
        </w:tc>
      </w:tr>
      <w:tr>
        <w:trPr>
          <w:trHeight w:val="148"/>
        </w:trPr>
        <w:tc>
          <w:tcPr>
            <w:tcW w:w="3580" w:type="dxa"/>
            <w:vAlign w:val="bottom"/>
          </w:tcPr>
          <w:p>
            <w:pPr>
              <w:jc w:val="center"/>
              <w:ind w:right="179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0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20" w:type="dxa"/>
            <w:vAlign w:val="bottom"/>
          </w:tcPr>
          <w:p>
            <w:pPr>
              <w:jc w:val="center"/>
              <w:ind w:lef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80" w:type="dxa"/>
            <w:vAlign w:val="bottom"/>
          </w:tcPr>
          <w:p>
            <w:pPr>
              <w:jc w:val="center"/>
              <w:ind w:right="179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2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33"/>
        </w:trPr>
        <w:tc>
          <w:tcPr>
            <w:tcW w:w="358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rPr>
              <w:t>5601 Great Oaks Parkway</w:t>
            </w:r>
          </w:p>
        </w:tc>
        <w:tc>
          <w:tcPr>
            <w:tcW w:w="24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San Jose</w:t>
            </w:r>
          </w:p>
        </w:tc>
        <w:tc>
          <w:tcPr>
            <w:tcW w:w="2400" w:type="dxa"/>
            <w:vAlign w:val="bottom"/>
          </w:tcPr>
          <w:p>
            <w:pPr>
              <w:spacing w:after="0"/>
              <w:rPr>
                <w:sz w:val="18"/>
                <w:szCs w:val="18"/>
                <w:color w:val="auto"/>
              </w:rPr>
            </w:pPr>
          </w:p>
        </w:tc>
        <w:tc>
          <w:tcPr>
            <w:tcW w:w="2820" w:type="dxa"/>
            <w:vAlign w:val="bottom"/>
            <w:vMerge w:val="restart"/>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95119</w:t>
            </w:r>
          </w:p>
        </w:tc>
        <w:tc>
          <w:tcPr>
            <w:tcW w:w="0" w:type="dxa"/>
            <w:vAlign w:val="bottom"/>
          </w:tcPr>
          <w:p>
            <w:pPr>
              <w:spacing w:after="0"/>
              <w:rPr>
                <w:sz w:val="1"/>
                <w:szCs w:val="1"/>
                <w:color w:val="auto"/>
              </w:rPr>
            </w:pPr>
          </w:p>
        </w:tc>
      </w:tr>
      <w:tr>
        <w:trPr>
          <w:trHeight w:val="200"/>
        </w:trPr>
        <w:tc>
          <w:tcPr>
            <w:tcW w:w="3580" w:type="dxa"/>
            <w:vAlign w:val="bottom"/>
          </w:tcPr>
          <w:p>
            <w:pPr>
              <w:jc w:val="center"/>
              <w:ind w:right="18"/>
              <w:spacing w:after="0" w:line="201" w:lineRule="exact"/>
              <w:rPr>
                <w:sz w:val="20"/>
                <w:szCs w:val="20"/>
                <w:color w:val="auto"/>
              </w:rPr>
            </w:pPr>
            <w:r>
              <w:rPr>
                <w:rFonts w:ascii="Times New Roman" w:cs="Times New Roman" w:eastAsia="Times New Roman" w:hAnsi="Times New Roman"/>
                <w:sz w:val="18"/>
                <w:szCs w:val="18"/>
                <w:b w:val="1"/>
                <w:bCs w:val="1"/>
                <w:color w:val="auto"/>
              </w:rPr>
              <w:t>California</w:t>
            </w:r>
          </w:p>
        </w:tc>
        <w:tc>
          <w:tcPr>
            <w:tcW w:w="2400" w:type="dxa"/>
            <w:vAlign w:val="bottom"/>
          </w:tcPr>
          <w:p>
            <w:pPr>
              <w:spacing w:after="0"/>
              <w:rPr>
                <w:sz w:val="17"/>
                <w:szCs w:val="17"/>
                <w:color w:val="auto"/>
              </w:rPr>
            </w:pPr>
          </w:p>
        </w:tc>
        <w:tc>
          <w:tcPr>
            <w:tcW w:w="2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0" w:type="dxa"/>
            <w:vAlign w:val="bottom"/>
          </w:tcPr>
          <w:p>
            <w:pPr>
              <w:spacing w:after="0"/>
              <w:rPr>
                <w:sz w:val="17"/>
                <w:szCs w:val="17"/>
                <w:color w:val="auto"/>
              </w:rPr>
            </w:pPr>
          </w:p>
        </w:tc>
        <w:tc>
          <w:tcPr>
            <w:tcW w:w="28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717-6000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WDC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jc w:val="center"/>
        <w:ind w:right="-419"/>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68"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720"/>
          </w:cols>
          <w:pgMar w:left="440" w:top="293" w:right="539" w:bottom="1440" w:gutter="0" w:footer="0" w:header="0"/>
        </w:sect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Robert Soderbery will cease to serve as Executive Vice President and General Manager, Flash Business, of Western Digital Corporation (the “Company”), effective January 2, 2025, at which time his employment with the company will terminate. Pursuant to the terms and conditions of the Company’s Amended and Restated Executive Severance Plan (the “Severance Plan”), the material terms of which have been previously disclosed and a copy previously filed with the SEC, Mr. Soderbery is entitled to receive Tier I severance benefits under the Severance Plan (the “Severance Benefits”). Mr. Soderbery’s receipt of the Severance Benefits is subject to his non-revocation of a general release of claims.</w:t>
      </w:r>
    </w:p>
    <w:p>
      <w:pPr>
        <w:sectPr>
          <w:pgSz w:w="11900" w:h="16838" w:orient="portrait"/>
          <w:cols w:equalWidth="0" w:num="1">
            <w:col w:w="10920"/>
          </w:cols>
          <w:pgMar w:left="440" w:top="293" w:right="539" w:bottom="1440" w:gutter="0" w:footer="0" w:header="0"/>
          <w:type w:val="continuous"/>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7" w:lineRule="exact"/>
        <w:rPr>
          <w:sz w:val="20"/>
          <w:szCs w:val="20"/>
          <w:color w:val="auto"/>
        </w:rPr>
      </w:pPr>
    </w:p>
    <w:p>
      <w:pPr>
        <w:ind w:left="6620"/>
        <w:spacing w:after="0"/>
        <w:tabs>
          <w:tab w:leader="none" w:pos="8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Cynthia Tregillis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Cynthia Tregillis</w:t>
      </w:r>
    </w:p>
    <w:p>
      <w:pPr>
        <w:spacing w:after="0" w:line="27"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Senior Vice President, Chief Legal Officer</w:t>
      </w:r>
    </w:p>
    <w:p>
      <w:pPr>
        <w:spacing w:after="0" w:line="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and Secretary</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December 13, 2024</w:t>
      </w:r>
    </w:p>
    <w:sectPr>
      <w:pgSz w:w="11900" w:h="16838" w:orient="portrait"/>
      <w:cols w:equalWidth="0" w:num="1">
        <w:col w:w="10780"/>
      </w:cols>
      <w:pgMar w:left="440" w:top="29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2024-12-13T15:12:15Z</dcterms:created>
  <dcterms:modified xsi:type="dcterms:W3CDTF">2024-12-13T15:12:15Z</dcterms:modified>
</cp:coreProperties>
</file>