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2768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2139950</wp:posOffset>
            </wp:positionH>
            <wp:positionV relativeFrom="paragraph">
              <wp:posOffset>52705</wp:posOffset>
            </wp:positionV>
            <wp:extent cx="2768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1934210</wp:posOffset>
            </wp:positionH>
            <wp:positionV relativeFrom="paragraph">
              <wp:posOffset>176530</wp:posOffset>
            </wp:positionV>
            <wp:extent cx="3180080"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0080"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53340</wp:posOffset>
            </wp:positionV>
            <wp:extent cx="20828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190" w:lineRule="exact"/>
        <w:rPr>
          <w:sz w:val="24"/>
          <w:szCs w:val="24"/>
          <w:color w:val="auto"/>
        </w:rPr>
      </w:pPr>
    </w:p>
    <w:tbl>
      <w:tblPr>
        <w:tblLayout w:type="fixed"/>
        <w:tblInd w:w="620" w:type="dxa"/>
        <w:tblCellMar>
          <w:top w:w="0" w:type="dxa"/>
          <w:left w:w="0" w:type="dxa"/>
          <w:bottom w:w="0" w:type="dxa"/>
          <w:right w:w="0" w:type="dxa"/>
        </w:tblCellMar>
      </w:tblPr>
      <w:tr>
        <w:trPr>
          <w:trHeight w:val="227"/>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820" w:type="dxa"/>
            <w:vAlign w:val="bottom"/>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001-08703</w:t>
            </w:r>
          </w:p>
        </w:tc>
        <w:tc>
          <w:tcPr>
            <w:tcW w:w="17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33-0956711</w:t>
            </w:r>
          </w:p>
        </w:tc>
      </w:tr>
      <w:tr>
        <w:trPr>
          <w:trHeight w:val="146"/>
        </w:trPr>
        <w:tc>
          <w:tcPr>
            <w:tcW w:w="266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820" w:type="dxa"/>
            <w:vAlign w:val="bottom"/>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00" w:type="dxa"/>
            <w:vAlign w:val="bottom"/>
          </w:tcPr>
          <w:p>
            <w:pPr>
              <w:jc w:val="center"/>
              <w:ind w:left="481"/>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8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4"/>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5601 Great Oaks Parkway</w:t>
            </w:r>
          </w:p>
        </w:tc>
        <w:tc>
          <w:tcPr>
            <w:tcW w:w="4820" w:type="dxa"/>
            <w:vAlign w:val="bottom"/>
          </w:tcPr>
          <w:p>
            <w:pPr>
              <w:spacing w:after="0"/>
              <w:rPr>
                <w:sz w:val="24"/>
                <w:szCs w:val="24"/>
                <w:color w:val="auto"/>
              </w:rPr>
            </w:pPr>
          </w:p>
        </w:tc>
        <w:tc>
          <w:tcPr>
            <w:tcW w:w="1700" w:type="dxa"/>
            <w:vAlign w:val="bottom"/>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95119</w:t>
            </w:r>
          </w:p>
        </w:tc>
      </w:tr>
      <w:tr>
        <w:trPr>
          <w:trHeight w:val="238"/>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9"/>
              </w:rPr>
              <w:t>San Jose</w:t>
            </w:r>
          </w:p>
        </w:tc>
        <w:tc>
          <w:tcPr>
            <w:tcW w:w="48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57"/>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48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6"/>
        </w:trPr>
        <w:tc>
          <w:tcPr>
            <w:tcW w:w="26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820" w:type="dxa"/>
            <w:vAlign w:val="bottom"/>
          </w:tcPr>
          <w:p>
            <w:pPr>
              <w:spacing w:after="0"/>
              <w:rPr>
                <w:sz w:val="17"/>
                <w:szCs w:val="17"/>
                <w:color w:val="auto"/>
              </w:rPr>
            </w:pPr>
          </w:p>
        </w:tc>
        <w:tc>
          <w:tcPr>
            <w:tcW w:w="1700" w:type="dxa"/>
            <w:vAlign w:val="bottom"/>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6"/>
        </w:trPr>
        <w:tc>
          <w:tcPr>
            <w:tcW w:w="2660" w:type="dxa"/>
            <w:vAlign w:val="bottom"/>
          </w:tcPr>
          <w:p>
            <w:pPr>
              <w:spacing w:after="0"/>
              <w:rPr>
                <w:sz w:val="24"/>
                <w:szCs w:val="24"/>
                <w:color w:val="auto"/>
              </w:rPr>
            </w:pPr>
          </w:p>
        </w:tc>
        <w:tc>
          <w:tcPr>
            <w:tcW w:w="482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(408) 717-6000</w:t>
            </w:r>
          </w:p>
        </w:tc>
        <w:tc>
          <w:tcPr>
            <w:tcW w:w="1700" w:type="dxa"/>
            <w:vAlign w:val="bottom"/>
          </w:tcPr>
          <w:p>
            <w:pPr>
              <w:spacing w:after="0"/>
              <w:rPr>
                <w:sz w:val="24"/>
                <w:szCs w:val="24"/>
                <w:color w:val="auto"/>
              </w:rPr>
            </w:pPr>
          </w:p>
        </w:tc>
      </w:tr>
      <w:tr>
        <w:trPr>
          <w:trHeight w:val="190"/>
        </w:trPr>
        <w:tc>
          <w:tcPr>
            <w:tcW w:w="2660" w:type="dxa"/>
            <w:vAlign w:val="bottom"/>
          </w:tcPr>
          <w:p>
            <w:pPr>
              <w:spacing w:after="0"/>
              <w:rPr>
                <w:sz w:val="16"/>
                <w:szCs w:val="16"/>
                <w:color w:val="auto"/>
              </w:rPr>
            </w:pPr>
          </w:p>
        </w:tc>
        <w:tc>
          <w:tcPr>
            <w:tcW w:w="482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00" w:type="dxa"/>
            <w:vAlign w:val="bottom"/>
          </w:tcPr>
          <w:p>
            <w:pPr>
              <w:spacing w:after="0"/>
              <w:rPr>
                <w:sz w:val="16"/>
                <w:szCs w:val="16"/>
                <w:color w:val="auto"/>
              </w:rPr>
            </w:pPr>
          </w:p>
        </w:tc>
      </w:tr>
      <w:tr>
        <w:trPr>
          <w:trHeight w:val="469"/>
        </w:trPr>
        <w:tc>
          <w:tcPr>
            <w:tcW w:w="2660" w:type="dxa"/>
            <w:vAlign w:val="bottom"/>
          </w:tcPr>
          <w:p>
            <w:pPr>
              <w:spacing w:after="0"/>
              <w:rPr>
                <w:sz w:val="24"/>
                <w:szCs w:val="24"/>
                <w:color w:val="auto"/>
              </w:rPr>
            </w:pPr>
          </w:p>
        </w:tc>
        <w:tc>
          <w:tcPr>
            <w:tcW w:w="4820" w:type="dxa"/>
            <w:vAlign w:val="bottom"/>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00" w:type="dxa"/>
            <w:vAlign w:val="bottom"/>
          </w:tcPr>
          <w:p>
            <w:pPr>
              <w:spacing w:after="0"/>
              <w:rPr>
                <w:sz w:val="24"/>
                <w:szCs w:val="24"/>
                <w:color w:val="auto"/>
              </w:rPr>
            </w:pPr>
          </w:p>
        </w:tc>
      </w:tr>
      <w:tr>
        <w:trPr>
          <w:trHeight w:val="246"/>
        </w:trPr>
        <w:tc>
          <w:tcPr>
            <w:tcW w:w="2660" w:type="dxa"/>
            <w:vAlign w:val="bottom"/>
          </w:tcPr>
          <w:p>
            <w:pPr>
              <w:spacing w:after="0"/>
              <w:rPr>
                <w:sz w:val="21"/>
                <w:szCs w:val="21"/>
                <w:color w:val="auto"/>
              </w:rPr>
            </w:pPr>
          </w:p>
        </w:tc>
        <w:tc>
          <w:tcPr>
            <w:tcW w:w="4820" w:type="dxa"/>
            <w:vAlign w:val="bottom"/>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00" w:type="dxa"/>
            <w:vAlign w:val="bottom"/>
          </w:tcPr>
          <w:p>
            <w:pPr>
              <w:spacing w:after="0"/>
              <w:rPr>
                <w:sz w:val="21"/>
                <w:szCs w:val="2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2139950</wp:posOffset>
            </wp:positionH>
            <wp:positionV relativeFrom="paragraph">
              <wp:posOffset>57785</wp:posOffset>
            </wp:positionV>
            <wp:extent cx="27686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54"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i w:val="1"/>
          <w:iCs w:val="1"/>
          <w:color w:val="auto"/>
        </w:rPr>
        <w:t>see</w:t>
      </w:r>
      <w:r>
        <w:rPr>
          <w:rFonts w:ascii="Times New Roman" w:cs="Times New Roman" w:eastAsia="Times New Roman" w:hAnsi="Times New Roman"/>
          <w:sz w:val="14"/>
          <w:szCs w:val="14"/>
          <w:color w:val="auto"/>
        </w:rPr>
        <w:t xml:space="preserve"> General Instruction A.2. below):</w:t>
      </w:r>
    </w:p>
    <w:p>
      <w:pPr>
        <w:spacing w:after="0" w:line="18" w:lineRule="exact"/>
        <w:rPr>
          <w:sz w:val="24"/>
          <w:szCs w:val="24"/>
          <w:color w:val="auto"/>
        </w:rPr>
      </w:pPr>
    </w:p>
    <w:p>
      <w:pPr>
        <w:ind w:left="860" w:hanging="455"/>
        <w:spacing w:after="0"/>
        <w:tabs>
          <w:tab w:leader="none" w:pos="8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95" w:lineRule="exact"/>
        <w:rPr>
          <w:rFonts w:ascii="MS PGothic" w:cs="MS PGothic" w:eastAsia="MS PGothic" w:hAnsi="MS PGothic"/>
          <w:sz w:val="14"/>
          <w:szCs w:val="14"/>
          <w:color w:val="auto"/>
        </w:rPr>
      </w:pPr>
    </w:p>
    <w:p>
      <w:pPr>
        <w:ind w:left="860" w:hanging="455"/>
        <w:spacing w:after="0"/>
        <w:tabs>
          <w:tab w:leader="none" w:pos="8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95" w:lineRule="exact"/>
        <w:rPr>
          <w:rFonts w:ascii="MS PGothic" w:cs="MS PGothic" w:eastAsia="MS PGothic" w:hAnsi="MS PGothic"/>
          <w:sz w:val="14"/>
          <w:szCs w:val="14"/>
          <w:color w:val="auto"/>
        </w:rPr>
      </w:pPr>
    </w:p>
    <w:p>
      <w:pPr>
        <w:ind w:left="860" w:hanging="455"/>
        <w:spacing w:after="0"/>
        <w:tabs>
          <w:tab w:leader="none" w:pos="8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95" w:lineRule="exact"/>
        <w:rPr>
          <w:rFonts w:ascii="MS PGothic" w:cs="MS PGothic" w:eastAsia="MS PGothic" w:hAnsi="MS PGothic"/>
          <w:sz w:val="14"/>
          <w:szCs w:val="14"/>
          <w:color w:val="auto"/>
        </w:rPr>
      </w:pPr>
    </w:p>
    <w:p>
      <w:pPr>
        <w:ind w:left="860" w:hanging="455"/>
        <w:spacing w:after="0"/>
        <w:tabs>
          <w:tab w:leader="none" w:pos="8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-57785</wp:posOffset>
            </wp:positionH>
            <wp:positionV relativeFrom="paragraph">
              <wp:posOffset>654050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00" w:top="1091" w:right="4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8"/>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402"/>
        </w:trPr>
        <w:tc>
          <w:tcPr>
            <w:tcW w:w="132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780" w:type="dxa"/>
            <w:vAlign w:val="bottom"/>
          </w:tcPr>
          <w:p>
            <w:pPr>
              <w:spacing w:after="0"/>
              <w:rPr>
                <w:sz w:val="24"/>
                <w:szCs w:val="24"/>
                <w:color w:val="auto"/>
              </w:rPr>
            </w:pPr>
          </w:p>
        </w:tc>
        <w:tc>
          <w:tcPr>
            <w:tcW w:w="29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600" w:type="dxa"/>
            <w:vAlign w:val="bottom"/>
            <w:gridSpan w:val="2"/>
          </w:tcPr>
          <w:p>
            <w:pPr>
              <w:jc w:val="center"/>
              <w:ind w:left="8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253"/>
        </w:trPr>
        <w:tc>
          <w:tcPr>
            <w:tcW w:w="418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840" w:type="dxa"/>
            <w:vAlign w:val="bottom"/>
          </w:tcPr>
          <w:p>
            <w:pPr>
              <w:spacing w:after="0"/>
              <w:rPr>
                <w:sz w:val="22"/>
                <w:szCs w:val="22"/>
                <w:color w:val="auto"/>
              </w:rPr>
            </w:pPr>
          </w:p>
        </w:tc>
        <w:tc>
          <w:tcPr>
            <w:tcW w:w="206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color w:val="auto"/>
              </w:rPr>
              <w:t>WDC</w:t>
            </w:r>
          </w:p>
        </w:tc>
        <w:tc>
          <w:tcPr>
            <w:tcW w:w="920" w:type="dxa"/>
            <w:vAlign w:val="bottom"/>
          </w:tcPr>
          <w:p>
            <w:pPr>
              <w:spacing w:after="0"/>
              <w:rPr>
                <w:sz w:val="22"/>
                <w:szCs w:val="22"/>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30"/>
        </w:trPr>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r>
    </w:tbl>
    <w:p>
      <w:pPr>
        <w:spacing w:after="0" w:line="16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ind w:left="588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50" w:lineRule="exact"/>
        <w:rPr>
          <w:sz w:val="20"/>
          <w:szCs w:val="20"/>
          <w:color w:val="auto"/>
        </w:rPr>
      </w:pPr>
    </w:p>
    <w:p>
      <w:pPr>
        <w:ind w:right="220"/>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725805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2178050</wp:posOffset>
            </wp:positionH>
            <wp:positionV relativeFrom="paragraph">
              <wp:posOffset>69850</wp:posOffset>
            </wp:positionV>
            <wp:extent cx="2768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ectPr>
          <w:pgSz w:w="11900" w:h="16838" w:orient="portrait"/>
          <w:cols w:equalWidth="0" w:num="1">
            <w:col w:w="10880"/>
          </w:cols>
          <w:pgMar w:left="340" w:top="1021" w:right="679" w:bottom="1440" w:gutter="0" w:footer="0" w:header="0"/>
        </w:sectPr>
      </w:pPr>
    </w:p>
    <w:bookmarkStart w:id="2" w:name="page3"/>
    <w:bookmarkEnd w:id="2"/>
    <w:p>
      <w:pPr>
        <w:ind w:left="900" w:right="160" w:hanging="1295"/>
        <w:spacing w:after="0" w:line="271" w:lineRule="auto"/>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85" w:lineRule="exact"/>
        <w:rPr>
          <w:sz w:val="20"/>
          <w:szCs w:val="20"/>
          <w:color w:val="auto"/>
        </w:rPr>
      </w:pPr>
    </w:p>
    <w:p>
      <w:pPr>
        <w:ind w:right="120" w:firstLine="445"/>
        <w:spacing w:after="0" w:line="242" w:lineRule="auto"/>
        <w:rPr>
          <w:sz w:val="20"/>
          <w:szCs w:val="20"/>
          <w:color w:val="auto"/>
        </w:rPr>
      </w:pPr>
      <w:r>
        <w:rPr>
          <w:rFonts w:ascii="Times New Roman" w:cs="Times New Roman" w:eastAsia="Times New Roman" w:hAnsi="Times New Roman"/>
          <w:sz w:val="18"/>
          <w:szCs w:val="18"/>
          <w:color w:val="auto"/>
        </w:rPr>
        <w:t>On May 26, 2026, the Board of Directors (the “Board”) of Western Digital Corporation (the “Company”) unanimously appointed Manuvir Das to serve as a member of the Board until the Company’s next annual meeting of stockholders and until his successor is duly elected and qualified. In addition, Mr. Das was appointed as a member of the Audit Committee of the Board. There are no arrangements or understandings between Mr. Das and any other person pursuant to which Mr. Das was appointed to serve on the Board. Mr. Das does not have any direct or indirect material interest in any transaction required to be disclosed pursuant to Item 404(a) of Regulation S-K.</w:t>
      </w:r>
    </w:p>
    <w:p>
      <w:pPr>
        <w:spacing w:after="0" w:line="198" w:lineRule="exact"/>
        <w:rPr>
          <w:sz w:val="20"/>
          <w:szCs w:val="20"/>
          <w:color w:val="auto"/>
        </w:rPr>
      </w:pPr>
    </w:p>
    <w:p>
      <w:pPr>
        <w:ind w:firstLine="445"/>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Mr. Das will receive compensation for his services as a director in accordance with the Company’s standard compensation program for non-employee directors, which is summarized in the </w:t>
      </w:r>
      <w:hyperlink r:id="rId16">
        <w:r>
          <w:rPr>
            <w:rFonts w:ascii="Times New Roman" w:cs="Times New Roman" w:eastAsia="Times New Roman" w:hAnsi="Times New Roman"/>
            <w:sz w:val="18"/>
            <w:szCs w:val="18"/>
            <w:u w:val="single" w:color="auto"/>
            <w:color w:val="0000FF"/>
          </w:rPr>
          <w:t>“Director Compensation” section of the Company’s Proxy Statement</w:t>
        </w:r>
      </w:hyperlink>
      <w:r>
        <w:rPr>
          <w:rFonts w:ascii="Times New Roman" w:cs="Times New Roman" w:eastAsia="Times New Roman" w:hAnsi="Times New Roman"/>
          <w:sz w:val="18"/>
          <w:szCs w:val="18"/>
          <w:color w:val="auto"/>
        </w:rPr>
        <w:t xml:space="preserve">, as filed with the Securities and Exchange Commission (the “SEC”) on October 6, 2025. In accordance with the Company’s customary practice, the Company will also enter into its standard form of indemnification agreement with Mr. Das, which agreement is filed as </w:t>
      </w:r>
      <w:hyperlink r:id="rId17">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Current Report on Form 8-K, as filed with the SEC on January 30, 2025.</w:t>
      </w:r>
    </w:p>
    <w:p>
      <w:pPr>
        <w:spacing w:after="0" w:line="22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43" w:lineRule="exact"/>
        <w:rPr>
          <w:sz w:val="20"/>
          <w:szCs w:val="20"/>
          <w:color w:val="auto"/>
        </w:rPr>
      </w:pPr>
    </w:p>
    <w:p>
      <w:pPr>
        <w:ind w:right="200" w:firstLine="445"/>
        <w:spacing w:after="0" w:line="266" w:lineRule="auto"/>
        <w:rPr>
          <w:sz w:val="20"/>
          <w:szCs w:val="20"/>
          <w:color w:val="auto"/>
        </w:rPr>
      </w:pPr>
      <w:r>
        <w:rPr>
          <w:rFonts w:ascii="Times New Roman" w:cs="Times New Roman" w:eastAsia="Times New Roman" w:hAnsi="Times New Roman"/>
          <w:sz w:val="18"/>
          <w:szCs w:val="18"/>
          <w:color w:val="auto"/>
        </w:rPr>
        <w:t>The Company issued a press release on May 28, 2026 announcing Mr. Das’s appointment as a member of the Board. The press release making this announcement is attached hereto as Exhibit 99.1 and is incorporated herein by reference.</w:t>
      </w:r>
    </w:p>
    <w:p>
      <w:pPr>
        <w:spacing w:after="0" w:line="189" w:lineRule="exact"/>
        <w:rPr>
          <w:sz w:val="20"/>
          <w:szCs w:val="20"/>
          <w:color w:val="auto"/>
        </w:rPr>
      </w:pPr>
    </w:p>
    <w:p>
      <w:pPr>
        <w:ind w:right="80" w:firstLine="445"/>
        <w:spacing w:after="0" w:line="245"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including Exhibit 99.1, shall not be deemed to be “filed” for purposes of Section 18 of the Securities Exchange Act of 1934, as amended (the “Exchange Act”), or otherwise subject to the liabilities of that section, and shall not be incorporated by reference into any registration statement or other document filed under the Securities Act of 1933, as amended, or the Exchange Act, except as shall be expressly set forth by specific reference in such filing.</w:t>
      </w:r>
    </w:p>
    <w:p>
      <w:pPr>
        <w:spacing w:after="0" w:line="21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52" w:lineRule="exact"/>
        <w:rPr>
          <w:sz w:val="20"/>
          <w:szCs w:val="20"/>
          <w:color w:val="auto"/>
        </w:rPr>
      </w:pPr>
    </w:p>
    <w:p>
      <w:pPr>
        <w:ind w:left="680" w:hanging="267"/>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u w:val="single" w:color="auto"/>
          <w:color w:val="0000FF"/>
        </w:rPr>
        <w:t>Press Release issued by Western Digital Corporation on May 28, 2026.</w:t>
      </w:r>
    </w:p>
    <w:p>
      <w:pPr>
        <w:spacing w:after="0" w:line="239" w:lineRule="exact"/>
        <w:rPr>
          <w:sz w:val="20"/>
          <w:szCs w:val="20"/>
          <w:color w:val="auto"/>
        </w:rPr>
      </w:pPr>
    </w:p>
    <w:p>
      <w:pPr>
        <w:ind w:left="420"/>
        <w:spacing w:after="0"/>
        <w:tabs>
          <w:tab w:leader="none" w:pos="8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4" w:right="359" w:bottom="1440" w:gutter="0" w:footer="0" w:header="0"/>
        </w:sectPr>
      </w:pPr>
    </w:p>
    <w:bookmarkStart w:id="3" w:name="page4"/>
    <w:bookmarkEnd w:id="3"/>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74" w:lineRule="exact"/>
        <w:rPr>
          <w:sz w:val="20"/>
          <w:szCs w:val="20"/>
          <w:color w:val="auto"/>
        </w:rPr>
      </w:pPr>
    </w:p>
    <w:p>
      <w:pPr>
        <w:ind w:left="5200"/>
        <w:spacing w:after="0"/>
        <w:tabs>
          <w:tab w:leader="none" w:pos="7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Cynthia Tregillis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33947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16"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color w:val="auto"/>
        </w:rPr>
        <w:t>Cynthia Tregillis</w:t>
      </w:r>
    </w:p>
    <w:p>
      <w:pPr>
        <w:spacing w:after="0" w:line="1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Legal Officer</w:t>
      </w:r>
    </w:p>
    <w:p>
      <w:pPr>
        <w:ind w:left="7940"/>
        <w:spacing w:after="0"/>
        <w:rPr>
          <w:sz w:val="20"/>
          <w:szCs w:val="20"/>
          <w:color w:val="auto"/>
        </w:rPr>
      </w:pPr>
      <w:r>
        <w:rPr>
          <w:rFonts w:ascii="Times New Roman" w:cs="Times New Roman" w:eastAsia="Times New Roman" w:hAnsi="Times New Roman"/>
          <w:sz w:val="18"/>
          <w:szCs w:val="18"/>
          <w:color w:val="auto"/>
        </w:rPr>
        <w:t>and Secretary</w:t>
      </w:r>
    </w:p>
    <w:p>
      <w:pPr>
        <w:spacing w:after="0" w:line="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May 28, 2026</w:t>
      </w:r>
    </w:p>
    <w:p>
      <w:pPr>
        <w:sectPr>
          <w:pgSz w:w="11900" w:h="16838" w:orient="portrait"/>
          <w:cols w:equalWidth="0" w:num="1">
            <w:col w:w="10980"/>
          </w:cols>
          <w:pgMar w:left="320" w:top="1170" w:right="599" w:bottom="1440" w:gutter="0" w:footer="0" w:header="0"/>
        </w:sectPr>
      </w:pPr>
    </w:p>
    <w:bookmarkStart w:id="4" w:name="page5"/>
    <w:bookmarkEnd w:id="4"/>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WD Appoints Manuvir Das to Board of Directors</w:t>
      </w:r>
    </w:p>
    <w:p>
      <w:pPr>
        <w:spacing w:after="0" w:line="42" w:lineRule="exact"/>
        <w:rPr>
          <w:sz w:val="20"/>
          <w:szCs w:val="20"/>
          <w:color w:val="auto"/>
        </w:rPr>
      </w:pPr>
    </w:p>
    <w:p>
      <w:pPr>
        <w:jc w:val="center"/>
        <w:ind w:left="380" w:right="80"/>
        <w:spacing w:after="0" w:line="295" w:lineRule="auto"/>
        <w:rPr>
          <w:sz w:val="20"/>
          <w:szCs w:val="20"/>
          <w:color w:val="auto"/>
        </w:rPr>
      </w:pPr>
      <w:r>
        <w:rPr>
          <w:rFonts w:ascii="Arial" w:cs="Arial" w:eastAsia="Arial" w:hAnsi="Arial"/>
          <w:sz w:val="20"/>
          <w:szCs w:val="20"/>
          <w:i w:val="1"/>
          <w:iCs w:val="1"/>
          <w:color w:val="auto"/>
        </w:rPr>
        <w:t>Veteran technology executive and AI infrastructure leader brings deep expertise in enterprise AI, data infrastructure and cloud computing</w:t>
      </w:r>
    </w:p>
    <w:p>
      <w:pPr>
        <w:spacing w:after="0" w:line="98" w:lineRule="exact"/>
        <w:rPr>
          <w:sz w:val="20"/>
          <w:szCs w:val="20"/>
          <w:color w:val="auto"/>
        </w:rPr>
      </w:pPr>
    </w:p>
    <w:p>
      <w:pPr>
        <w:ind w:right="180"/>
        <w:spacing w:after="0" w:line="283" w:lineRule="auto"/>
        <w:rPr>
          <w:sz w:val="20"/>
          <w:szCs w:val="20"/>
          <w:color w:val="auto"/>
        </w:rPr>
      </w:pPr>
      <w:r>
        <w:rPr>
          <w:rFonts w:ascii="Arial" w:cs="Arial" w:eastAsia="Arial" w:hAnsi="Arial"/>
          <w:sz w:val="22"/>
          <w:szCs w:val="22"/>
          <w:b w:val="1"/>
          <w:bCs w:val="1"/>
          <w:color w:val="auto"/>
        </w:rPr>
        <w:t xml:space="preserve">SAN JOSE, Calif. – May 28, 2026 – </w:t>
      </w:r>
      <w:r>
        <w:rPr>
          <w:rFonts w:ascii="Arial" w:cs="Arial" w:eastAsia="Arial" w:hAnsi="Arial"/>
          <w:sz w:val="22"/>
          <w:szCs w:val="22"/>
          <w:color w:val="auto"/>
        </w:rPr>
        <w:t>Western Digital Corporation (Nasdaq: WDC), the storage foundation of the AI-driven data economy, today announced the appointment of Manuvir Das to its board of directors, effective May 26, 2026. Das previously held senior leadership roles at NVIDIA, Dell EMC, and Microsoft, and brings deep expertise in enterprise AI, data infrastructure, and cloud computing. He currently serves as an Operating Partner in the Digital Infrastructure group at Stonepeak Partners LP, a position he assumed in April 2025.</w:t>
      </w:r>
    </w:p>
    <w:p>
      <w:pPr>
        <w:spacing w:after="0" w:line="104" w:lineRule="exact"/>
        <w:rPr>
          <w:sz w:val="20"/>
          <w:szCs w:val="20"/>
          <w:color w:val="auto"/>
        </w:rPr>
      </w:pPr>
    </w:p>
    <w:p>
      <w:pPr>
        <w:ind w:right="140"/>
        <w:spacing w:after="0" w:line="282" w:lineRule="auto"/>
        <w:rPr>
          <w:sz w:val="20"/>
          <w:szCs w:val="20"/>
          <w:color w:val="auto"/>
        </w:rPr>
      </w:pPr>
      <w:r>
        <w:rPr>
          <w:rFonts w:ascii="Arial" w:cs="Arial" w:eastAsia="Arial" w:hAnsi="Arial"/>
          <w:sz w:val="22"/>
          <w:szCs w:val="22"/>
          <w:color w:val="auto"/>
        </w:rPr>
        <w:t>“Manuvir is a highly respected technology leader with a strong track record of driving innovation across some of the world’s leading AI, cloud, and enterprise infrastructure companies,” said Marty Cole, chairman, WD. “His experience helping enterprises operationalize AI at scale, combined with his deep understanding of data infrastructure and storage, will be invaluable as WD continues building the infrastructure that makes AI possible. We are excited to welcome Manuvir to the board.”</w:t>
      </w:r>
    </w:p>
    <w:p>
      <w:pPr>
        <w:spacing w:after="0" w:line="107" w:lineRule="exact"/>
        <w:rPr>
          <w:sz w:val="20"/>
          <w:szCs w:val="20"/>
          <w:color w:val="auto"/>
        </w:rPr>
      </w:pPr>
    </w:p>
    <w:p>
      <w:pPr>
        <w:ind w:right="160"/>
        <w:spacing w:after="0" w:line="282" w:lineRule="auto"/>
        <w:rPr>
          <w:sz w:val="20"/>
          <w:szCs w:val="20"/>
          <w:color w:val="auto"/>
        </w:rPr>
      </w:pPr>
      <w:r>
        <w:rPr>
          <w:rFonts w:ascii="Arial" w:cs="Arial" w:eastAsia="Arial" w:hAnsi="Arial"/>
          <w:sz w:val="22"/>
          <w:szCs w:val="22"/>
          <w:color w:val="auto"/>
        </w:rPr>
        <w:t>"I am honored to join WD’s board at such an important moment for the industry,” said Manuvir Das. “AI is reshaping the technology landscape and driving extraordinary growth in data creation and infrastructure investment. WD's storage infrastructure is foundational to enabling AI at scale. I look forward to working with the board and leadership team as the company continues helping customers build for the future.”</w:t>
      </w:r>
    </w:p>
    <w:p>
      <w:pPr>
        <w:spacing w:after="0" w:line="107" w:lineRule="exact"/>
        <w:rPr>
          <w:sz w:val="20"/>
          <w:szCs w:val="20"/>
          <w:color w:val="auto"/>
        </w:rPr>
      </w:pPr>
    </w:p>
    <w:p>
      <w:pPr>
        <w:ind w:right="100"/>
        <w:spacing w:after="0" w:line="289" w:lineRule="auto"/>
        <w:rPr>
          <w:sz w:val="20"/>
          <w:szCs w:val="20"/>
          <w:color w:val="auto"/>
        </w:rPr>
      </w:pPr>
      <w:r>
        <w:rPr>
          <w:rFonts w:ascii="Arial" w:cs="Arial" w:eastAsia="Arial" w:hAnsi="Arial"/>
          <w:sz w:val="22"/>
          <w:szCs w:val="22"/>
          <w:color w:val="auto"/>
        </w:rPr>
        <w:t>Das most recently served as Head of Enterprise Computing at NVIDIA, where he led the company’s enterprise AI strategy, launched the NVIDIA AI Enterprise software suite, and worked to make AI more accessible and production-ready for enterprise customers worldwide.</w:t>
      </w:r>
    </w:p>
    <w:p>
      <w:pPr>
        <w:spacing w:after="0" w:line="99" w:lineRule="exact"/>
        <w:rPr>
          <w:sz w:val="20"/>
          <w:szCs w:val="20"/>
          <w:color w:val="auto"/>
        </w:rPr>
      </w:pPr>
    </w:p>
    <w:p>
      <w:pPr>
        <w:spacing w:after="0" w:line="289" w:lineRule="auto"/>
        <w:rPr>
          <w:sz w:val="20"/>
          <w:szCs w:val="20"/>
          <w:color w:val="auto"/>
        </w:rPr>
      </w:pPr>
      <w:r>
        <w:rPr>
          <w:rFonts w:ascii="Arial" w:cs="Arial" w:eastAsia="Arial" w:hAnsi="Arial"/>
          <w:sz w:val="22"/>
          <w:szCs w:val="22"/>
          <w:color w:val="auto"/>
        </w:rPr>
        <w:t>Prior to NVIDIA, Das led Dell EMC’s unstructured data storage business, overseeing the scale-out Isilon NAS platform and the scale-out ECS Object platform. Earlier in his career, he spent 14 years at Microsoft where he was an original engineering leader behind the development of Microsoft Azure.</w:t>
      </w:r>
    </w:p>
    <w:p>
      <w:pPr>
        <w:spacing w:after="0" w:line="99" w:lineRule="exact"/>
        <w:rPr>
          <w:sz w:val="20"/>
          <w:szCs w:val="20"/>
          <w:color w:val="auto"/>
        </w:rPr>
      </w:pPr>
    </w:p>
    <w:p>
      <w:pPr>
        <w:ind w:right="800"/>
        <w:spacing w:after="0" w:line="336" w:lineRule="auto"/>
        <w:rPr>
          <w:sz w:val="20"/>
          <w:szCs w:val="20"/>
          <w:color w:val="auto"/>
        </w:rPr>
      </w:pPr>
      <w:r>
        <w:rPr>
          <w:rFonts w:ascii="Arial" w:cs="Arial" w:eastAsia="Arial" w:hAnsi="Arial"/>
          <w:sz w:val="21"/>
          <w:szCs w:val="21"/>
          <w:color w:val="auto"/>
        </w:rPr>
        <w:t>Das earned his master’s and doctoral degrees in Computer Science from the University of Wisconsin and his bachelor’s degree in Computer Science and Engineering from the Indian Institute of Technology Bombay.</w:t>
      </w:r>
    </w:p>
    <w:p>
      <w:pPr>
        <w:spacing w:after="0" w:line="53" w:lineRule="exact"/>
        <w:rPr>
          <w:sz w:val="20"/>
          <w:szCs w:val="20"/>
          <w:color w:val="auto"/>
        </w:rPr>
      </w:pPr>
    </w:p>
    <w:p>
      <w:pPr>
        <w:ind w:right="820"/>
        <w:spacing w:after="0" w:line="297" w:lineRule="auto"/>
        <w:rPr>
          <w:sz w:val="20"/>
          <w:szCs w:val="20"/>
          <w:color w:val="auto"/>
        </w:rPr>
      </w:pPr>
      <w:r>
        <w:rPr>
          <w:rFonts w:ascii="Arial" w:cs="Arial" w:eastAsia="Arial" w:hAnsi="Arial"/>
          <w:sz w:val="22"/>
          <w:szCs w:val="22"/>
          <w:color w:val="auto"/>
        </w:rPr>
        <w:t>With this appointment, Western Digital's board is comprised of nine directors, eight of whom are external and independent.</w:t>
      </w:r>
    </w:p>
    <w:p>
      <w:pPr>
        <w:spacing w:after="0" w:line="8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p>
    <w:p>
      <w:pPr>
        <w:sectPr>
          <w:pgSz w:w="11900" w:h="16838" w:orient="portrait"/>
          <w:cols w:equalWidth="0" w:num="1">
            <w:col w:w="11200"/>
          </w:cols>
          <w:pgMar w:left="320" w:top="1440" w:right="379" w:bottom="1440" w:gutter="0" w:footer="0" w:header="0"/>
        </w:sectPr>
      </w:pPr>
    </w:p>
    <w:bookmarkStart w:id="5" w:name="page6"/>
    <w:bookmarkEnd w:id="5"/>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WD</w:t>
      </w:r>
    </w:p>
    <w:p>
      <w:pPr>
        <w:spacing w:after="0" w:line="172" w:lineRule="exact"/>
        <w:rPr>
          <w:sz w:val="20"/>
          <w:szCs w:val="20"/>
          <w:color w:val="auto"/>
        </w:rPr>
      </w:pPr>
    </w:p>
    <w:p>
      <w:pPr>
        <w:spacing w:after="0" w:line="307" w:lineRule="auto"/>
        <w:rPr>
          <w:sz w:val="20"/>
          <w:szCs w:val="20"/>
          <w:color w:val="auto"/>
        </w:rPr>
      </w:pPr>
      <w:r>
        <w:rPr>
          <w:rFonts w:ascii="Arial" w:cs="Arial" w:eastAsia="Arial" w:hAnsi="Arial"/>
          <w:sz w:val="19"/>
          <w:szCs w:val="19"/>
          <w:color w:val="auto"/>
        </w:rPr>
        <w:t>WD, also known as Western Digital, builds the storage infrastructure that powers certainty in the AI-driven data economy. At the forefront of innovation, WD partners with the world's leading hyperscalers, cloud service providers, and enterprises to enable reliable storage solutions that are proven and trusted at scale. Driven by a culture of innovation and execution, WD helps customers store, protect, and use the world's data with confidence. Follow WD on LinkedIn and learn more at  www.wd.com.</w:t>
      </w:r>
    </w:p>
    <w:sectPr>
      <w:pgSz w:w="11900" w:h="16838" w:orient="portrait"/>
      <w:cols w:equalWidth="0" w:num="1">
        <w:col w:w="11160"/>
      </w:cols>
      <w:pgMar w:left="32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6" Type="http://schemas.openxmlformats.org/officeDocument/2006/relationships/hyperlink" Target="https://www.sec.gov/ix?doc=/Archives/edgar/data/106040/000162828025044298/wdc-20251006.htm#icf7c714f5b1f456d8cd41ba6541503f0_715" TargetMode="External"/><Relationship Id="rId17" Type="http://schemas.openxmlformats.org/officeDocument/2006/relationships/hyperlink" Target="https://www.sec.gov/Archives/edgar/data/106040/000119312525017188/d91699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2026-05-28T08:11:53Z</dcterms:created>
  <dcterms:modified xsi:type="dcterms:W3CDTF">2026-05-28T08:11:53Z</dcterms:modified>
</cp:coreProperties>
</file>