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 Irving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WESTERN DIGITAL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5601 GREAT OAKS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WESTERN DIGITAL CORP</w:t>
              </w:r>
            </w:hyperlink>
            <w:r>
              <w:rPr/>
              <w:t xml:space="preserve"> [ </w:t>
            </w:r>
            <w:r>
              <w:rPr>
                <w:rFonts w:ascii="Times;serif" w:hAnsi="Times;serif"/>
                <w:color w:val="0000FF"/>
                <w:sz w:val="24"/>
                <w:shd w:fill="FFFFFF" w:val="clear"/>
              </w:rPr>
              <w:t>WDC</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918"/>
        <w:gridCol w:w="440"/>
        <w:gridCol w:w="836"/>
        <w:gridCol w:w="1173"/>
        <w:gridCol w:w="981"/>
        <w:gridCol w:w="100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w:t>
            </w:r>
            <w:r>
              <w:rPr>
                <w:rFonts w:ascii="Times;serif" w:hAnsi="Times;serif"/>
                <w:color w:val="008000"/>
                <w:position w:val="7"/>
                <w:sz w:val="16"/>
                <w:sz w:val="20"/>
                <w:shd w:fill="FFFFFF" w:val="clear"/>
              </w:rPr>
              <w:t>(1)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366,347</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476</w:t>
            </w:r>
            <w:r>
              <w:rPr>
                <w:rFonts w:ascii="Times;serif" w:hAnsi="Times;serif"/>
                <w:color w:val="008000"/>
                <w:position w:val="7"/>
                <w:sz w:val="16"/>
                <w:sz w:val="20"/>
                <w:shd w:fill="FFFFFF" w:val="clear"/>
              </w:rPr>
              <w:t>(3)</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450.75</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365,871</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(4)</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16,548</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382,419</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w:t>
            </w:r>
            <w:r>
              <w:rPr>
                <w:rFonts w:ascii="Times;serif" w:hAnsi="Times;serif"/>
                <w:color w:val="008000"/>
                <w:position w:val="7"/>
                <w:sz w:val="16"/>
                <w:sz w:val="20"/>
                <w:shd w:fill="FFFFFF" w:val="clear"/>
              </w:rPr>
              <w:t>(1)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382,461</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3,314</w:t>
            </w:r>
            <w:r>
              <w:rPr>
                <w:rFonts w:ascii="Times;serif" w:hAnsi="Times;serif"/>
                <w:color w:val="008000"/>
                <w:position w:val="7"/>
                <w:sz w:val="16"/>
                <w:sz w:val="20"/>
                <w:shd w:fill="FFFFFF" w:val="clear"/>
              </w:rPr>
              <w:t>(3)</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468.88</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379,147</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209,000</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Personal Inv. Co.</w:t>
            </w:r>
          </w:p>
        </w:tc>
      </w:tr>
    </w:tbl>
    <w:tbl>
      <w:tblPr>
        <w:tblW w:w="1249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4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32.0313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32.0313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816.3542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42.4157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42.4157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773.9385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were converted into, and paid in the form of, shares of the Issuer's common stock on a one-for-one basis in connection with the vesting of restricted stock units to which the dividend equivalent rights relate. A cash amount was also paid to the holder to settle a fractional dividend equivalent right.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Since the date of the Reporting Person's last Form 4, the Reporting Person transferred 209,000 shares of the Issuer's common stock to the Reporting Person's personal investment company, organized under the laws of the Bahamas, of which the Reporting Person is the sole shareholder. The transfer constituted a change in form of beneficial ownership exempt from Section 16 pursuant to Rule 16a-13 under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Payment of tax obligation by withholding securities incident to the vesting of securities in accordance with Rule 16b-3(e).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grant of restricted stock units to the Reporting Person. Each restricted stock unit represents a contingent right to receive one share of the Issuer's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Sandra Garcia Attorney-in-Fact For: Irving Tan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9518" TargetMode="External"/><Relationship Id="rId5" Type="http://schemas.openxmlformats.org/officeDocument/2006/relationships/hyperlink" Target="http://www.sec.gov/cgi-bin/browse-edgar?action=getcompany&amp;CIK=00001060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821</Words>
  <Characters>4407</Characters>
  <CharactersWithSpaces>5097</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