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283"/>
        <w:spacing w:after="0"/>
        <w:rPr>
          <w:sz w:val="20"/>
          <w:szCs w:val="20"/>
          <w:color w:val="auto"/>
        </w:rPr>
      </w:pPr>
      <w:r>
        <w:rPr>
          <w:rFonts w:ascii="Arial" w:cs="Arial" w:eastAsia="Arial" w:hAnsi="Arial"/>
          <w:sz w:val="29"/>
          <w:szCs w:val="29"/>
          <w:b w:val="1"/>
          <w:bCs w:val="1"/>
          <w:color w:val="auto"/>
        </w:rPr>
        <w:t>Securities and Exchange Commission</w:t>
      </w:r>
    </w:p>
    <w:p>
      <w:pPr>
        <w:spacing w:after="0" w:line="33"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2014220</wp:posOffset>
            </wp:positionH>
            <wp:positionV relativeFrom="paragraph">
              <wp:posOffset>422275</wp:posOffset>
            </wp:positionV>
            <wp:extent cx="297434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7434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83"/>
        <w:spacing w:after="0"/>
        <w:rPr>
          <w:sz w:val="20"/>
          <w:szCs w:val="20"/>
          <w:color w:val="auto"/>
        </w:rPr>
      </w:pPr>
      <w:r>
        <w:rPr>
          <w:rFonts w:ascii="Arial" w:cs="Arial" w:eastAsia="Arial" w:hAnsi="Arial"/>
          <w:sz w:val="39"/>
          <w:szCs w:val="39"/>
          <w:b w:val="1"/>
          <w:bCs w:val="1"/>
          <w:color w:val="auto"/>
        </w:rPr>
        <w:t>Western Digital Corporation</w:t>
      </w:r>
    </w:p>
    <w:p>
      <w:pPr>
        <w:spacing w:after="0" w:line="96"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001-08703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33-0956711</w:t>
      </w:r>
    </w:p>
    <w:p>
      <w:pPr>
        <w:spacing w:after="0" w:line="31" w:lineRule="exact"/>
        <w:rPr>
          <w:sz w:val="24"/>
          <w:szCs w:val="24"/>
          <w:color w:val="auto"/>
        </w:rPr>
      </w:pPr>
    </w:p>
    <w:p>
      <w:pPr>
        <w:sectPr>
          <w:pgSz w:w="11900" w:h="16838" w:orient="portrait"/>
          <w:cols w:equalWidth="0" w:num="3">
            <w:col w:w="4504" w:space="720"/>
            <w:col w:w="2880" w:space="720"/>
            <w:col w:w="1920"/>
          </w:cols>
          <w:pgMar w:left="436" w:top="368" w:right="71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4"/>
          <w:szCs w:val="14"/>
          <w:b w:val="1"/>
          <w:bCs w:val="1"/>
          <w:color w:val="auto"/>
        </w:rPr>
        <w:t>(IRS Employer</w:t>
      </w:r>
    </w:p>
    <w:p>
      <w:pPr>
        <w:jc w:val="center"/>
        <w:ind w:right="9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68" w:right="719" w:bottom="1440" w:gutter="0" w:footer="0" w:header="0"/>
          <w:type w:val="continuous"/>
        </w:sectPr>
      </w:pPr>
    </w:p>
    <w:p>
      <w:pPr>
        <w:spacing w:after="0" w:line="30"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5601 Great Oaks Parkway</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95119</w:t>
      </w:r>
    </w:p>
    <w:p>
      <w:pPr>
        <w:spacing w:after="0" w:line="61" w:lineRule="exact"/>
        <w:rPr>
          <w:sz w:val="24"/>
          <w:szCs w:val="24"/>
          <w:color w:val="auto"/>
        </w:rPr>
      </w:pPr>
    </w:p>
    <w:p>
      <w:pPr>
        <w:sectPr>
          <w:pgSz w:w="11900" w:h="16838" w:orient="portrait"/>
          <w:cols w:equalWidth="0" w:num="2">
            <w:col w:w="7404" w:space="720"/>
            <w:col w:w="2620"/>
          </w:cols>
          <w:pgMar w:left="436" w:top="368" w:right="71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2740"/>
          </w:cols>
          <w:pgMar w:left="436" w:top="368" w:right="719" w:bottom="1440" w:gutter="0" w:footer="0" w:header="0"/>
          <w:type w:val="continuous"/>
        </w:sectPr>
      </w:pPr>
    </w:p>
    <w:p>
      <w:pPr>
        <w:jc w:val="center"/>
        <w:ind w:right="-283"/>
        <w:spacing w:after="0"/>
        <w:rPr>
          <w:sz w:val="20"/>
          <w:szCs w:val="20"/>
          <w:color w:val="auto"/>
        </w:rPr>
      </w:pPr>
      <w:r>
        <w:rPr>
          <w:rFonts w:ascii="Arial" w:cs="Arial" w:eastAsia="Arial" w:hAnsi="Arial"/>
          <w:sz w:val="18"/>
          <w:szCs w:val="18"/>
          <w:b w:val="1"/>
          <w:bCs w:val="1"/>
          <w:color w:val="auto"/>
        </w:rPr>
        <w:t>Michael C. Ray</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Executive Vice President, Chief Legal Officer and Secretary</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(408) 717-6000</w:t>
      </w:r>
    </w:p>
    <w:p>
      <w:pPr>
        <w:spacing w:after="0" w:line="2"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through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1—Conflict Minerals Disclosure</w:t>
      </w:r>
    </w:p>
    <w:p>
      <w:pPr>
        <w:spacing w:after="0" w:line="1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required by Rule 13p-1 under the Securities Exchange Act of 1934, as amended (the “Conflict Minerals Rule”), Western Digital Corporation (the “Company”) has filed this Form SD for the reporting period from January 1, 2019 to December 31, 2019.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description of the Company’s reasonable country of origin inquiry (“RCOI”) process, the results of our inquiry, and the determination we reached as a result of the RCOI are included in the Company’s Conflict Minerals Report, attached as an exhibit to this Form SD.</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Form SD and our Conflict Minerals Report, filed as an Exhibit to this Form SD, are publicly available on the Internet at: http://investor.wdc.com/sec.cfm. The content of any website referred to in this Form SD or the related Conflict Minerals Report is included for general information only and is not incorporated by reference in this Form SD or the related Conflict Minerals Report.</w:t>
      </w:r>
    </w:p>
    <w:p>
      <w:pPr>
        <w:spacing w:after="0" w:line="3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described in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2—Exhibits</w:t>
      </w:r>
    </w:p>
    <w:p>
      <w:pPr>
        <w:spacing w:after="0" w:line="1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39" w:lineRule="exact"/>
        <w:rPr>
          <w:sz w:val="20"/>
          <w:szCs w:val="20"/>
          <w:color w:val="auto"/>
        </w:rPr>
      </w:pPr>
    </w:p>
    <w:p>
      <w:pPr>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Exhibit 1.01</w:t>
      </w:r>
      <w:r>
        <w:rPr>
          <w:sz w:val="20"/>
          <w:szCs w:val="20"/>
          <w:color w:val="auto"/>
        </w:rPr>
        <w:tab/>
      </w:r>
      <w:hyperlink w:anchor="page4">
        <w:r>
          <w:rPr>
            <w:rFonts w:ascii="Arial" w:cs="Arial" w:eastAsia="Arial" w:hAnsi="Arial"/>
            <w:sz w:val="16"/>
            <w:szCs w:val="16"/>
            <w:u w:val="single" w:color="auto"/>
            <w:color w:val="0000EE"/>
          </w:rPr>
          <w:t>Conflict Minerals Report as required by Items 1.01 and 1.02 of this Form SD</w:t>
        </w:r>
      </w:hyperlink>
      <w:r>
        <w:rPr>
          <w:rFonts w:ascii="Arial" w:cs="Arial" w:eastAsia="Arial" w:hAnsi="Arial"/>
          <w:sz w:val="16"/>
          <w:szCs w:val="16"/>
          <w:color w:val="000000"/>
        </w:rPr>
        <w:t>.</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Ray</w:t>
            </w:r>
          </w:p>
        </w:tc>
        <w:tc>
          <w:tcPr>
            <w:tcW w:w="5120" w:type="dxa"/>
            <w:vAlign w:val="bottom"/>
          </w:tcPr>
          <w:p>
            <w:pPr>
              <w:ind w:left="4100"/>
              <w:spacing w:after="0"/>
              <w:rPr>
                <w:sz w:val="20"/>
                <w:szCs w:val="20"/>
                <w:color w:val="auto"/>
              </w:rPr>
            </w:pPr>
            <w:r>
              <w:rPr>
                <w:rFonts w:ascii="Arial" w:cs="Arial" w:eastAsia="Arial" w:hAnsi="Arial"/>
                <w:sz w:val="18"/>
                <w:szCs w:val="18"/>
                <w:color w:val="auto"/>
                <w:w w:val="91"/>
              </w:rPr>
              <w:t>May 29, 2020</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20" w:type="dxa"/>
            <w:vAlign w:val="bottom"/>
          </w:tcPr>
          <w:p>
            <w:pPr>
              <w:spacing w:after="0"/>
              <w:rPr>
                <w:sz w:val="20"/>
                <w:szCs w:val="20"/>
                <w:color w:val="auto"/>
              </w:rPr>
            </w:pPr>
            <w:r>
              <w:rPr>
                <w:rFonts w:ascii="Arial" w:cs="Arial" w:eastAsia="Arial" w:hAnsi="Arial"/>
                <w:sz w:val="18"/>
                <w:szCs w:val="18"/>
                <w:color w:val="auto"/>
              </w:rPr>
              <w:t>Michael C. Ray</w:t>
            </w:r>
          </w:p>
        </w:tc>
        <w:tc>
          <w:tcPr>
            <w:tcW w:w="5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20" w:type="dxa"/>
            <w:vAlign w:val="bottom"/>
          </w:tcPr>
          <w:p>
            <w:pPr>
              <w:spacing w:after="0"/>
              <w:rPr>
                <w:sz w:val="20"/>
                <w:szCs w:val="20"/>
                <w:color w:val="auto"/>
              </w:rPr>
            </w:pPr>
            <w:r>
              <w:rPr>
                <w:rFonts w:ascii="Arial" w:cs="Arial" w:eastAsia="Arial" w:hAnsi="Arial"/>
                <w:sz w:val="18"/>
                <w:szCs w:val="18"/>
                <w:color w:val="auto"/>
              </w:rPr>
              <w:t>Executive Vice President, Chief Legal Officer and Secretary</w:t>
            </w:r>
          </w:p>
        </w:tc>
        <w:tc>
          <w:tcPr>
            <w:tcW w:w="51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2019 to December 31, 2019</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Western Digital Corporation has filed this Conflict Minerals Report as an exhibit to its Form SD for calendar year 2019 as contemplated by Rule 13p-1 under the Securities Exchange Act of 1934, as amended (the “Conflict Minerals Rule”).</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Unless the context indicates otherwise, the terms “we,” “its,” “us,” “our” and “Company” refer to Western Digital Corporation, or WDC, and its consolidated subsidiaries. As used herein and consistent with the Conflict Minerals Rule, “Conflict Minerals” or “3TG” are columbite-tantalite (coltan), cassiterite, gold, wolframite and the derivatives tantalum, tin and tungsten, without regard to the location of origin of the minerals or derivative metals.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“intend” and the like, or the use of future tense. Statements concerning current conditions may also be forward-looking if they imply a continuation of current conditions. Examples of forward-looking statements include, but are not limited to, statements concerning the additional steps that we intend to take to mitigate risks related to the sourcing of the necessary 3TG.</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our direct and indirect suppliers on a timely basis or at all, (2) whether smelters and refiners and other market participants responsibly source 3TG, (3) political and regulatory developments, whether in the Democratic Republic of the Congo, its adjoining countries, the United States or elsewhere. You should not place undue reliance on these forward-looking statements, which speak only as of the date of filing of this document. We do not intend, and undertake no obligation, to publish revised forward-looking statements to reflect events or circumstances after the date of filing of this document or to reflect the occurrence of unanticipated events.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Applicability of the Conflict Minerals Rule to Our Company</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are a leading developer, manufacturer and provider of data storage devices and solutions that address the evolving needs of the information technology industry and the infrastructure that enables the proliferation of data in virtually every industry. We create environments for data to thrive. We are driving the innovation needed to help customers capture, preserve, access and transform an ever-increasing diversity of data. Everywhere data lives, from advanced data centers to mobile sensors to personal devices, our industry-leading solutions deliver the possibilities of data.</w:t>
      </w:r>
    </w:p>
    <w:p>
      <w:pPr>
        <w:spacing w:after="0" w:line="15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broad portfolio of technology and products address the following key markets: Client Devices; Data Center Devices and Solutions; and Client Solutions. We also generate license and royalty revenue from our extensive intellectual property, which is included in each of these three end-market categories.</w:t>
      </w:r>
    </w:p>
    <w:p>
      <w:pPr>
        <w:spacing w:after="0" w:line="184"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are subject to the Conflict Minerals Rule because certain products that we manufacture or contract to be manufactured contain 3TG that are necessary to the functionality or production of the products. We do not directly source 3TG from mines, smelters or refiners. However, through the efforts described in this Conflict Minerals Report, we seek to ensure that our sourcing practices are consistent with the expectations stated in our Responsible Minerals Policy, which is consistent with the model policy included in the OECD guidance.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Our Conflict Minerals Policy</w:t>
      </w:r>
    </w:p>
    <w:p>
      <w:pPr>
        <w:spacing w:after="0" w:line="12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We strongly disapprove of the violence in the Democratic Republic of Congo (the “DRC”) and adjoining countries (collectively, the “Covered Countries”). Since well before the adoption of the Conflict Minerals Rule, we have been committed to supporting responsible sourcing of 3TG, including from the Covered Countries through conformant smelters and refiners. We started communicating with suppliers in 2010 regarding this issue. We also take seriously our compliance obligations under the Conflict Minerals Rule. To these ends, we have adopted and communicated to our suppliers and the public our Responsible Minerals Policy, which includes our policy on Conflict Minerals (our “Conflict Minerals Policy”). Our Conflict Minerals Policy expresses our expectation that our suppliers:</w:t>
      </w:r>
    </w:p>
    <w:p>
      <w:pPr>
        <w:spacing w:after="0" w:line="98" w:lineRule="exact"/>
        <w:rPr>
          <w:sz w:val="20"/>
          <w:szCs w:val="20"/>
          <w:color w:val="auto"/>
        </w:rPr>
      </w:pPr>
    </w:p>
    <w:p>
      <w:pPr>
        <w:ind w:left="964" w:right="80" w:hanging="532"/>
        <w:spacing w:after="0" w:line="311" w:lineRule="auto"/>
        <w:tabs>
          <w:tab w:leader="none" w:pos="964" w:val="left"/>
        </w:tabs>
        <w:numPr>
          <w:ilvl w:val="0"/>
          <w:numId w:val="2"/>
        </w:numPr>
        <w:rPr>
          <w:rFonts w:ascii="Arial" w:cs="Arial" w:eastAsia="Arial" w:hAnsi="Arial"/>
          <w:sz w:val="16"/>
          <w:szCs w:val="16"/>
          <w:color w:val="auto"/>
        </w:rPr>
      </w:pPr>
      <w:r>
        <w:rPr>
          <w:rFonts w:ascii="Arial" w:cs="Arial" w:eastAsia="Arial" w:hAnsi="Arial"/>
          <w:sz w:val="16"/>
          <w:szCs w:val="16"/>
          <w:color w:val="auto"/>
        </w:rPr>
        <w:t>supply 3TG to us that are responsibly sourced, including from conformant smelters in the Covered Countries, by which we mean (a) any 3TG necessary to the functionality and production of supplied materials do not directly or indirectly finance armed groups through mining or mineral trading in the Covered Countries, or (b) any 3TG in supplied materials are from recycled or scrap sources; and</w:t>
      </w:r>
    </w:p>
    <w:p>
      <w:pPr>
        <w:spacing w:after="0" w:line="54" w:lineRule="exact"/>
        <w:rPr>
          <w:rFonts w:ascii="Arial" w:cs="Arial" w:eastAsia="Arial" w:hAnsi="Arial"/>
          <w:sz w:val="16"/>
          <w:szCs w:val="16"/>
          <w:color w:val="auto"/>
        </w:rPr>
      </w:pPr>
    </w:p>
    <w:p>
      <w:pPr>
        <w:ind w:left="964" w:right="20" w:hanging="532"/>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 policies with respect to 3TG in support of our Conflict Minerals Policy and, throughout the supply chain, to require their suppliers to adopt similar policies.</w:t>
      </w:r>
    </w:p>
    <w:p>
      <w:pPr>
        <w:spacing w:after="0" w:line="170"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Under the Conflict Minerals Rule, an “armed group” is an armed group that is identified as a perpetrator of serious human rights abuses in annual Country Reports on Human Rights Practices under sections 116(d) and 502B(b) of the Foreign Assistance Act of 1961 relating to a Covered Country.</w:t>
      </w:r>
    </w:p>
    <w:p>
      <w:pPr>
        <w:spacing w:after="0" w:line="124"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We do not embargo, nor do we support the embargoing of, 3TG from Covered Countries, but rather encourage our suppliers to continue to source responsibly from the region.</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 addition, we have been a member of the Responsible Business Alliance (“RBA”) since 2007. The RBA is the world’s largest industry coalition dedicated to electronics supply chain responsibility. Through the RBA’s Responsible Minerals Initiative (the “RMI”), we have worked with and continue to work with other companies focusing on responsible 3TG sourcing.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Reasonable Country of Origin Inquiry Information</w:t>
      </w:r>
    </w:p>
    <w:p>
      <w:pPr>
        <w:spacing w:after="0" w:line="121"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As required by the Conflict Minerals Rule, we conducted in good faith a “reasonable country of origin inquiry” (“RCOI”) covering 2019. Our RCOI was reasonably designed to determine whether any of the necessary 3TG contained in our products originated in the Covered Countries or came from recycled or scrap sources. We identified 154 suppliers that we believe provided us with components, parts or products containing necessary 3TG, or that we believe may have provided us with components, parts or products containing necessary 3TG. We provided those suppliers with, and asked those suppliers to complete, the Conflict Minerals Reporting Template developed by the RMI. 100% of those suppliers responded to our request for information. We then evaluate supplier response completeness, reliability and the logic of the data provided and provide feedback to those suppliers.</w:t>
      </w:r>
    </w:p>
    <w:p>
      <w:pPr>
        <w:spacing w:after="0" w:line="164"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For 2019, the responding suppliers identified a total of 263 different smelters and refiners that processed the necessary 3TG contained in our products. Based on the information reported by our suppliers that submitted Conflict Minerals Reporting Templates to us and the country of origin information that the RMI</w:t>
      </w:r>
      <w:r>
        <w:rPr>
          <w:rFonts w:ascii="Arial" w:cs="Arial" w:eastAsia="Arial" w:hAnsi="Arial"/>
          <w:sz w:val="15"/>
          <w:szCs w:val="15"/>
          <w:color w:val="auto"/>
        </w:rPr>
        <w:t>1</w:t>
      </w:r>
      <w:r>
        <w:rPr>
          <w:rFonts w:ascii="Arial" w:cs="Arial" w:eastAsia="Arial" w:hAnsi="Arial"/>
          <w:sz w:val="18"/>
          <w:szCs w:val="18"/>
          <w:color w:val="auto"/>
        </w:rPr>
        <w:t xml:space="preserve"> makes available to its members, we concluded that 25 of these smelters and refiners sourced or may have sourced from the Covered Countries.</w:t>
      </w:r>
    </w:p>
    <w:p>
      <w:pPr>
        <w:spacing w:after="0" w:line="18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Thirty-three (33) of the smelters and refiners that were identified by suppliers as having processed necessary 3TG in our products were reasonably believed by us to have sourced only recycled or scrap content for 2019, based on origin information that the RMI makes available to its members. To the extent that a smelter or refiner processed both recycled or scrap and newly mined 3TG, we were unable to determine the origin of the necessary 3TG in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224" w:right="520" w:hanging="224"/>
        <w:spacing w:after="0" w:line="277" w:lineRule="auto"/>
        <w:tabs>
          <w:tab w:leader="none" w:pos="224"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RMI has a cross-recognition program that incorporates information published by the London Bullion Market Association, the Responsible Jewellery Council and the Tungsten Industry – Conflict Minerals Council, where available.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5" w:name="page6"/>
    <w:bookmarkEnd w:id="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Some of our suppliers were unable to provide country of origin information to us because of incomplete or insufficiently detailed responses from their own suppliers. As a result, we were unable to determine that none of our necessary 3TG originated in the Covered Countries or whether they are from recycled or scrap sources. Therefore, we conducted due diligence on the source and chain of custody of those necessary conflict minerals in our products.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our reasonable country of origin inquiry, to the extent applicable, we utilized many of the same processes and procedures as for our due diligence, in particular Steps 1 and 2 of the OECD Guidance (as defined below), which are described below in this Conflict Minerals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Design</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designed our due diligence measures relating to 3TG to conform with, in all material respects, the due diligence framework set forth in the Organisation for Economic Co-operation and Development’s (“OECD”) Due Diligence Guidance for Responsible Supply Chains of Minerals from Conflict-Affected and High-Risk Areas, including the Supplement on Tin, Tantalum and Tungsten and the Supplement on Gold (Third Edition) (collectively, the “OECD Guidance”).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Measures Performed</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is a description of the due diligence measures we performed during/for the Reporting Period. The headings below conform to the headings used in the OECD Guidance for each of the five steps.</w:t>
      </w:r>
    </w:p>
    <w:p>
      <w:pPr>
        <w:spacing w:after="0" w:line="76"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#1: Establish and maintain strong company management systems</w:t>
      </w:r>
    </w:p>
    <w:p>
      <w:pPr>
        <w:spacing w:after="0" w:line="130" w:lineRule="exact"/>
        <w:rPr>
          <w:rFonts w:ascii="Arial" w:cs="Arial" w:eastAsia="Arial" w:hAnsi="Arial"/>
          <w:sz w:val="18"/>
          <w:szCs w:val="18"/>
          <w:i w:val="1"/>
          <w:iCs w:val="1"/>
          <w:color w:val="auto"/>
        </w:rPr>
      </w:pPr>
    </w:p>
    <w:p>
      <w:pPr>
        <w:ind w:left="1420" w:right="60" w:hanging="439"/>
        <w:spacing w:after="0" w:line="255"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have a team of senior staff who are members of the working group responsible for the management and continued implementation of our 3TG compliance strategy. This staff reports to senior leadership of our Company. The following functional areas are represented on the working group or are otherwise involved with our compliance process: legal; procurement; and quality. Leadership of the compliance program resides with our Senior Vice President and Chief Procurement Officer. The Governance Committee of our Board of Directors also reviews our Company’s corporate responsibility and sustainability policies and programs, as well as the Company’s public reporting on these topics.</w:t>
      </w:r>
    </w:p>
    <w:p>
      <w:pPr>
        <w:spacing w:after="0" w:line="97" w:lineRule="exact"/>
        <w:rPr>
          <w:rFonts w:ascii="Arial" w:cs="Arial" w:eastAsia="Arial" w:hAnsi="Arial"/>
          <w:sz w:val="18"/>
          <w:szCs w:val="18"/>
          <w:color w:val="auto"/>
        </w:rPr>
      </w:pPr>
    </w:p>
    <w:p>
      <w:pPr>
        <w:ind w:left="1420" w:hanging="439"/>
        <w:spacing w:after="0" w:line="279" w:lineRule="auto"/>
        <w:tabs>
          <w:tab w:leader="none" w:pos="1420" w:val="left"/>
        </w:tabs>
        <w:numPr>
          <w:ilvl w:val="1"/>
          <w:numId w:val="4"/>
        </w:numPr>
        <w:rPr>
          <w:rFonts w:ascii="Arial" w:cs="Arial" w:eastAsia="Arial" w:hAnsi="Arial"/>
          <w:sz w:val="17"/>
          <w:szCs w:val="17"/>
          <w:color w:val="auto"/>
        </w:rPr>
      </w:pPr>
      <w:r>
        <w:rPr>
          <w:rFonts w:ascii="Arial" w:cs="Arial" w:eastAsia="Arial" w:hAnsi="Arial"/>
          <w:sz w:val="17"/>
          <w:szCs w:val="17"/>
          <w:color w:val="auto"/>
        </w:rPr>
        <w:t>Members of the Global Procurement – Responsible Supply Chain team receive training from RMI on the Conflict Minerals Rule, the OECD Guidance, our compliance program and our procedures for reviewing and validating supplier responses to our inquiries. We have internal procedures documents addressing various aspects of our compliance program, including our review and validation of supplier responses. These documents are communicated to the members of the working group.</w:t>
      </w:r>
    </w:p>
    <w:p>
      <w:pPr>
        <w:spacing w:after="0" w:line="76" w:lineRule="exact"/>
        <w:rPr>
          <w:rFonts w:ascii="Arial" w:cs="Arial" w:eastAsia="Arial" w:hAnsi="Arial"/>
          <w:sz w:val="17"/>
          <w:szCs w:val="17"/>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utilize specialist outside counsel and other consultants to assist us with our compliance efforts.</w:t>
      </w:r>
    </w:p>
    <w:p>
      <w:pPr>
        <w:spacing w:after="0" w:line="130" w:lineRule="exact"/>
        <w:rPr>
          <w:rFonts w:ascii="Arial" w:cs="Arial" w:eastAsia="Arial" w:hAnsi="Arial"/>
          <w:sz w:val="18"/>
          <w:szCs w:val="18"/>
          <w:color w:val="auto"/>
        </w:rPr>
      </w:pPr>
    </w:p>
    <w:p>
      <w:pPr>
        <w:ind w:left="1420" w:right="60" w:hanging="439"/>
        <w:spacing w:after="0" w:line="263"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have a Responsible Minerals Policy, which includes our Conflict Minerals Policy. The Responsible Minerals Policy is posted on our website at https://www.westerndigital.com/company/corporate-sustainability/responsible-supply-chain and is distributed electronically to selected employees and all suppliers of materials that we believe contain 3TG.</w:t>
      </w:r>
    </w:p>
    <w:p>
      <w:pPr>
        <w:spacing w:after="0" w:line="89" w:lineRule="exact"/>
        <w:rPr>
          <w:rFonts w:ascii="Arial" w:cs="Arial" w:eastAsia="Arial" w:hAnsi="Arial"/>
          <w:sz w:val="18"/>
          <w:szCs w:val="18"/>
          <w:color w:val="auto"/>
        </w:rPr>
      </w:pPr>
    </w:p>
    <w:p>
      <w:pPr>
        <w:ind w:left="1420" w:right="20" w:hanging="439"/>
        <w:spacing w:after="0" w:line="275" w:lineRule="auto"/>
        <w:tabs>
          <w:tab w:leader="none" w:pos="1420"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utilize the RMI’s Conflict Minerals Reporting Template to identify smelters and refiners in our supply chain. We request in-scope suppliers to complete the Conflict Minerals Reporting Template in order to provide information concerning the usage and source of 3TG in their components, parts and products, as well as information concerning their related due diligence and compliance efforts. We encourage our suppliers to consult the information contained on the RMI website and to participate in appropriate third-party training to enhance the accuracy and quality of the information that they provide to 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6" w:name="page7"/>
    <w:bookmarkEnd w:id="6"/>
    <w:p>
      <w:pPr>
        <w:ind w:left="1000" w:hanging="439"/>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are a member of the RBA and the RMI.</w:t>
      </w:r>
    </w:p>
    <w:p>
      <w:pPr>
        <w:spacing w:after="0" w:line="130" w:lineRule="exact"/>
        <w:rPr>
          <w:rFonts w:ascii="Arial" w:cs="Arial" w:eastAsia="Arial" w:hAnsi="Arial"/>
          <w:sz w:val="18"/>
          <w:szCs w:val="18"/>
          <w:color w:val="auto"/>
        </w:rPr>
      </w:pPr>
    </w:p>
    <w:p>
      <w:pPr>
        <w:ind w:left="1000" w:right="560" w:hanging="439"/>
        <w:spacing w:after="0" w:line="27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have procedures to maintain business records relating to 3TG due diligence, including records of due diligence processes, findings and resulting decisions, on a computerized database for at least six years.</w:t>
      </w:r>
    </w:p>
    <w:p>
      <w:pPr>
        <w:spacing w:after="0" w:line="75" w:lineRule="exact"/>
        <w:rPr>
          <w:rFonts w:ascii="Arial" w:cs="Arial" w:eastAsia="Arial" w:hAnsi="Arial"/>
          <w:sz w:val="18"/>
          <w:szCs w:val="18"/>
          <w:color w:val="auto"/>
        </w:rPr>
      </w:pPr>
    </w:p>
    <w:p>
      <w:pPr>
        <w:ind w:left="1000" w:hanging="439"/>
        <w:spacing w:after="0" w:line="259"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Certain of our forms of purchase order terms and conditions, as well as our component purchase agreements with suppliers, contain a requirement that our suppliers comply with environmental specifications for materials, components and products, which specifically require 3TG to be DRC conflict free and reference the RBA Code of Conduct, which requires the responsible sourcing of minerals generally.</w:t>
      </w:r>
    </w:p>
    <w:p>
      <w:pPr>
        <w:spacing w:after="0" w:line="92" w:lineRule="exact"/>
        <w:rPr>
          <w:rFonts w:ascii="Arial" w:cs="Arial" w:eastAsia="Arial" w:hAnsi="Arial"/>
          <w:sz w:val="18"/>
          <w:szCs w:val="18"/>
          <w:color w:val="auto"/>
        </w:rPr>
      </w:pPr>
    </w:p>
    <w:p>
      <w:pPr>
        <w:ind w:left="1000" w:right="80" w:hanging="439"/>
        <w:spacing w:after="0" w:line="301" w:lineRule="auto"/>
        <w:tabs>
          <w:tab w:leader="none" w:pos="1000" w:val="left"/>
        </w:tabs>
        <w:numPr>
          <w:ilvl w:val="1"/>
          <w:numId w:val="5"/>
        </w:numPr>
        <w:rPr>
          <w:rFonts w:ascii="Arial" w:cs="Arial" w:eastAsia="Arial" w:hAnsi="Arial"/>
          <w:sz w:val="16"/>
          <w:szCs w:val="16"/>
          <w:color w:val="auto"/>
        </w:rPr>
      </w:pPr>
      <w:r>
        <w:rPr>
          <w:rFonts w:ascii="Arial" w:cs="Arial" w:eastAsia="Arial" w:hAnsi="Arial"/>
          <w:sz w:val="16"/>
          <w:szCs w:val="16"/>
          <w:color w:val="auto"/>
        </w:rPr>
        <w:t>With the annual dissemination of the Conflict Minerals Reporting Template, we provide all in-scope suppliers with a copy of our Conflict Minerals Policy and indicate third-party resources that they can refer to for additional information. We discuss our assessment of our suppliers’ conflict minerals responses during our supplier business reviews. In addition, we maintain supplier risk profiles for all of our in-scope suppliers. We request that our suppliers follow these same procedures in their supply chain.</w:t>
      </w:r>
    </w:p>
    <w:p>
      <w:pPr>
        <w:spacing w:after="0" w:line="62" w:lineRule="exact"/>
        <w:rPr>
          <w:rFonts w:ascii="Arial" w:cs="Arial" w:eastAsia="Arial" w:hAnsi="Arial"/>
          <w:sz w:val="16"/>
          <w:szCs w:val="16"/>
          <w:color w:val="auto"/>
        </w:rPr>
      </w:pPr>
    </w:p>
    <w:p>
      <w:pPr>
        <w:ind w:left="1000" w:right="120" w:hanging="439"/>
        <w:spacing w:after="0" w:line="25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a grievance mechanism, we have a third-party managed Ethics Helpline available for employees, suppliers and other interested parties to report potential violations of our Conflict Minerals Policy. We communicate to these stakeholders the availability of our Ethics Helpline for reporting potential violations of our company policies, which include our Conflict Minerals Policy. The number for the Ethics Helpline is (877) 548-6716. It is our policy that if concerns about our 3TG sourcing or potential violations were to be reported, we would investigate appropriately.</w:t>
      </w:r>
    </w:p>
    <w:p>
      <w:pPr>
        <w:spacing w:after="0" w:line="214"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#2: Identify and assess risk in the supply chain</w:t>
      </w:r>
    </w:p>
    <w:p>
      <w:pPr>
        <w:spacing w:after="0" w:line="130" w:lineRule="exact"/>
        <w:rPr>
          <w:rFonts w:ascii="Arial" w:cs="Arial" w:eastAsia="Arial" w:hAnsi="Arial"/>
          <w:sz w:val="18"/>
          <w:szCs w:val="18"/>
          <w:i w:val="1"/>
          <w:iCs w:val="1"/>
          <w:color w:val="auto"/>
        </w:rPr>
      </w:pPr>
    </w:p>
    <w:p>
      <w:pPr>
        <w:ind w:left="1000" w:right="20" w:hanging="439"/>
        <w:spacing w:after="0" w:line="291"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We sent requests to all of our suppliers that we identified as having provided us with components, parts or products containing 3TG, or that we believe may have provided us with components, parts or products containing 3TG, in the calendar year ended December 31, 2019, and asked them to provide us with a completed Conflict Minerals Reporting Template. We requested that our suppliers furnish us with a completed template at the product level (i.e., specific to the products that they sold to us, rather than pertaining to the products sold to all of their customers). We followed up by email or phone with suppliers that did not respond to the request for a completed Conflict Minerals Reporting Template within a specified time frame. We also provide one-on-one technical training via conference call as necessary to help suppliers complete the Conflict Minerals Reporting Template.</w:t>
      </w:r>
    </w:p>
    <w:p>
      <w:pPr>
        <w:spacing w:after="0" w:line="71" w:lineRule="exact"/>
        <w:rPr>
          <w:rFonts w:ascii="Arial" w:cs="Arial" w:eastAsia="Arial" w:hAnsi="Arial"/>
          <w:sz w:val="16"/>
          <w:szCs w:val="16"/>
          <w:color w:val="auto"/>
        </w:rPr>
      </w:pPr>
    </w:p>
    <w:p>
      <w:pPr>
        <w:ind w:left="1000" w:right="360" w:hanging="439"/>
        <w:spacing w:after="0" w:line="311"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As part of the supplier on-boarding process, we required that new suppliers complete a Conflict Minerals Reporting Template or otherwise made inquiries concerning the 3TG content of the components, parts and/or products prior to making purchases from them. We continue to survey suppliers annually thereafter if they are identified as an in-scope supplier.</w:t>
      </w:r>
    </w:p>
    <w:p>
      <w:pPr>
        <w:spacing w:after="0" w:line="54" w:lineRule="exact"/>
        <w:rPr>
          <w:rFonts w:ascii="Arial" w:cs="Arial" w:eastAsia="Arial" w:hAnsi="Arial"/>
          <w:sz w:val="16"/>
          <w:szCs w:val="16"/>
          <w:color w:val="auto"/>
        </w:rPr>
      </w:pPr>
    </w:p>
    <w:p>
      <w:pPr>
        <w:ind w:left="1000" w:right="40" w:hanging="439"/>
        <w:spacing w:after="0" w:line="255"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reviewed the completed Conflict Minerals Reporting Templates based on our internally-approved written review criteria to identify “red flags” such as incomplete responses, potential errors, inaccuracies and potential Covered Country sourcing. As part of our review, we checked whether smelters and refiners disclosed by suppliers processed the types of metals contained in the components, parts and products sourced from those suppliers. We followed up by email or phone with suppliers that submitted a response that contained red flags or that otherwise provided a written response we determined to be unsuitable. We followed up with other suppliers as we deemed appropriate.</w:t>
      </w:r>
    </w:p>
    <w:p>
      <w:pPr>
        <w:spacing w:after="0" w:line="97" w:lineRule="exact"/>
        <w:rPr>
          <w:rFonts w:ascii="Arial" w:cs="Arial" w:eastAsia="Arial" w:hAnsi="Arial"/>
          <w:sz w:val="18"/>
          <w:szCs w:val="18"/>
          <w:color w:val="auto"/>
        </w:rPr>
      </w:pPr>
    </w:p>
    <w:p>
      <w:pPr>
        <w:ind w:left="1000" w:right="60" w:hanging="439"/>
        <w:spacing w:after="0" w:line="25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reviewed the smelters and refiners identified by our suppliers against those contained on the Smelter Look-up tab list of the Conflict Minerals Reporting Template and those referenced in the RMI smelter database. To the extent that they were not on that list or included in the database, we (a) requested that the supplier confirm that the listed entity is a smelter or refiner and/or (b) through publicly available information, attempted to determine whether the listed entity is a smelter or refiner and whether it has ceased operations.</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7" w:name="page8"/>
    <w:bookmarkEnd w:id="7"/>
    <w:p>
      <w:pPr>
        <w:ind w:left="1000" w:hanging="439"/>
        <w:spacing w:after="0" w:line="293"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 a completed Conflict Minerals Reporting Template from a supplier identified a smelter or refiner, we also reviewed that information against the lists of conformant and active (or the equivalent) smelters and refiners and country of origin information published by the RMI. When a completed Conflict Minerals Reporting Template from a supplier identified a smelter or refiner that was not listed as conformant or active (or the equivalent) by these independent third-parties, we consulted information that the RMI makes available to its members to attempt to determine whether that smelter or refiner obtained 3TG from sources that directly or indirectly financed or benefitted armed groups in a Covered Country and whether those smelters and refiners have ceased operations.</w:t>
      </w:r>
    </w:p>
    <w:p>
      <w:pPr>
        <w:spacing w:after="0" w:line="69" w:lineRule="exact"/>
        <w:rPr>
          <w:rFonts w:ascii="Arial" w:cs="Arial" w:eastAsia="Arial" w:hAnsi="Arial"/>
          <w:sz w:val="16"/>
          <w:szCs w:val="16"/>
          <w:color w:val="auto"/>
        </w:rPr>
      </w:pPr>
    </w:p>
    <w:p>
      <w:pPr>
        <w:ind w:left="1000" w:right="40" w:hanging="439"/>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Suppliers are categorized by internally-developed supplier risk levels, which assign risk across multiple criteria, including smelter or refiner status, red flags identified and the supplier relationship. Suppliers that are identified as being in higher risk categories are escalated in accordance with our risk mitigation procedures, which are described below.</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#3: Design and implement a strategy to respond to identified risks</w:t>
      </w:r>
    </w:p>
    <w:p>
      <w:pPr>
        <w:spacing w:after="0" w:line="130" w:lineRule="exact"/>
        <w:rPr>
          <w:rFonts w:ascii="Arial" w:cs="Arial" w:eastAsia="Arial" w:hAnsi="Arial"/>
          <w:sz w:val="18"/>
          <w:szCs w:val="18"/>
          <w:i w:val="1"/>
          <w:iCs w:val="1"/>
          <w:color w:val="auto"/>
        </w:rPr>
      </w:pPr>
    </w:p>
    <w:p>
      <w:pPr>
        <w:ind w:left="1000" w:hanging="439"/>
        <w:spacing w:after="0" w:line="291" w:lineRule="auto"/>
        <w:tabs>
          <w:tab w:leader="none" w:pos="1000" w:val="left"/>
        </w:tabs>
        <w:numPr>
          <w:ilvl w:val="1"/>
          <w:numId w:val="8"/>
        </w:numPr>
        <w:rPr>
          <w:rFonts w:ascii="Arial" w:cs="Arial" w:eastAsia="Arial" w:hAnsi="Arial"/>
          <w:sz w:val="16"/>
          <w:szCs w:val="16"/>
          <w:color w:val="auto"/>
        </w:rPr>
      </w:pPr>
      <w:r>
        <w:rPr>
          <w:rFonts w:ascii="Arial" w:cs="Arial" w:eastAsia="Arial" w:hAnsi="Arial"/>
          <w:sz w:val="16"/>
          <w:szCs w:val="16"/>
          <w:color w:val="auto"/>
        </w:rPr>
        <w:t>We have established a risk management plan that includes due diligence reviews of relevant suppliers and smelters or refiners. Pursuant to this plan, we establish a timeline and monitoring program to address any supplier whose response contained red flags or whose response was otherwise determined to be unsuitable. An action plan to address the risk is then executed with the supplier and internal stakeholders, which may include reaching out and working directly or indirectly with the supplier, smelter, customer or other companies within industry working groups to mitigate the risk. We subsequently follow-up with the supplier to review the implementation of the action plan. The findings of our compliance efforts in 2019 were also reported to senior personnel at our Company, including leadership for our 3TG compliance program, and the Audit Committee of the Board of Directors.</w:t>
      </w:r>
    </w:p>
    <w:p>
      <w:pPr>
        <w:spacing w:after="0" w:line="71" w:lineRule="exact"/>
        <w:rPr>
          <w:rFonts w:ascii="Arial" w:cs="Arial" w:eastAsia="Arial" w:hAnsi="Arial"/>
          <w:sz w:val="16"/>
          <w:szCs w:val="16"/>
          <w:color w:val="auto"/>
        </w:rPr>
      </w:pPr>
    </w:p>
    <w:p>
      <w:pPr>
        <w:ind w:left="1000" w:right="100" w:hanging="439"/>
        <w:spacing w:after="0" w:line="25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have written risk management procedures, pursuant to which we sent requests to higher management levels in certain suppliers’ organization where it was deemed advisable to encourage them to respond to our inquiries and to help incentivize suppliers to cooperate with our requests. Our risk management procedures provide for increasing levels of escalation to specified internal personnel and allow for a flexible response that is commensurate with the risks identified. In addition, to the extent that identified smelters and refiners were, according to the RMI information, neither conformant nor active, we worked through the RMI to encourage such smelters and refiners to become conformant, except where the smelters or refiners have, according to the RMI information, permanently or temporarily ceased operations. We also utilize information provided by the RMI to its members to monitor smelter and refiner improvement.</w:t>
      </w:r>
    </w:p>
    <w:p>
      <w:pPr>
        <w:spacing w:after="0" w:line="21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#4: Carry out independent third-party audits of supply chain due diligence at identified points in the supply chain</w:t>
      </w:r>
    </w:p>
    <w:p>
      <w:pPr>
        <w:spacing w:after="0" w:line="130" w:lineRule="exact"/>
        <w:rPr>
          <w:rFonts w:ascii="Arial" w:cs="Arial" w:eastAsia="Arial" w:hAnsi="Arial"/>
          <w:sz w:val="18"/>
          <w:szCs w:val="18"/>
          <w:i w:val="1"/>
          <w:iCs w:val="1"/>
          <w:color w:val="auto"/>
        </w:rPr>
      </w:pPr>
    </w:p>
    <w:p>
      <w:pPr>
        <w:ind w:left="1000" w:right="180" w:hanging="439"/>
        <w:spacing w:after="0" w:line="263"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connection with our due diligence, we utilize and rely on information made available by the RMI concerning independent third-party audits of smelters and refiners to assess smelter and refiner due diligence and to determine whether the smelter or refiner is conformant or the equivalent.</w:t>
      </w:r>
    </w:p>
    <w:p>
      <w:pPr>
        <w:spacing w:after="0" w:line="89" w:lineRule="exact"/>
        <w:rPr>
          <w:rFonts w:ascii="Arial" w:cs="Arial" w:eastAsia="Arial" w:hAnsi="Arial"/>
          <w:sz w:val="18"/>
          <w:szCs w:val="18"/>
          <w:color w:val="auto"/>
        </w:rPr>
      </w:pPr>
    </w:p>
    <w:p>
      <w:pPr>
        <w:ind w:left="1000" w:hanging="439"/>
        <w:spacing w:after="0" w:line="259"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also support independent third-party audits of smelters and refiners through our membership in the RMI. In addition, certain of our personnel were members of or participated in various RMI committees, including the Smelter Engagement Team. We also directly or indirectly engaged with 26 smelters in our supply chain and urged them to participate in a Responsible Mineral Assurance Process program.</w:t>
      </w:r>
    </w:p>
    <w:p>
      <w:pPr>
        <w:spacing w:after="0" w:line="213"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#5: Report annually on supply chain due diligence</w:t>
      </w:r>
    </w:p>
    <w:p>
      <w:pPr>
        <w:spacing w:after="0" w:line="117" w:lineRule="exact"/>
        <w:rPr>
          <w:rFonts w:ascii="Arial" w:cs="Arial" w:eastAsia="Arial" w:hAnsi="Arial"/>
          <w:sz w:val="18"/>
          <w:szCs w:val="18"/>
          <w:i w:val="1"/>
          <w:iCs w:val="1"/>
          <w:color w:val="auto"/>
        </w:rPr>
      </w:pPr>
    </w:p>
    <w:p>
      <w:pPr>
        <w:ind w:left="560" w:right="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 xml:space="preserve">Each year, we file a Form SD and, to the extent applicable, a Conflict Minerals Report, with the Securities and Exchange Commission and make them available on our website at: </w:t>
      </w:r>
      <w:r>
        <w:rPr>
          <w:rFonts w:ascii="Arial" w:cs="Arial" w:eastAsia="Arial" w:hAnsi="Arial"/>
          <w:sz w:val="18"/>
          <w:szCs w:val="18"/>
          <w:u w:val="single" w:color="auto"/>
          <w:color w:val="auto"/>
        </w:rPr>
        <w:t>http://investor.wdc.com/sec.cfm</w:t>
      </w:r>
      <w:r>
        <w:rPr>
          <w:rFonts w:ascii="Arial" w:cs="Arial" w:eastAsia="Arial" w:hAnsi="Arial"/>
          <w:sz w:val="18"/>
          <w:szCs w:val="18"/>
          <w:color w:val="auto"/>
        </w:rPr>
        <w:t>. We also publish an annual Sustainability Report, which can be found on our investor relations website under Global Citizenship. The Sustainability Report is not incorporated by reference into, and is not a part of, this Conflict Minerals Report.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Information</w:t>
      </w:r>
    </w:p>
    <w:p>
      <w:pPr>
        <w:spacing w:after="0" w:line="12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For 2019, our in-scope product categories were: (1) hard disk drives; (2) solid-state drives; (3) NAND-flash storage devices; (4) direct attached storage solutions; (5) personal cloud network attached storage solutions; and (6) public and private cloud data center storage solutions. For a further discussion of our products, see our Annual Report on Form 10-K for the fiscal year ended June 28, 2019. The information contained in our Form 10-K is not incorporated by reference into, or a part of, this Conflict Minerals Report.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Results of Review</w:t>
      </w:r>
    </w:p>
    <w:p>
      <w:pPr>
        <w:spacing w:after="0" w:line="121"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As described above, we conducted due diligence to determine the source and chain of custody of the necessary 3TG in our products. As part of that process, we actively surveyed our direct suppliers that we believed potentially supplied us with products, materials or components containing necessary 3TG during 2019 and requested that they disclose the smelters and refiners that processed the necessary 3TG in the products they supplied to us in 2019. For calendar year 2019, we received completed Conflict Minerals Reporting Templates from 100% of the suppliers surveyed.</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Facilities Used to Process the Necessary 3TG in Our Products</w:t>
      </w:r>
    </w:p>
    <w:p>
      <w:pPr>
        <w:spacing w:after="0" w:line="117"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For calendar year 2019, our suppliers identified to us the smelters and refiners listed on Annex A as those smelters and refiners that may have processed the necessary 3TG contained in our products. Of the 263 smelters and refiners identified, 260 were identified by the RMI as “conformant,” 3 were identified by the RMI as “Not Applicable”. These 263 smelters and refiners may not be all of the smelters and refiners in our 2019 supply chain because many of our suppliers were unable to identify all of the smelters and refiners used to process the necessary 3TG content contained in our products. Due to our position in the supply chain, which is discussed above, we rely on our suppliers for complete and accurate smelter and refiner information. Therefore, our due diligence measures cannot provide absolute certainty regarding the source and chain of custody of the necessary 3TG contained in our 2019 products.</w:t>
      </w:r>
    </w:p>
    <w:p>
      <w:pPr>
        <w:spacing w:after="0" w:line="195"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The table below presents a summary of the smelter and refiner information contained in Annex A. Please see the notes accompanying Annex A for additional information relevant to the table below.</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Smelter and Refiner and Country of Origin Information</w:t>
      </w:r>
      <w:r>
        <w:rPr>
          <w:rFonts w:ascii="Arial" w:cs="Arial" w:eastAsia="Arial" w:hAnsi="Arial"/>
          <w:sz w:val="19"/>
          <w:szCs w:val="19"/>
          <w:color w:val="auto"/>
          <w:vertAlign w:val="superscript"/>
        </w:rPr>
        <w:t>(1)(2)</w:t>
      </w:r>
    </w:p>
    <w:p>
      <w:pPr>
        <w:spacing w:after="0" w:line="236"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Conformant</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Likely</w:t>
            </w:r>
          </w:p>
        </w:tc>
        <w:tc>
          <w:tcPr>
            <w:tcW w:w="200" w:type="dxa"/>
            <w:vAlign w:val="bottom"/>
          </w:tcPr>
          <w:p>
            <w:pPr>
              <w:spacing w:after="0"/>
              <w:rPr>
                <w:sz w:val="10"/>
                <w:szCs w:val="10"/>
                <w:color w:val="auto"/>
              </w:rPr>
            </w:pPr>
          </w:p>
        </w:tc>
        <w:tc>
          <w:tcPr>
            <w:tcW w:w="10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Not</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Likely</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Sourced</w:t>
            </w:r>
          </w:p>
        </w:tc>
        <w:tc>
          <w:tcPr>
            <w:tcW w:w="2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Sourced</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from</w:t>
            </w:r>
          </w:p>
        </w:tc>
        <w:tc>
          <w:tcPr>
            <w:tcW w:w="2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from</w:t>
            </w: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Recycled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Covered</w:t>
            </w:r>
          </w:p>
        </w:tc>
        <w:tc>
          <w:tcPr>
            <w:tcW w:w="2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Covered</w:t>
            </w:r>
          </w:p>
        </w:tc>
        <w:tc>
          <w:tcPr>
            <w:tcW w:w="1000" w:type="dxa"/>
            <w:vAlign w:val="bottom"/>
            <w:gridSpan w:val="2"/>
            <w:vMerge w:val="continue"/>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Active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760" w:type="dxa"/>
            <w:vAlign w:val="bottom"/>
            <w:gridSpan w:val="3"/>
          </w:tcPr>
          <w:p>
            <w:pPr>
              <w:jc w:val="center"/>
              <w:ind w:left="2655"/>
              <w:spacing w:after="0"/>
              <w:rPr>
                <w:sz w:val="20"/>
                <w:szCs w:val="20"/>
                <w:color w:val="auto"/>
              </w:rPr>
            </w:pPr>
            <w:r>
              <w:rPr>
                <w:rFonts w:ascii="Arial" w:cs="Arial" w:eastAsia="Arial" w:hAnsi="Arial"/>
                <w:sz w:val="14"/>
                <w:szCs w:val="14"/>
                <w:b w:val="1"/>
                <w:bCs w:val="1"/>
                <w:color w:val="auto"/>
                <w:w w:val="94"/>
              </w:rPr>
              <w:t>Countries</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Countries</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Disclosed</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Scrap</w:t>
            </w: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Tantalum</w:t>
            </w:r>
          </w:p>
        </w:tc>
        <w:tc>
          <w:tcPr>
            <w:tcW w:w="29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Tin</w:t>
            </w:r>
          </w:p>
        </w:tc>
        <w:tc>
          <w:tcPr>
            <w:tcW w:w="37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72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Gold</w:t>
            </w:r>
          </w:p>
        </w:tc>
        <w:tc>
          <w:tcPr>
            <w:tcW w:w="37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104</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 smelter or refiner sourced from multiple sources, it is included in the table under each applicable category.</w:t>
      </w:r>
    </w:p>
    <w:p>
      <w:pPr>
        <w:spacing w:after="0" w:line="23" w:lineRule="exact"/>
        <w:rPr>
          <w:rFonts w:ascii="Arial" w:cs="Arial" w:eastAsia="Arial" w:hAnsi="Arial"/>
          <w:sz w:val="18"/>
          <w:szCs w:val="18"/>
          <w:color w:val="auto"/>
        </w:rPr>
      </w:pPr>
    </w:p>
    <w:p>
      <w:pPr>
        <w:ind w:left="224" w:hanging="224"/>
        <w:spacing w:after="0"/>
        <w:tabs>
          <w:tab w:leader="none" w:pos="2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one 100% recycled or scrap smelter that is not applicable and it is not listed in the table.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Country of Origin of the Necessary 3TG in Our Products</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attempted to determine the countries of origin of the necessary 3TG in our products in reliance on country of origin information for smelters and refiners made available by the RMI to its members. However, except for the DRC, the RMI does not name specific countries of origin of the 3TG processed by conformant smelters and refiners. Instead, the RMI indicates the smelter’s direct sourcing practice category. This category will indicate only whether a smelter is high or low risk. Therefore, because of the lack of detail and the limitations on the RMI’s information, we are not able to disclose the specific country of origin of the necessary 3TG in our products for calendar year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Efforts to Determine the Mine or Location of Origin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endeavored to determine the mine or location of origin of the necessary 3TG contained in our 2019 products by requesting that our suppliers provide us with a completed Conflict Minerals Reporting Template. Where a Conflict Minerals Reporting Template provided by a supplier identified a smelter or refiner, we also reviewed information made available by the RMI, to the extent available, to try to determine the mine or location of origin. Our suppliers’ responses and the RMI’s information did not provide sufficiently detailed information for us to determine the mine or location of origin of the necessary 3TG in our products for calendar year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Taken and to be Taken to Mitigate Risk and Improved Due Diligence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Since the start of calendar year 2019, we have taken and currently intend to continue to take the following additional steps to mitigate the risk that the necessary 3TG in our 2020 products benefit armed groups:</w:t>
      </w:r>
    </w:p>
    <w:p>
      <w:pPr>
        <w:spacing w:after="0" w:line="76" w:lineRule="exact"/>
        <w:rPr>
          <w:sz w:val="20"/>
          <w:szCs w:val="20"/>
          <w:color w:val="auto"/>
        </w:rPr>
      </w:pPr>
    </w:p>
    <w:p>
      <w:pPr>
        <w:ind w:left="960" w:right="60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Updated our reasonable country of origin inquiry and due diligence procedures to align with the then latest revision of the Conflict Minerals Reporting Template.</w:t>
      </w:r>
    </w:p>
    <w:p>
      <w:pPr>
        <w:spacing w:after="0" w:line="75"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to encourage suppliers that provided company level information for 2019 to provide product level information for 2020 through ongoing outreach with these suppliers.</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Engaged with suppliers that provided incomplete responses for 2019 to help ensure that they provide requested information for 2019 and conveyed the reporting expectations for 2020.</w:t>
      </w:r>
    </w:p>
    <w:p>
      <w:pPr>
        <w:spacing w:after="0" w:line="75"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to refine our internal compliance procedures and reporting metrics, to better ensure that we are effectively using program resources and collecting data that is useful to assessing and mitigating risk.</w:t>
      </w:r>
    </w:p>
    <w:p>
      <w:pPr>
        <w:spacing w:after="0" w:line="75" w:lineRule="exact"/>
        <w:rPr>
          <w:rFonts w:ascii="Arial" w:cs="Arial" w:eastAsia="Arial" w:hAnsi="Arial"/>
          <w:sz w:val="18"/>
          <w:szCs w:val="18"/>
          <w:color w:val="auto"/>
        </w:rPr>
      </w:pPr>
    </w:p>
    <w:p>
      <w:pPr>
        <w:ind w:left="960" w:right="52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Communicated to new potentially in-scope suppliers our sourcing expectations, including through the dissemination of our Conflict Minerals Policy to them.</w:t>
      </w:r>
    </w:p>
    <w:p>
      <w:pPr>
        <w:spacing w:after="0" w:line="75"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and updated our Conflict Minerals Policy in light of evolving best practices, which resulted in renaming the Conflict Minerals Policy to our “Responsible Minerals Policy.”</w:t>
      </w:r>
    </w:p>
    <w:p>
      <w:pPr>
        <w:spacing w:after="0" w:line="75" w:lineRule="exact"/>
        <w:rPr>
          <w:rFonts w:ascii="Arial" w:cs="Arial" w:eastAsia="Arial" w:hAnsi="Arial"/>
          <w:sz w:val="18"/>
          <w:szCs w:val="18"/>
          <w:color w:val="auto"/>
        </w:rPr>
      </w:pPr>
    </w:p>
    <w:p>
      <w:pPr>
        <w:ind w:left="960" w:right="320" w:hanging="532"/>
        <w:spacing w:after="0" w:line="31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Reviewed selected supplier policies to confirm that they do not provide for an embargo of 3TG from Covered Countries. Policies were selected for review based on the information provided by suppliers in their Conflict Minerals Reporting Templates. If any reviewed suppliers were suspected of embargoing Covered Countries, we followed up with such suppliers to urge them to amend their policies.</w:t>
      </w:r>
    </w:p>
    <w:p>
      <w:pPr>
        <w:spacing w:after="0" w:line="54" w:lineRule="exact"/>
        <w:rPr>
          <w:rFonts w:ascii="Arial" w:cs="Arial" w:eastAsia="Arial" w:hAnsi="Arial"/>
          <w:sz w:val="16"/>
          <w:szCs w:val="16"/>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to communicate to suppliers that we are committed to responsible sourcing from Covered Countries.</w:t>
      </w:r>
    </w:p>
    <w:p>
      <w:pPr>
        <w:spacing w:after="0" w:line="130"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Urged our suppliers to transition to exclusively sourcing from conformant smelters and refiners and monitored their progress toward that objective.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Urged certain suppliers, smelters and refiners to participate in the RMI’s Responsible Minerals Assurance Process.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to monitor best practices and regulatory guidance through membership and participation in RMI.</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All of the foregoing steps are in addition to the steps that we took in respect of 2019, which we intend to continue to take in respect of our 2020 compliance efforts, to the extent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Capitalized terms used and not otherwise defined in this Annex have the meanings set forth in the Conflict Minerals Report of which this Annex is a part.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and Refiners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our reasonable country of origin inquiry or due diligence, as applicable, our suppliers identified to us the smelters and refiners listed below as those that may have processed the necessary 3TG contained in our products in 2019. Please see the notes that accompany the table for important information concerning the data in the table.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Smelter and Refiner Information</w:t>
      </w:r>
      <w:r>
        <w:rPr>
          <w:rFonts w:ascii="Arial" w:cs="Arial" w:eastAsia="Arial" w:hAnsi="Arial"/>
          <w:sz w:val="15"/>
          <w:szCs w:val="15"/>
          <w:color w:val="auto"/>
        </w:rPr>
        <w:t>(1)</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24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Metal (*)</w:t>
            </w:r>
          </w:p>
        </w:tc>
        <w:tc>
          <w:tcPr>
            <w:tcW w:w="408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Standard Smelter Name</w:t>
            </w:r>
          </w:p>
        </w:tc>
        <w:tc>
          <w:tcPr>
            <w:tcW w:w="100" w:type="dxa"/>
            <w:vAlign w:val="bottom"/>
            <w:tcBorders>
              <w:top w:val="single" w:sz="8" w:color="auto"/>
              <w:right w:val="single" w:sz="8" w:color="auto"/>
            </w:tcBorders>
          </w:tcPr>
          <w:p>
            <w:pPr>
              <w:spacing w:after="0"/>
              <w:rPr>
                <w:sz w:val="12"/>
                <w:szCs w:val="12"/>
                <w:color w:val="auto"/>
              </w:rPr>
            </w:pPr>
          </w:p>
        </w:tc>
        <w:tc>
          <w:tcPr>
            <w:tcW w:w="408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State/Province/Region</w:t>
            </w:r>
          </w:p>
        </w:tc>
        <w:tc>
          <w:tcPr>
            <w:tcW w:w="1540" w:type="dxa"/>
            <w:vAlign w:val="bottom"/>
            <w:tcBorders>
              <w:top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RMAP Audit</w:t>
            </w:r>
          </w:p>
        </w:tc>
        <w:tc>
          <w:tcPr>
            <w:tcW w:w="0" w:type="dxa"/>
            <w:vAlign w:val="bottom"/>
          </w:tcPr>
          <w:p>
            <w:pPr>
              <w:spacing w:after="0"/>
              <w:rPr>
                <w:sz w:val="1"/>
                <w:szCs w:val="1"/>
                <w:color w:val="auto"/>
              </w:rPr>
            </w:pPr>
          </w:p>
        </w:tc>
      </w:tr>
      <w:tr>
        <w:trPr>
          <w:trHeight w:val="171"/>
        </w:trPr>
        <w:tc>
          <w:tcPr>
            <w:tcW w:w="12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4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408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8853 S.p.A.</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 Traders and Refiners</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Advanced Chemical Company</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Aida Chemical Industries Co., Ltd.</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 Etihad Gold Refinery DMCC</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Allgemeine Gold-und Silberscheideanstalt A.G.</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6"/>
              </w:rPr>
              <w:t>Almalyk Mining and Metallurgical Complex (AMMC)</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AngloGold Ashanti Corrego do Sitio Mineracao</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Argor-Heraeus S.A.</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Asahi Pretec Corp.</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Asahi Refining Canada Ltd.</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Asahi Refining USA Inc.</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Asaka Riken Co., Ltd.</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Aurubis AG</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Bangalore Refinery</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4080" w:type="dxa"/>
            <w:vAlign w:val="bottom"/>
          </w:tcPr>
          <w:p>
            <w:pPr>
              <w:ind w:left="100"/>
              <w:spacing w:after="0" w:line="195" w:lineRule="exact"/>
              <w:rPr>
                <w:sz w:val="20"/>
                <w:szCs w:val="20"/>
                <w:color w:val="auto"/>
              </w:rPr>
            </w:pPr>
            <w:r>
              <w:rPr>
                <w:rFonts w:ascii="Arial" w:cs="Arial" w:eastAsia="Arial" w:hAnsi="Arial"/>
                <w:sz w:val="18"/>
                <w:szCs w:val="18"/>
                <w:color w:val="auto"/>
              </w:rPr>
              <w:t>Bangko Sentral ng Pilipinas (Central Bank of the</w:t>
            </w:r>
          </w:p>
        </w:tc>
        <w:tc>
          <w:tcPr>
            <w:tcW w:w="1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10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Boliden AB</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SWEDEN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 Hafner GmbH + Co. KG</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CCR Refinery - Glencore Canada Corporation</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Cendres + Metaux S.A.</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Chimet S.p.A.</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Chugai Mining</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DODUCO Contacts and Refining GmbH</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DS PRETECH Co., Ltd.</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DSC (Do Sung Corporation)</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Daejin Indus Co., Ltd.</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Dowa</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Eco-System Recycling Co., Ltd. East Plant</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Eco-System Recycling Co., Ltd. North Plant</w:t>
            </w:r>
          </w:p>
        </w:tc>
        <w:tc>
          <w:tcPr>
            <w:tcW w:w="1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58"/>
        </w:trPr>
        <w:tc>
          <w:tcPr>
            <w:tcW w:w="12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180" w:type="dxa"/>
            <w:vAlign w:val="bottom"/>
            <w:gridSpan w:val="2"/>
          </w:tcPr>
          <w:p>
            <w:pPr>
              <w:ind w:left="40"/>
              <w:spacing w:after="0"/>
              <w:rPr>
                <w:sz w:val="20"/>
                <w:szCs w:val="20"/>
                <w:color w:val="auto"/>
              </w:rPr>
            </w:pPr>
            <w:r>
              <w:rPr>
                <w:rFonts w:ascii="Arial" w:cs="Arial" w:eastAsia="Arial" w:hAnsi="Arial"/>
                <w:sz w:val="18"/>
                <w:szCs w:val="18"/>
                <w:color w:val="auto"/>
              </w:rPr>
              <w:t>A-1</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Eco-System Recycling Co., Ltd. West Plant</w:t>
            </w:r>
          </w:p>
        </w:tc>
        <w:tc>
          <w:tcPr>
            <w:tcW w:w="120" w:type="dxa"/>
            <w:vAlign w:val="bottom"/>
            <w:tcBorders>
              <w:top w:val="single" w:sz="8" w:color="auto"/>
              <w:bottom w:val="single" w:sz="8" w:color="auto"/>
              <w:right w:val="single" w:sz="8" w:color="auto"/>
            </w:tcBorders>
          </w:tcPr>
          <w:p>
            <w:pPr>
              <w:spacing w:after="0"/>
              <w:rPr>
                <w:sz w:val="19"/>
                <w:szCs w:val="19"/>
                <w:color w:val="auto"/>
              </w:rPr>
            </w:pP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Emirates Gold DMCC</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Geib Refining Corporation</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Gold Refinery of Zijin Mining Group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Heimerle + Meule GmbH</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Heraeus Metals Hong Kong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Heraeus Precious Metals GmbH &amp; Co. KG</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4060" w:type="dxa"/>
            <w:vAlign w:val="bottom"/>
          </w:tcPr>
          <w:p>
            <w:pPr>
              <w:ind w:left="100"/>
              <w:spacing w:after="0" w:line="195" w:lineRule="exact"/>
              <w:rPr>
                <w:sz w:val="20"/>
                <w:szCs w:val="20"/>
                <w:color w:val="auto"/>
              </w:rPr>
            </w:pPr>
            <w:r>
              <w:rPr>
                <w:rFonts w:ascii="Arial" w:cs="Arial" w:eastAsia="Arial" w:hAnsi="Arial"/>
                <w:sz w:val="18"/>
                <w:szCs w:val="18"/>
                <w:color w:val="auto"/>
              </w:rPr>
              <w:t>Inner Mongolia Qiankun Gold and Silver Refinery</w:t>
            </w:r>
          </w:p>
        </w:tc>
        <w:tc>
          <w:tcPr>
            <w:tcW w:w="12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 Co., Ltd.</w:t>
            </w:r>
          </w:p>
        </w:tc>
        <w:tc>
          <w:tcPr>
            <w:tcW w:w="12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Ishifuku Metal Industry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Istanbul Gold Refinery</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Italpreziosi</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JSC Uralelectromed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JX Nippon Mining &amp; Metals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Japan Mint</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Jiangxi Copper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KGHM Polska Miedz Spolka Akcyjna</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Kazzinc</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Kennecott Utah Copper LLC</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Kojima Chemicals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Korea Zinc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Kyrgyzaltyn JSC</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KYRGYZSTAN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L’Orfebre S.A.</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ANDORRA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LS-NIKKO Copper Inc.</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LT Metal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MMTC-PAMP India Pvt.,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Marsam Metals</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Materion</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Matsuda Sangyo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Metalor Technologies (Hong Kong)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Metalor Technologies (Singapore) Pte.,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Metalor Technologies (Suzhou)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Metalor Technologies S.A.</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Metalor USA Refining Corporation</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Metalurgica Met-Mex Penoles S.A. De C.V.</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Mitsubishi Materials Corporation</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Mitsui Mining and Smelting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Moscow Special Alloys Processing Plant</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Nadir Metal Rafineri San. Ve Tic. A.S.</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Nihon Material Co., Ltd.</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4060" w:type="dxa"/>
            <w:vAlign w:val="bottom"/>
          </w:tcPr>
          <w:p>
            <w:pPr>
              <w:ind w:left="100"/>
              <w:spacing w:after="0" w:line="195" w:lineRule="exact"/>
              <w:rPr>
                <w:sz w:val="20"/>
                <w:szCs w:val="20"/>
                <w:color w:val="auto"/>
              </w:rPr>
            </w:pPr>
            <w:r>
              <w:rPr>
                <w:rFonts w:ascii="Arial" w:cs="Arial" w:eastAsia="Arial" w:hAnsi="Arial"/>
                <w:sz w:val="18"/>
                <w:szCs w:val="18"/>
                <w:color w:val="auto"/>
                <w:w w:val="92"/>
              </w:rPr>
              <w:t>OJSC “The Gulidov Krasnoyarsk Non-Ferrous Metals</w:t>
            </w:r>
          </w:p>
        </w:tc>
        <w:tc>
          <w:tcPr>
            <w:tcW w:w="12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Plant” (OJSC Krastsvetmet)</w:t>
            </w:r>
          </w:p>
        </w:tc>
        <w:tc>
          <w:tcPr>
            <w:tcW w:w="12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OJSC Novosibirsk Refinery</w:t>
            </w:r>
          </w:p>
        </w:tc>
        <w:tc>
          <w:tcPr>
            <w:tcW w:w="12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358"/>
        </w:trPr>
        <w:tc>
          <w:tcPr>
            <w:tcW w:w="1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8"/>
                <w:szCs w:val="18"/>
                <w:color w:val="auto"/>
              </w:rPr>
              <w:t>A-2</w:t>
            </w:r>
          </w:p>
        </w:tc>
        <w:tc>
          <w:tcPr>
            <w:tcW w:w="15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5"/>
        </w:trPr>
        <w:tc>
          <w:tcPr>
            <w:tcW w:w="1240" w:type="dxa"/>
            <w:vAlign w:val="bottom"/>
            <w:tcBorders>
              <w:top w:val="single" w:sz="8" w:color="auto"/>
              <w:left w:val="single" w:sz="8" w:color="auto"/>
              <w:right w:val="single" w:sz="8" w:color="auto"/>
            </w:tcBorders>
          </w:tcPr>
          <w:p>
            <w:pPr>
              <w:spacing w:after="0"/>
              <w:rPr>
                <w:sz w:val="18"/>
                <w:szCs w:val="18"/>
                <w:color w:val="auto"/>
              </w:rPr>
            </w:pPr>
          </w:p>
        </w:tc>
        <w:tc>
          <w:tcPr>
            <w:tcW w:w="4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89"/>
              </w:rPr>
              <w:t>Ogussa Osterreichische Gold- und Silber-Scheideanstalt</w:t>
            </w:r>
          </w:p>
        </w:tc>
        <w:tc>
          <w:tcPr>
            <w:tcW w:w="408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r>
      <w:tr>
        <w:trPr>
          <w:trHeight w:val="23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GmbH</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Ohura Precious Metal Industry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PAMP S.A.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Aneka Tambang (Persero) Tbk</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PX Precinox S.A.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Planta Recuperadora de Metales SpA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CHILE</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Prioksky Plant of Non-Ferrous Metals</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REMONDIS PMR B.V.</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Rand Refinery (Pty)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Republic Metals Corporation</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Not Applicable</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Royal Canadian Mint</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SAAMP</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FRANCE</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SAXONIA Edelmetalle GmbH</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SEMPSA Joyeria Plateria S.A.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SPAIN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SOE Shyolkovsky Factory of Secondary Precious</w:t>
            </w:r>
          </w:p>
        </w:tc>
        <w:tc>
          <w:tcPr>
            <w:tcW w:w="4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Metals</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Safimet S.p.A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Samduck Precious Metals</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Shandong Zhaojin Gold &amp; Silver Refinery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Sichuan Tianze Precious Metals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Singway Technology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Solar Applied Materials Technology Corp.</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Sumitomo Metal Mining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SungEel HiMetal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T.C.A S.p.A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Tanaka Kikinzoku Kogyo K.K.</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Refinery of Shandong Gold Mining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Tokuriki Honten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Torecom</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Umicore Brasil Ltda.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Umicore Precious Metals Thailand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Umicore S.A. Business Unit Precious Metals Refining</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Precious Metal Refining, Inc.</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Valcambi S.A.</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WIELAND Edelmetalle GmbH</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Western Australian Mint (T/a The Perth Mint)</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Yamakin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Yokohama Metal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Zhongyuan Gold Smelter of Zhongjin Gold Corporation</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Asaka Riken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Changsha South Tantalum Niobium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358"/>
        </w:trPr>
        <w:tc>
          <w:tcPr>
            <w:tcW w:w="1240" w:type="dxa"/>
            <w:vAlign w:val="bottom"/>
          </w:tcPr>
          <w:p>
            <w:pPr>
              <w:spacing w:after="0"/>
              <w:rPr>
                <w:sz w:val="24"/>
                <w:szCs w:val="24"/>
                <w:color w:val="auto"/>
              </w:rPr>
            </w:pPr>
          </w:p>
        </w:tc>
        <w:tc>
          <w:tcPr>
            <w:tcW w:w="8260" w:type="dxa"/>
            <w:vAlign w:val="bottom"/>
            <w:gridSpan w:val="2"/>
          </w:tcPr>
          <w:p>
            <w:pPr>
              <w:ind w:left="4120"/>
              <w:spacing w:after="0"/>
              <w:rPr>
                <w:sz w:val="20"/>
                <w:szCs w:val="20"/>
                <w:color w:val="auto"/>
              </w:rPr>
            </w:pPr>
            <w:r>
              <w:rPr>
                <w:rFonts w:ascii="Arial" w:cs="Arial" w:eastAsia="Arial" w:hAnsi="Arial"/>
                <w:sz w:val="18"/>
                <w:szCs w:val="18"/>
                <w:color w:val="auto"/>
              </w:rPr>
              <w:t>A-3</w:t>
            </w:r>
          </w:p>
        </w:tc>
        <w:tc>
          <w:tcPr>
            <w:tcW w:w="15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D Block Metals, LLC</w:t>
            </w:r>
          </w:p>
        </w:tc>
        <w:tc>
          <w:tcPr>
            <w:tcW w:w="140" w:type="dxa"/>
            <w:vAlign w:val="bottom"/>
            <w:tcBorders>
              <w:top w:val="single" w:sz="8" w:color="auto"/>
              <w:bottom w:val="single" w:sz="8" w:color="auto"/>
              <w:right w:val="single" w:sz="8" w:color="auto"/>
            </w:tcBorders>
          </w:tcPr>
          <w:p>
            <w:pPr>
              <w:spacing w:after="0"/>
              <w:rPr>
                <w:sz w:val="19"/>
                <w:szCs w:val="19"/>
                <w:color w:val="auto"/>
              </w:rPr>
            </w:pP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Exotech Inc.</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F&amp;X Electro-Materials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FIR Metals &amp; Resource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Global Advanced Metals Aizu</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Global Advanced Metals Boyertown</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Guangdong Rising Rare Metals-EO Materials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Guangdong Zhiyuan New Material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Starck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Starck Hermsdorf GmbH</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Starck Inc.</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Starck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Starck Smelting GmbH &amp; Co. KG</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Starck Tantalum and Niobium GmbH</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Hengyang King Xing Lifeng New Materials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Jiangxi Dinghai Tantalum &amp; Niobium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Jiangxi Tuohong New Raw Material</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JiuJiang JinXin Nonferrous Metals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Jiujiang Janny New Material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Not Applicable</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Jiujiang Tanbre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Jiujiang Zhongao Tantalum &amp; Niobium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KEMET Blue Metals</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KEMET Blue Powder</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LSM Brasil S.A.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Metallurgical Products India Pvt.,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Mineracao Taboca S.A.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Mitsui Mining and Smelting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NPM Silmet AS</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ESTONIA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Ningxia Orient Tantalum Industry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PRG Dooel</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Republic of Macedonia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QuantumClean</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Resind Industria e Comercio Ltda.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Solikamsk Magnesium Works OAO</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Taki Chemical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Telex Metals</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Ulba Metallurgical Plant JSC</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XinXing HaoRong Electronic Material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Yanling Jincheng Tantalum &amp; Niobium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Alpha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CV Ayi Jaya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CV Dua Sekawan</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CV Gita Pesona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358"/>
        </w:trPr>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A-4</w:t>
            </w:r>
          </w:p>
        </w:tc>
        <w:tc>
          <w:tcPr>
            <w:tcW w:w="15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CV United Smelting</w:t>
            </w:r>
          </w:p>
        </w:tc>
        <w:tc>
          <w:tcPr>
            <w:tcW w:w="140" w:type="dxa"/>
            <w:vAlign w:val="bottom"/>
            <w:tcBorders>
              <w:top w:val="single" w:sz="8" w:color="auto"/>
              <w:bottom w:val="single" w:sz="8" w:color="auto"/>
              <w:right w:val="single" w:sz="8" w:color="auto"/>
            </w:tcBorders>
          </w:tcPr>
          <w:p>
            <w:pPr>
              <w:spacing w:after="0"/>
              <w:rPr>
                <w:sz w:val="19"/>
                <w:szCs w:val="19"/>
                <w:color w:val="auto"/>
              </w:rPr>
            </w:pP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CV Venus Inti Perkasa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Chenzhou Yunxiang Mining and Metallurgy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Chifeng Dajingzi Tin Industry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China Tin Group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Dowa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EM Vinto</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BOLIVIA (PLURINATIONAL STATE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Fenix Metals</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Gejiu Fengming Metallurgy Chemical Plant</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Gejiu Kai Meng Industry and Trade LLC</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Gejiu Non-Ferrous Metal Processing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Gejiu Yunxin Nonferrous Electrolysis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Gejiu Zili Mining And Metallurgy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Guangdong Hanhe Non-Ferrous Metal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Guanyang Guida Nonferrous Metal Smelting Plant</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HuiChang Hill Tin Industry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Huichang Jinshunda Tin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Jiangxi New Nanshan Technology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Ma’anshan Weitai Tin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Magnu’s Minerais Metais e Ligas Ltda.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Malaysia Smelting Corporation (MSC)</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Melt Metais e Ligas S.A.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Metallic Resources, Inc.</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Metallo Belgium N.V.</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Metallo Spain S.L.U.</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SPAIN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Mineracao Taboca S.A.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Minsur</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PERU</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Mitsubishi Materials Corporation</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O.M. Manufacturing (Thailand) Co., Ltd.</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O.M. Manufacturing Philippines, Inc.</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Operaciones Metalurgicas S.A.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BOLIVIA (PLURINATIONAL STATE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ATD Makmur Mandiri Jaya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Aries Kencana Sejahtera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Artha Cipta Langgeng</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Babel Inti Perkasa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Bangka Prima Tin</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Bangka Serumpun</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Bangka Tin Industry</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Belitung Industri Sejahtera</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Bukit Timah</w:t>
            </w:r>
          </w:p>
        </w:tc>
        <w:tc>
          <w:tcPr>
            <w:tcW w:w="1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358"/>
        </w:trPr>
        <w:tc>
          <w:tcPr>
            <w:tcW w:w="1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A-5</w:t>
            </w:r>
          </w:p>
        </w:tc>
        <w:tc>
          <w:tcPr>
            <w:tcW w:w="15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PT DS Jaya Abadi</w:t>
            </w:r>
          </w:p>
        </w:tc>
        <w:tc>
          <w:tcPr>
            <w:tcW w:w="300" w:type="dxa"/>
            <w:vAlign w:val="bottom"/>
            <w:tcBorders>
              <w:top w:val="single" w:sz="8" w:color="auto"/>
              <w:bottom w:val="single" w:sz="8" w:color="auto"/>
              <w:right w:val="single" w:sz="8" w:color="auto"/>
            </w:tcBorders>
          </w:tcPr>
          <w:p>
            <w:pPr>
              <w:spacing w:after="0"/>
              <w:rPr>
                <w:sz w:val="19"/>
                <w:szCs w:val="19"/>
                <w:color w:val="auto"/>
              </w:rPr>
            </w:pP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Inti Stania Prima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Karimun Mining</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Kijang Jaya Mandiri</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Lautan Harmonis Sejahtera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Menara Cipta Mulia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Mitra Stania Prima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Panca Mega Persada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Premium Tin Indonesia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Prima Timah Utama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Rajehan Ariq</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Refined Bangka Tin</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Sariwiguna Binasentosa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Stanindo Inti Perkasa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Sukses Inti Makmur</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Sumber Jaya Indah</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Timah Tbk Kundur</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Timah Tbk Mentok</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Tinindo Inter Nusa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PT Tommy Utama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Resind Industria e Comercio Ltda.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Rui Da Hung</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Soft Metais Ltda.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Thai Nguyen Mining and Metallurgy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Thaisarco</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Tin Technology &amp; Refining</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White Solder Metalurgia e Mineracao Ltda.</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Yunnan Chengfeng Non-ferrous Metals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Yunnan Tin Company Limited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Yunnan Yunfan Non-ferrous Metals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A.L.M.T. Corp.</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ACL Metais Eireli</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Asia Tungsten Products Vietnam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6"/>
              </w:rPr>
              <w:t>Chenzhou Diamond Tungsten Products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Chongyi Zhangyuan Tungsten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Fujian Jinxin Tungsten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Ganzhou Haichuang Tungsten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Ganzhou Huaxing Tungsten Products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Ganzhou Jiangwu Ferrotungsten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Ganzhou Seadragon W &amp; Mo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Global Tungsten &amp; Powders Corp.</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Guangdong Xianglu Tungsten Co., Ltd.</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Starck Smelting GmbH &amp; Co. KG</w:t>
            </w:r>
          </w:p>
        </w:tc>
        <w:tc>
          <w:tcPr>
            <w:tcW w:w="30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358"/>
        </w:trPr>
        <w:tc>
          <w:tcPr>
            <w:tcW w:w="1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380" w:type="dxa"/>
            <w:vAlign w:val="bottom"/>
            <w:gridSpan w:val="2"/>
          </w:tcPr>
          <w:p>
            <w:pPr>
              <w:ind w:left="240"/>
              <w:spacing w:after="0"/>
              <w:rPr>
                <w:sz w:val="20"/>
                <w:szCs w:val="20"/>
                <w:color w:val="auto"/>
              </w:rPr>
            </w:pPr>
            <w:r>
              <w:rPr>
                <w:rFonts w:ascii="Arial" w:cs="Arial" w:eastAsia="Arial" w:hAnsi="Arial"/>
                <w:sz w:val="18"/>
                <w:szCs w:val="18"/>
                <w:color w:val="auto"/>
              </w:rPr>
              <w:t>A-6</w:t>
            </w:r>
          </w:p>
        </w:tc>
        <w:tc>
          <w:tcPr>
            <w:tcW w:w="15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4" w:type="dxa"/>
        <w:tblCellMar>
          <w:top w:w="0" w:type="dxa"/>
          <w:left w:w="0" w:type="dxa"/>
          <w:bottom w:w="0" w:type="dxa"/>
          <w:right w:w="0" w:type="dxa"/>
        </w:tblCellMar>
      </w:tblPr>
      <w:tr>
        <w:trPr>
          <w:trHeight w:val="229"/>
        </w:trPr>
        <w:tc>
          <w:tcPr>
            <w:tcW w:w="12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H.C. Starck Tungsten GmbH</w:t>
            </w:r>
          </w:p>
        </w:tc>
        <w:tc>
          <w:tcPr>
            <w:tcW w:w="4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15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Chenzhou Mining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Hunan Chuangda Vanadium Tungsten Co., Ltd. Wuji</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Chunchang Nonferrous Metals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Hydrometallurg, JSC</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 New Metals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Jiangwu H.C. Starck Tungsten Products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Gan Bei Tungsten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Jiangxi Tonggu Non-ferrous Metallurgical &amp; Chemical</w:t>
            </w:r>
          </w:p>
        </w:tc>
        <w:tc>
          <w:tcPr>
            <w:tcW w:w="4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Xinsheng Tungsten Industry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Yaosheng Tungsten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KGETS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Kennametal Fallon</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Kennametal Huntsville</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Lianyou Metals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 PROVINCE OF 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Malipo Haiyu Tungsten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Masan Tungsten Chemical LLC (MTC)</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Moliren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Niagara Refining LLC</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 OF AMERICA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 Chuangxin Industrial Co., Inc.</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Tejing (Vietnam) Tungsten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 NAM</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Unecha Refractory metals plant</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Wolfram Bergbau und Hutten AG</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AUSTRIA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Woltech Korea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Xiamen Tungsten (H.C.)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1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Xiamen Tungsten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Xinfeng Huarui Tungsten &amp; Molybdenum New</w:t>
            </w:r>
          </w:p>
        </w:tc>
        <w:tc>
          <w:tcPr>
            <w:tcW w:w="40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0"/>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Material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r>
        <w:trPr>
          <w:trHeight w:val="209"/>
        </w:trPr>
        <w:tc>
          <w:tcPr>
            <w:tcW w:w="1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Xinhai Rendan Shaoguan Tungsten Co., Ltd.</w:t>
            </w:r>
          </w:p>
        </w:tc>
        <w:tc>
          <w:tcPr>
            <w:tcW w:w="4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1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Conformant</w:t>
            </w:r>
          </w:p>
        </w:tc>
      </w:tr>
    </w:tbl>
    <w:p>
      <w:pPr>
        <w:spacing w:after="0" w:line="229"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note the following in connection with the information contained in the foregoing table:</w:t>
      </w:r>
    </w:p>
    <w:p>
      <w:pPr>
        <w:spacing w:after="0" w:line="130" w:lineRule="exact"/>
        <w:rPr>
          <w:rFonts w:ascii="Arial" w:cs="Arial" w:eastAsia="Arial" w:hAnsi="Arial"/>
          <w:sz w:val="18"/>
          <w:szCs w:val="18"/>
          <w:color w:val="auto"/>
        </w:rPr>
      </w:pPr>
    </w:p>
    <w:p>
      <w:pPr>
        <w:ind w:left="964" w:right="80" w:hanging="532"/>
        <w:spacing w:after="0" w:line="296" w:lineRule="auto"/>
        <w:tabs>
          <w:tab w:leader="none" w:pos="964"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smelters and refiners listed in the table were identified by our suppliers as those that may be part of our 2019 supply chain, including those that sourced only recycled or scrap content. Some of our suppliers may have reported to us smelters and refiners that were not actually in our supply chain due to over-inclusiveness in the information received from their suppliers or for other reasons. In addition, the smelters and refiners reflected above may not be all of the smelters and refiners in our 2019 supply chain, because many of our suppliers were unable to identify all of the smelters and refiners used to process the necessary 3TG content contained in our products.</w:t>
      </w:r>
    </w:p>
    <w:p>
      <w:pPr>
        <w:spacing w:after="0" w:line="66" w:lineRule="exact"/>
        <w:rPr>
          <w:rFonts w:ascii="Arial" w:cs="Arial" w:eastAsia="Arial" w:hAnsi="Arial"/>
          <w:sz w:val="16"/>
          <w:szCs w:val="16"/>
          <w:color w:val="auto"/>
        </w:rPr>
      </w:pPr>
    </w:p>
    <w:p>
      <w:pPr>
        <w:ind w:left="964" w:hanging="532"/>
        <w:spacing w:after="0"/>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table only includes entities that were listed as smelters or refiners by the RMI, as of February 18,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Smelter or refiner status information in the table is as of February 18, 2020.</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24"/>
          </w:cols>
          <w:pgMar w:left="436" w:top="268" w:right="439" w:bottom="1440" w:gutter="0" w:footer="0" w:header="0"/>
        </w:sectPr>
      </w:pPr>
    </w:p>
    <w:bookmarkStart w:id="17" w:name="page18"/>
    <w:bookmarkEnd w:id="17"/>
    <w:p>
      <w:pPr>
        <w:ind w:left="540" w:hanging="532"/>
        <w:spacing w:after="0" w:line="30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“Conformant” means that a smelter or refiner was listed as conformant with the Responsible Minerals Assurance Process’s (“RMAP”) assessment protocols, including through mutual recognition and those indicated as “re-audit in process.” Included smelters and refiners were not necessarily conformant for all or part of 2019 and may not continue to be conformant for any future period. We do not have information on the origin of the 3TG processed by any of the conformant smelters and refiners prior to their respective certification dates.</w:t>
      </w:r>
    </w:p>
    <w:p>
      <w:pPr>
        <w:spacing w:after="0" w:line="62" w:lineRule="exact"/>
        <w:rPr>
          <w:rFonts w:ascii="Arial" w:cs="Arial" w:eastAsia="Arial" w:hAnsi="Arial"/>
          <w:sz w:val="16"/>
          <w:szCs w:val="16"/>
          <w:color w:val="auto"/>
        </w:rPr>
      </w:pPr>
    </w:p>
    <w:p>
      <w:pPr>
        <w:ind w:left="540" w:right="32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 means that the smelter or refiner is a participant in the RMAP and has committed to undergo an audit or is participating in a cross-recognized certification program.</w:t>
      </w:r>
    </w:p>
    <w:p>
      <w:pPr>
        <w:spacing w:after="0" w:line="75" w:lineRule="exact"/>
        <w:rPr>
          <w:rFonts w:ascii="Arial" w:cs="Arial" w:eastAsia="Arial" w:hAnsi="Arial"/>
          <w:sz w:val="18"/>
          <w:szCs w:val="18"/>
          <w:color w:val="auto"/>
        </w:rPr>
      </w:pPr>
    </w:p>
    <w:p>
      <w:pPr>
        <w:ind w:left="540" w:right="24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Smelter or refiner status reflected in the table is based solely on information made publicly available by the RMI, without independent verification by us.</w:t>
      </w:r>
    </w:p>
    <w:p>
      <w:pPr>
        <w:spacing w:after="0" w:line="75" w:lineRule="exact"/>
        <w:rPr>
          <w:rFonts w:ascii="Arial" w:cs="Arial" w:eastAsia="Arial" w:hAnsi="Arial"/>
          <w:sz w:val="18"/>
          <w:szCs w:val="18"/>
          <w:color w:val="auto"/>
        </w:rPr>
      </w:pPr>
    </w:p>
    <w:p>
      <w:pPr>
        <w:ind w:left="540" w:right="40" w:hanging="532"/>
        <w:spacing w:after="0" w:line="26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 means that a smelter or refiner is listed on the Smelter Look-up tab of the Conflict Minerals Reporting Template, but is not listed as “conformant” or “active.” Two of the three smelters and refiners listed as “Not Applicable” have, according to the RMI information provided as of February 18, 2020, ceased operations, either permanently or temporarily.</w:t>
      </w:r>
    </w:p>
    <w:p>
      <w:pPr>
        <w:spacing w:after="0" w:line="1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A-8</w:t>
      </w:r>
    </w:p>
    <w:sectPr>
      <w:pgSz w:w="11900" w:h="16838" w:orient="portrait"/>
      <w:cols w:equalWidth="0" w:num="1">
        <w:col w:w="10460"/>
      </w:cols>
      <w:pgMar w:left="86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decimal"/>
      <w:start w:val="1"/>
    </w:lvl>
    <w:lvl w:ilvl="1">
      <w:lvlJc w:val="left"/>
      <w:lvlText w:val="%2."/>
      <w:numFmt w:val="lowerLetter"/>
      <w:start w:val="1"/>
    </w:lvl>
  </w:abstractNum>
  <w:abstractNum w:abstractNumId="4">
    <w:nsid w:val="515F007C"/>
    <w:multiLevelType w:val="hybridMultilevel"/>
    <w:lvl w:ilvl="0">
      <w:lvlJc w:val="left"/>
      <w:lvlText w:val="%1"/>
      <w:numFmt w:val="decimal"/>
      <w:start w:val="1"/>
    </w:lvl>
    <w:lvl w:ilvl="1">
      <w:lvlJc w:val="left"/>
      <w:lvlText w:val="%2."/>
      <w:numFmt w:val="lowerLetter"/>
      <w:start w:val="6"/>
    </w:lvl>
  </w:abstractNum>
  <w:abstractNum w:abstractNumId="5">
    <w:nsid w:val="5BD062C2"/>
    <w:multiLevelType w:val="hybridMultilevel"/>
    <w:lvl w:ilvl="0">
      <w:lvlJc w:val="left"/>
      <w:lvlText w:val="%1."/>
      <w:numFmt w:val="decimal"/>
      <w:start w:val="2"/>
    </w:lvl>
    <w:lvl w:ilvl="1">
      <w:lvlJc w:val="left"/>
      <w:lvlText w:val="%2."/>
      <w:numFmt w:val="lowerLetter"/>
      <w:start w:val="1"/>
    </w:lvl>
  </w:abstractNum>
  <w:abstractNum w:abstractNumId="6">
    <w:nsid w:val="12200854"/>
    <w:multiLevelType w:val="hybridMultilevel"/>
    <w:lvl w:ilvl="0">
      <w:lvlJc w:val="left"/>
      <w:lvlText w:val="%1"/>
      <w:numFmt w:val="decimal"/>
      <w:start w:val="1"/>
    </w:lvl>
    <w:lvl w:ilvl="1">
      <w:lvlJc w:val="left"/>
      <w:lvlText w:val="%2."/>
      <w:numFmt w:val="lowerLetter"/>
      <w:start w:val="5"/>
    </w:lvl>
  </w:abstractNum>
  <w:abstractNum w:abstractNumId="7">
    <w:nsid w:val="4DB127F8"/>
    <w:multiLevelType w:val="hybridMultilevel"/>
    <w:lvl w:ilvl="0">
      <w:lvlJc w:val="left"/>
      <w:lvlText w:val="%1."/>
      <w:numFmt w:val="decimal"/>
      <w:start w:val="3"/>
    </w:lvl>
    <w:lvl w:ilvl="1">
      <w:lvlJc w:val="left"/>
      <w:lvlText w:val="%2."/>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2020-05-29T15:17:25Z</dcterms:created>
  <dcterms:modified xsi:type="dcterms:W3CDTF">2020-05-29T15:17:25Z</dcterms:modified>
</cp:coreProperties>
</file>