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-217170</wp:posOffset>
            </wp:positionV>
            <wp:extent cx="116840" cy="1168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-551815</wp:posOffset>
            </wp:positionV>
            <wp:extent cx="116840" cy="1168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1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6140" w:type="dxa"/>
            <w:vAlign w:val="bottom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5170805</wp:posOffset>
            </wp:positionH>
            <wp:positionV relativeFrom="paragraph">
              <wp:posOffset>-597535</wp:posOffset>
            </wp:positionV>
            <wp:extent cx="56515" cy="6108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3890010</wp:posOffset>
            </wp:positionH>
            <wp:positionV relativeFrom="paragraph">
              <wp:posOffset>-597535</wp:posOffset>
            </wp:positionV>
            <wp:extent cx="56515" cy="610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633730</wp:posOffset>
            </wp:positionV>
            <wp:extent cx="6999605" cy="4789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78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40"/>
            <w:col w:w="8360"/>
          </w:cols>
          <w:pgMar w:left="460" w:top="21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restart"/>
          </w:tcPr>
          <w:p>
            <w:pPr>
              <w:spacing w:after="0" w:line="22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6"/>
                </w:rPr>
                <w:t>Shihab Ahmed Mohammed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60"/>
              <w:spacing w:after="0" w:line="99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WESTERN DIGITAL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WDC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50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Product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WESTERN DIGITAL CORPORATION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03/17/2026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5601 GREAT OAKS PARKWAY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9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03/17/2026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196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184,914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03/17/2026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20,595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313.81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164,319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3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9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196.5574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22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03/17/2026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196.5574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375.0821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75.7646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03/18/2026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75.7646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450.8467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Rights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-1863090</wp:posOffset>
            </wp:positionV>
            <wp:extent cx="28575" cy="18688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6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 w:right="46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Includes 484 shares acquired under the Issuer's Employee Stock Purchase Plan on November 30, 2025.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Payment of tax obligation by withholding securities incident to the vesting of securities in accordance with Rule 16b-3(e).</w:t>
      </w:r>
    </w:p>
    <w:p>
      <w:pPr>
        <w:spacing w:after="0" w:line="46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180" w:hanging="5"/>
        <w:spacing w:after="0" w:line="272" w:lineRule="auto"/>
        <w:tabs>
          <w:tab w:leader="none" w:pos="16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By: /s/ Sandra Garcia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-6350</wp:posOffset>
            </wp:positionV>
            <wp:extent cx="1291590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For: Ahmed Mohammed  03/19/2026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186055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Shihab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-13970</wp:posOffset>
            </wp:positionV>
            <wp:extent cx="28194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940" w:hanging="5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59396" TargetMode="External"/><Relationship Id="rId14" Type="http://schemas.openxmlformats.org/officeDocument/2006/relationships/hyperlink" Target="http://www.sec.gov/cgi-bin/browse-edgar?action=getcompany&amp;CIK=00001060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2026-03-19T16:52:06Z</dcterms:created>
  <dcterms:modified xsi:type="dcterms:W3CDTF">2026-03-19T16:52:06Z</dcterms:modified>
</cp:coreProperties>
</file>